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3CC1F" w14:textId="35E37FB4" w:rsidR="000A6469" w:rsidRDefault="000A6469" w:rsidP="004D11C9">
      <w:pPr>
        <w:jc w:val="both"/>
        <w:rPr>
          <w:rFonts w:ascii="Times New Roman" w:eastAsia="Times New Roman" w:hAnsi="Times New Roman" w:cs="Times New Roman"/>
          <w:noProof/>
          <w:sz w:val="24"/>
          <w:szCs w:val="28"/>
        </w:rPr>
      </w:pPr>
    </w:p>
    <w:p w14:paraId="73A6FA0C" w14:textId="4264AAEF" w:rsidR="00364F4C" w:rsidRDefault="00364F4C" w:rsidP="004D11C9">
      <w:pPr>
        <w:jc w:val="both"/>
        <w:rPr>
          <w:rFonts w:ascii="Times New Roman" w:eastAsia="Times New Roman" w:hAnsi="Times New Roman" w:cs="Times New Roman"/>
          <w:noProof/>
          <w:sz w:val="24"/>
          <w:szCs w:val="28"/>
        </w:rPr>
      </w:pPr>
      <w:r w:rsidRPr="00364F4C">
        <w:rPr>
          <w:rFonts w:ascii="Times New Roman" w:eastAsia="Times New Roman" w:hAnsi="Times New Roman" w:cs="Times New Roman"/>
          <w:noProof/>
          <w:sz w:val="24"/>
          <w:szCs w:val="28"/>
        </w:rPr>
        <w:drawing>
          <wp:inline distT="0" distB="0" distL="0" distR="0" wp14:anchorId="29A44B3B" wp14:editId="15FE2AE0">
            <wp:extent cx="5760720" cy="8341360"/>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8341360"/>
                    </a:xfrm>
                    <a:prstGeom prst="rect">
                      <a:avLst/>
                    </a:prstGeom>
                    <a:noFill/>
                    <a:ln>
                      <a:noFill/>
                    </a:ln>
                  </pic:spPr>
                </pic:pic>
              </a:graphicData>
            </a:graphic>
          </wp:inline>
        </w:drawing>
      </w:r>
    </w:p>
    <w:p w14:paraId="23C4A12C" w14:textId="77777777" w:rsidR="000A6469" w:rsidRPr="004D11C9" w:rsidRDefault="000A6469" w:rsidP="004D11C9">
      <w:pPr>
        <w:jc w:val="both"/>
        <w:rPr>
          <w:rFonts w:ascii="Times New Roman" w:eastAsia="Arial" w:hAnsi="Times New Roman" w:cs="Arial"/>
          <w:noProof/>
          <w:sz w:val="24"/>
          <w:szCs w:val="20"/>
        </w:rPr>
      </w:pPr>
    </w:p>
    <w:p w14:paraId="4967D0A1" w14:textId="248776DB" w:rsidR="004D11C9" w:rsidRDefault="004D11C9">
      <w:pPr>
        <w:rPr>
          <w:rFonts w:ascii="Times New Roman" w:eastAsia="Arial" w:hAnsi="Times New Roman" w:cs="Arial"/>
          <w:noProof/>
          <w:sz w:val="24"/>
          <w:szCs w:val="20"/>
        </w:rPr>
      </w:pPr>
      <w:r>
        <w:br w:type="page"/>
      </w:r>
    </w:p>
    <w:p w14:paraId="7BE77C48" w14:textId="77777777" w:rsidR="000A6469" w:rsidRPr="004D11C9" w:rsidRDefault="000A6469" w:rsidP="004D11C9">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4531"/>
        <w:gridCol w:w="4531"/>
      </w:tblGrid>
      <w:tr w:rsidR="004D11C9" w14:paraId="589C0E0D" w14:textId="77777777" w:rsidTr="004D11C9">
        <w:tc>
          <w:tcPr>
            <w:tcW w:w="9062" w:type="dxa"/>
            <w:gridSpan w:val="2"/>
          </w:tcPr>
          <w:p w14:paraId="6A7D4631" w14:textId="77777777" w:rsidR="004D11C9" w:rsidRDefault="00463916" w:rsidP="004D11C9">
            <w:pPr>
              <w:jc w:val="both"/>
              <w:rPr>
                <w:rFonts w:ascii="Times New Roman" w:eastAsia="Arial" w:hAnsi="Times New Roman" w:cs="Arial"/>
                <w:b/>
                <w:bCs/>
                <w:noProof/>
                <w:sz w:val="24"/>
                <w:szCs w:val="20"/>
              </w:rPr>
            </w:pPr>
            <w:r>
              <w:rPr>
                <w:rFonts w:ascii="Times New Roman" w:hAnsi="Times New Roman"/>
                <w:b/>
                <w:sz w:val="24"/>
              </w:rPr>
              <w:t>KONKURENCES NOVĒRTĒŠANAS PĀRBAUDES LAPA</w:t>
            </w:r>
          </w:p>
          <w:p w14:paraId="49AA849D" w14:textId="77777777" w:rsidR="00463916" w:rsidRDefault="00463916" w:rsidP="004D11C9">
            <w:pPr>
              <w:jc w:val="both"/>
              <w:rPr>
                <w:rFonts w:ascii="Times New Roman" w:eastAsia="Arial" w:hAnsi="Times New Roman" w:cs="Arial"/>
                <w:b/>
                <w:bCs/>
                <w:noProof/>
                <w:sz w:val="24"/>
                <w:szCs w:val="20"/>
              </w:rPr>
            </w:pPr>
          </w:p>
          <w:p w14:paraId="46B99529" w14:textId="242D722D" w:rsidR="00463916" w:rsidRPr="00463916" w:rsidRDefault="00463916" w:rsidP="004D11C9">
            <w:pPr>
              <w:jc w:val="both"/>
              <w:rPr>
                <w:rFonts w:ascii="Times New Roman" w:eastAsia="Arial" w:hAnsi="Times New Roman" w:cs="Arial"/>
                <w:noProof/>
                <w:sz w:val="24"/>
                <w:szCs w:val="20"/>
              </w:rPr>
            </w:pPr>
            <w:r>
              <w:rPr>
                <w:rFonts w:ascii="Times New Roman" w:hAnsi="Times New Roman"/>
                <w:sz w:val="24"/>
              </w:rPr>
              <w:t>Konkurences novērtējums jāveic, ja tiesību normai piemīt kāda no turpmāk minētajām ietekmēm.</w:t>
            </w:r>
          </w:p>
        </w:tc>
      </w:tr>
      <w:tr w:rsidR="004D11C9" w14:paraId="779ECA7E" w14:textId="77777777" w:rsidTr="004D11C9">
        <w:tc>
          <w:tcPr>
            <w:tcW w:w="4531" w:type="dxa"/>
          </w:tcPr>
          <w:p w14:paraId="45535D97" w14:textId="77777777" w:rsidR="004D11C9" w:rsidRDefault="00463916" w:rsidP="004D11C9">
            <w:pPr>
              <w:jc w:val="both"/>
              <w:rPr>
                <w:rFonts w:ascii="Times New Roman" w:eastAsia="Arial" w:hAnsi="Times New Roman" w:cs="Arial"/>
                <w:b/>
                <w:bCs/>
                <w:noProof/>
                <w:sz w:val="24"/>
                <w:szCs w:val="20"/>
              </w:rPr>
            </w:pPr>
            <w:r>
              <w:rPr>
                <w:rFonts w:ascii="Times New Roman" w:hAnsi="Times New Roman"/>
                <w:b/>
                <w:sz w:val="24"/>
              </w:rPr>
              <w:t>A. Ierobežo piegādātāju skaitu vai loku</w:t>
            </w:r>
          </w:p>
          <w:p w14:paraId="16CB4648" w14:textId="77777777" w:rsidR="00463916" w:rsidRDefault="00463916" w:rsidP="004D11C9">
            <w:pPr>
              <w:jc w:val="both"/>
              <w:rPr>
                <w:rFonts w:ascii="Times New Roman" w:eastAsia="Arial" w:hAnsi="Times New Roman" w:cs="Arial"/>
                <w:b/>
                <w:bCs/>
                <w:noProof/>
                <w:sz w:val="24"/>
                <w:szCs w:val="20"/>
              </w:rPr>
            </w:pPr>
          </w:p>
          <w:p w14:paraId="64AD9108" w14:textId="77777777" w:rsidR="00463916" w:rsidRDefault="00463916" w:rsidP="004D11C9">
            <w:pPr>
              <w:jc w:val="both"/>
              <w:rPr>
                <w:rFonts w:ascii="Times New Roman" w:eastAsia="Arial" w:hAnsi="Times New Roman" w:cs="Arial"/>
                <w:noProof/>
                <w:sz w:val="24"/>
                <w:szCs w:val="20"/>
              </w:rPr>
            </w:pPr>
            <w:r>
              <w:rPr>
                <w:rFonts w:ascii="Times New Roman" w:hAnsi="Times New Roman"/>
                <w:sz w:val="24"/>
              </w:rPr>
              <w:t>Šāda situācija ir iespējama gadījumos, kad tiesību norma:</w:t>
            </w:r>
          </w:p>
          <w:p w14:paraId="68171B40" w14:textId="77777777" w:rsidR="00463916" w:rsidRDefault="00463916" w:rsidP="004D11C9">
            <w:pPr>
              <w:jc w:val="both"/>
              <w:rPr>
                <w:rFonts w:ascii="Times New Roman" w:eastAsia="Arial" w:hAnsi="Times New Roman" w:cs="Arial"/>
                <w:noProof/>
                <w:sz w:val="24"/>
                <w:szCs w:val="20"/>
              </w:rPr>
            </w:pPr>
          </w:p>
          <w:p w14:paraId="42F68706" w14:textId="77777777" w:rsidR="00463916" w:rsidRPr="00F4401E" w:rsidRDefault="00463916" w:rsidP="00F4401E">
            <w:pPr>
              <w:pStyle w:val="ListParagraph"/>
              <w:numPr>
                <w:ilvl w:val="0"/>
                <w:numId w:val="36"/>
              </w:numPr>
              <w:ind w:left="254" w:hanging="254"/>
              <w:jc w:val="both"/>
              <w:rPr>
                <w:rFonts w:ascii="Times New Roman" w:eastAsia="Arial" w:hAnsi="Times New Roman" w:cs="Arial"/>
                <w:noProof/>
                <w:sz w:val="24"/>
                <w:szCs w:val="20"/>
              </w:rPr>
            </w:pPr>
            <w:r w:rsidRPr="00F4401E">
              <w:rPr>
                <w:rFonts w:ascii="Times New Roman" w:hAnsi="Times New Roman"/>
                <w:b/>
                <w:sz w:val="24"/>
              </w:rPr>
              <w:t>A1.</w:t>
            </w:r>
            <w:r w:rsidRPr="00F4401E">
              <w:rPr>
                <w:rFonts w:ascii="Times New Roman" w:hAnsi="Times New Roman"/>
                <w:sz w:val="24"/>
              </w:rPr>
              <w:t xml:space="preserve"> piešķir piegādātājam ekskluzīvas tiesības piegādāt preces vai sniegt pakalpojumus;</w:t>
            </w:r>
          </w:p>
          <w:p w14:paraId="23843FB5" w14:textId="77777777" w:rsidR="00463916" w:rsidRPr="00F4401E" w:rsidRDefault="00463916" w:rsidP="00F4401E">
            <w:pPr>
              <w:pStyle w:val="ListParagraph"/>
              <w:numPr>
                <w:ilvl w:val="0"/>
                <w:numId w:val="36"/>
              </w:numPr>
              <w:ind w:left="254" w:hanging="254"/>
              <w:jc w:val="both"/>
              <w:rPr>
                <w:rFonts w:ascii="Times New Roman" w:eastAsia="Arial" w:hAnsi="Times New Roman" w:cs="Arial"/>
                <w:noProof/>
                <w:sz w:val="24"/>
                <w:szCs w:val="20"/>
              </w:rPr>
            </w:pPr>
            <w:r w:rsidRPr="00F4401E">
              <w:rPr>
                <w:rFonts w:ascii="Times New Roman" w:hAnsi="Times New Roman"/>
                <w:b/>
                <w:sz w:val="24"/>
              </w:rPr>
              <w:t xml:space="preserve">A2. </w:t>
            </w:r>
            <w:r w:rsidRPr="00F4401E">
              <w:rPr>
                <w:rFonts w:ascii="Times New Roman" w:hAnsi="Times New Roman"/>
                <w:sz w:val="24"/>
              </w:rPr>
              <w:t>nosaka licencēšanas, atļaujas izsniegšanas vai apstiprināšanas procesu kā darbības veikšanas nosacījumu;</w:t>
            </w:r>
          </w:p>
          <w:p w14:paraId="45BF8A97" w14:textId="77777777" w:rsidR="00463916" w:rsidRPr="00F4401E" w:rsidRDefault="00463916" w:rsidP="00F4401E">
            <w:pPr>
              <w:pStyle w:val="ListParagraph"/>
              <w:numPr>
                <w:ilvl w:val="0"/>
                <w:numId w:val="36"/>
              </w:numPr>
              <w:ind w:left="254" w:hanging="254"/>
              <w:jc w:val="both"/>
              <w:rPr>
                <w:rFonts w:ascii="Times New Roman" w:eastAsia="Arial" w:hAnsi="Times New Roman" w:cs="Arial"/>
                <w:noProof/>
                <w:sz w:val="24"/>
                <w:szCs w:val="20"/>
              </w:rPr>
            </w:pPr>
            <w:r w:rsidRPr="00F4401E">
              <w:rPr>
                <w:rFonts w:ascii="Times New Roman" w:hAnsi="Times New Roman"/>
                <w:b/>
                <w:sz w:val="24"/>
              </w:rPr>
              <w:t xml:space="preserve">A3. </w:t>
            </w:r>
            <w:r w:rsidRPr="00F4401E">
              <w:rPr>
                <w:rFonts w:ascii="Times New Roman" w:hAnsi="Times New Roman"/>
                <w:sz w:val="24"/>
              </w:rPr>
              <w:t>ierobežo noteiktu piegādātāju iespējas piegādāt preces vai sniegt pakalpojumus;</w:t>
            </w:r>
          </w:p>
          <w:p w14:paraId="42401822" w14:textId="77777777" w:rsidR="00463916" w:rsidRPr="00F4401E" w:rsidRDefault="00463916" w:rsidP="00F4401E">
            <w:pPr>
              <w:pStyle w:val="ListParagraph"/>
              <w:numPr>
                <w:ilvl w:val="0"/>
                <w:numId w:val="36"/>
              </w:numPr>
              <w:ind w:left="254" w:hanging="254"/>
              <w:jc w:val="both"/>
              <w:rPr>
                <w:rFonts w:ascii="Times New Roman" w:eastAsia="Arial" w:hAnsi="Times New Roman" w:cs="Arial"/>
                <w:noProof/>
                <w:sz w:val="24"/>
                <w:szCs w:val="20"/>
              </w:rPr>
            </w:pPr>
            <w:r w:rsidRPr="00F4401E">
              <w:rPr>
                <w:rFonts w:ascii="Times New Roman" w:hAnsi="Times New Roman"/>
                <w:b/>
                <w:sz w:val="24"/>
              </w:rPr>
              <w:t xml:space="preserve">A4. </w:t>
            </w:r>
            <w:r w:rsidRPr="00F4401E">
              <w:rPr>
                <w:rFonts w:ascii="Times New Roman" w:hAnsi="Times New Roman"/>
                <w:sz w:val="24"/>
              </w:rPr>
              <w:t>būtiski paaugstina ar ieiešanu tirgū vai iziešanu no tā saistītās izmaksas piegādātājam;</w:t>
            </w:r>
          </w:p>
          <w:p w14:paraId="75D3DF7D" w14:textId="03EDDB4D" w:rsidR="00463916" w:rsidRPr="00F4401E" w:rsidRDefault="00463916" w:rsidP="00F4401E">
            <w:pPr>
              <w:pStyle w:val="ListParagraph"/>
              <w:numPr>
                <w:ilvl w:val="0"/>
                <w:numId w:val="36"/>
              </w:numPr>
              <w:ind w:left="254" w:hanging="254"/>
              <w:jc w:val="both"/>
              <w:rPr>
                <w:rFonts w:ascii="Times New Roman" w:eastAsia="Arial" w:hAnsi="Times New Roman" w:cs="Arial"/>
                <w:noProof/>
                <w:sz w:val="24"/>
                <w:szCs w:val="20"/>
              </w:rPr>
            </w:pPr>
            <w:r w:rsidRPr="00F4401E">
              <w:rPr>
                <w:rFonts w:ascii="Times New Roman" w:hAnsi="Times New Roman"/>
                <w:b/>
                <w:sz w:val="24"/>
              </w:rPr>
              <w:t xml:space="preserve">A5. </w:t>
            </w:r>
            <w:r w:rsidRPr="00F4401E">
              <w:rPr>
                <w:rFonts w:ascii="Times New Roman" w:hAnsi="Times New Roman"/>
                <w:sz w:val="24"/>
              </w:rPr>
              <w:t>rada ģeogrāfiskus šķēršļus komercsabiedrībām piegādāt preces un darbaspēku vai sniegt pakalpojumus, vai investēt kapitālu.</w:t>
            </w:r>
          </w:p>
        </w:tc>
        <w:tc>
          <w:tcPr>
            <w:tcW w:w="4531" w:type="dxa"/>
          </w:tcPr>
          <w:p w14:paraId="13D63BD6" w14:textId="77777777" w:rsidR="004D11C9" w:rsidRDefault="00463916" w:rsidP="004D11C9">
            <w:pPr>
              <w:jc w:val="both"/>
              <w:rPr>
                <w:rFonts w:ascii="Times New Roman" w:eastAsia="Arial" w:hAnsi="Times New Roman" w:cs="Arial"/>
                <w:b/>
                <w:bCs/>
                <w:noProof/>
                <w:sz w:val="24"/>
                <w:szCs w:val="20"/>
              </w:rPr>
            </w:pPr>
            <w:r>
              <w:rPr>
                <w:rFonts w:ascii="Times New Roman" w:hAnsi="Times New Roman"/>
                <w:b/>
                <w:sz w:val="24"/>
              </w:rPr>
              <w:t>B. Ierobežo piegādātāju konkurētspēju</w:t>
            </w:r>
          </w:p>
          <w:p w14:paraId="62A78B03" w14:textId="77777777" w:rsidR="00463916" w:rsidRDefault="00463916" w:rsidP="004D11C9">
            <w:pPr>
              <w:jc w:val="both"/>
              <w:rPr>
                <w:rFonts w:ascii="Times New Roman" w:eastAsia="Arial" w:hAnsi="Times New Roman" w:cs="Arial"/>
                <w:b/>
                <w:bCs/>
                <w:noProof/>
                <w:sz w:val="24"/>
                <w:szCs w:val="20"/>
              </w:rPr>
            </w:pPr>
          </w:p>
          <w:p w14:paraId="2AF98C01" w14:textId="77777777" w:rsidR="00463916" w:rsidRDefault="00463916" w:rsidP="004D11C9">
            <w:pPr>
              <w:jc w:val="both"/>
              <w:rPr>
                <w:rFonts w:ascii="Times New Roman" w:eastAsia="Arial" w:hAnsi="Times New Roman" w:cs="Arial"/>
                <w:noProof/>
                <w:sz w:val="24"/>
                <w:szCs w:val="20"/>
              </w:rPr>
            </w:pPr>
            <w:r>
              <w:rPr>
                <w:rFonts w:ascii="Times New Roman" w:hAnsi="Times New Roman"/>
                <w:sz w:val="24"/>
              </w:rPr>
              <w:t>Šāda situācija ir iespējama gadījumos, kad tiesību norma:</w:t>
            </w:r>
          </w:p>
          <w:p w14:paraId="46ABFB84" w14:textId="77777777" w:rsidR="00463916" w:rsidRDefault="00463916" w:rsidP="004D11C9">
            <w:pPr>
              <w:jc w:val="both"/>
              <w:rPr>
                <w:rFonts w:ascii="Times New Roman" w:eastAsia="Arial" w:hAnsi="Times New Roman" w:cs="Arial"/>
                <w:noProof/>
                <w:sz w:val="24"/>
                <w:szCs w:val="20"/>
              </w:rPr>
            </w:pPr>
          </w:p>
          <w:p w14:paraId="144DA131" w14:textId="77777777" w:rsidR="00463916" w:rsidRDefault="00463916" w:rsidP="00F4401E">
            <w:pPr>
              <w:pStyle w:val="ListParagraph"/>
              <w:numPr>
                <w:ilvl w:val="0"/>
                <w:numId w:val="36"/>
              </w:numPr>
              <w:ind w:left="254" w:hanging="254"/>
              <w:jc w:val="both"/>
              <w:rPr>
                <w:rFonts w:ascii="Times New Roman" w:eastAsia="Arial" w:hAnsi="Times New Roman" w:cs="Arial"/>
                <w:noProof/>
                <w:sz w:val="24"/>
                <w:szCs w:val="20"/>
              </w:rPr>
            </w:pPr>
            <w:r>
              <w:rPr>
                <w:rFonts w:ascii="Times New Roman" w:hAnsi="Times New Roman"/>
                <w:b/>
                <w:sz w:val="24"/>
              </w:rPr>
              <w:t xml:space="preserve">B1. </w:t>
            </w:r>
            <w:r>
              <w:rPr>
                <w:rFonts w:ascii="Times New Roman" w:hAnsi="Times New Roman"/>
                <w:sz w:val="24"/>
              </w:rPr>
              <w:t>ierobežo pārdevēju iespējas noteikt preču vai pakalpojumu cenas;</w:t>
            </w:r>
          </w:p>
          <w:p w14:paraId="6E64EC92" w14:textId="47962857" w:rsidR="00463916" w:rsidRPr="00F4401E" w:rsidRDefault="00463916" w:rsidP="00F4401E">
            <w:pPr>
              <w:pStyle w:val="ListParagraph"/>
              <w:numPr>
                <w:ilvl w:val="0"/>
                <w:numId w:val="36"/>
              </w:numPr>
              <w:ind w:left="254" w:hanging="254"/>
              <w:jc w:val="both"/>
              <w:rPr>
                <w:rFonts w:ascii="Times New Roman" w:hAnsi="Times New Roman"/>
                <w:b/>
                <w:sz w:val="24"/>
              </w:rPr>
            </w:pPr>
            <w:r>
              <w:rPr>
                <w:rFonts w:ascii="Times New Roman" w:hAnsi="Times New Roman"/>
                <w:b/>
                <w:sz w:val="24"/>
              </w:rPr>
              <w:t xml:space="preserve">B2. </w:t>
            </w:r>
            <w:r w:rsidRPr="00F4401E">
              <w:rPr>
                <w:rFonts w:ascii="Times New Roman" w:hAnsi="Times New Roman"/>
                <w:bCs/>
                <w:sz w:val="24"/>
              </w:rPr>
              <w:t>ierobežo piegādātāju iespējas brīvi reklamēt vai pārdot savas preces vai pakalpojumus;</w:t>
            </w:r>
          </w:p>
          <w:p w14:paraId="3CA1BEF7" w14:textId="77777777" w:rsidR="00463916" w:rsidRPr="00F4401E" w:rsidRDefault="00463916" w:rsidP="00F4401E">
            <w:pPr>
              <w:pStyle w:val="ListParagraph"/>
              <w:numPr>
                <w:ilvl w:val="0"/>
                <w:numId w:val="36"/>
              </w:numPr>
              <w:ind w:left="254" w:hanging="254"/>
              <w:jc w:val="both"/>
              <w:rPr>
                <w:rFonts w:ascii="Times New Roman" w:hAnsi="Times New Roman"/>
                <w:b/>
                <w:sz w:val="24"/>
              </w:rPr>
            </w:pPr>
            <w:r>
              <w:rPr>
                <w:rFonts w:ascii="Times New Roman" w:hAnsi="Times New Roman"/>
                <w:b/>
                <w:sz w:val="24"/>
              </w:rPr>
              <w:t xml:space="preserve">B3. </w:t>
            </w:r>
            <w:r w:rsidRPr="00F4401E">
              <w:rPr>
                <w:rFonts w:ascii="Times New Roman" w:hAnsi="Times New Roman"/>
                <w:bCs/>
                <w:sz w:val="24"/>
              </w:rPr>
              <w:t>nosaka preču kvalitātes standartus, kas dažiem piegādātājiem rada pārmērīgas priekšrocības attiecībā pret citiem vai kas pārsniedz līmeni, kādu daži kompetenti pircēji izvēlētos;</w:t>
            </w:r>
          </w:p>
          <w:p w14:paraId="5C31A549" w14:textId="0353F978" w:rsidR="00463916" w:rsidRPr="00463916" w:rsidRDefault="00463916" w:rsidP="00F4401E">
            <w:pPr>
              <w:pStyle w:val="ListParagraph"/>
              <w:numPr>
                <w:ilvl w:val="0"/>
                <w:numId w:val="36"/>
              </w:numPr>
              <w:ind w:left="254" w:hanging="254"/>
              <w:jc w:val="both"/>
              <w:rPr>
                <w:rFonts w:ascii="Times New Roman" w:eastAsia="Arial" w:hAnsi="Times New Roman" w:cs="Arial"/>
                <w:noProof/>
                <w:sz w:val="24"/>
                <w:szCs w:val="20"/>
              </w:rPr>
            </w:pPr>
            <w:r>
              <w:rPr>
                <w:rFonts w:ascii="Times New Roman" w:hAnsi="Times New Roman"/>
                <w:b/>
                <w:sz w:val="24"/>
              </w:rPr>
              <w:t xml:space="preserve">B4. </w:t>
            </w:r>
            <w:r w:rsidRPr="00F4401E">
              <w:rPr>
                <w:rFonts w:ascii="Times New Roman" w:hAnsi="Times New Roman"/>
                <w:bCs/>
                <w:sz w:val="24"/>
              </w:rPr>
              <w:t>būtiski paaugstina ražošanas izmaksas dažiem</w:t>
            </w:r>
            <w:r>
              <w:rPr>
                <w:rFonts w:ascii="Times New Roman" w:hAnsi="Times New Roman"/>
                <w:sz w:val="24"/>
              </w:rPr>
              <w:t xml:space="preserve"> piegādātājiem attiecībā pret citiem (sevišķi tad, ja pret tirgū pārstāvētiem tirgus dalībniekiem izturas citādi nekā pret jaunajiem tirgus dalībniekiem).</w:t>
            </w:r>
          </w:p>
        </w:tc>
      </w:tr>
      <w:tr w:rsidR="004D11C9" w14:paraId="05B20D5C" w14:textId="77777777" w:rsidTr="004D11C9">
        <w:tc>
          <w:tcPr>
            <w:tcW w:w="4531" w:type="dxa"/>
          </w:tcPr>
          <w:p w14:paraId="1E904708" w14:textId="77777777" w:rsidR="004D11C9" w:rsidRDefault="00463916" w:rsidP="004D11C9">
            <w:pPr>
              <w:jc w:val="both"/>
              <w:rPr>
                <w:rFonts w:ascii="Times New Roman" w:eastAsia="Arial" w:hAnsi="Times New Roman" w:cs="Arial"/>
                <w:b/>
                <w:bCs/>
                <w:noProof/>
                <w:sz w:val="24"/>
                <w:szCs w:val="20"/>
              </w:rPr>
            </w:pPr>
            <w:r>
              <w:rPr>
                <w:rFonts w:ascii="Times New Roman" w:hAnsi="Times New Roman"/>
                <w:b/>
                <w:sz w:val="24"/>
              </w:rPr>
              <w:t>C. Mazina piegādātājiem stimulu konkurēt</w:t>
            </w:r>
          </w:p>
          <w:p w14:paraId="7D54DEE1" w14:textId="77777777" w:rsidR="00463916" w:rsidRDefault="00463916" w:rsidP="004D11C9">
            <w:pPr>
              <w:jc w:val="both"/>
              <w:rPr>
                <w:rFonts w:ascii="Times New Roman" w:eastAsia="Arial" w:hAnsi="Times New Roman" w:cs="Arial"/>
                <w:b/>
                <w:bCs/>
                <w:noProof/>
                <w:sz w:val="24"/>
                <w:szCs w:val="20"/>
              </w:rPr>
            </w:pPr>
          </w:p>
          <w:p w14:paraId="0705971E" w14:textId="77777777" w:rsidR="00463916" w:rsidRDefault="00463916" w:rsidP="004D11C9">
            <w:pPr>
              <w:jc w:val="both"/>
              <w:rPr>
                <w:rFonts w:ascii="Times New Roman" w:eastAsia="Arial" w:hAnsi="Times New Roman" w:cs="Arial"/>
                <w:noProof/>
                <w:sz w:val="24"/>
                <w:szCs w:val="20"/>
              </w:rPr>
            </w:pPr>
            <w:r>
              <w:rPr>
                <w:rFonts w:ascii="Times New Roman" w:hAnsi="Times New Roman"/>
                <w:sz w:val="24"/>
              </w:rPr>
              <w:t>Šāda situācija ir iespējama gadījumos, kad tiesību norma:</w:t>
            </w:r>
          </w:p>
          <w:p w14:paraId="4A5D10C8" w14:textId="77777777" w:rsidR="00463916" w:rsidRDefault="00463916" w:rsidP="004D11C9">
            <w:pPr>
              <w:jc w:val="both"/>
              <w:rPr>
                <w:rFonts w:ascii="Times New Roman" w:eastAsia="Arial" w:hAnsi="Times New Roman" w:cs="Arial"/>
                <w:noProof/>
                <w:sz w:val="24"/>
                <w:szCs w:val="20"/>
              </w:rPr>
            </w:pPr>
          </w:p>
          <w:p w14:paraId="7FA7682D" w14:textId="77777777" w:rsidR="00463916" w:rsidRDefault="00463916" w:rsidP="00F4401E">
            <w:pPr>
              <w:pStyle w:val="ListParagraph"/>
              <w:numPr>
                <w:ilvl w:val="0"/>
                <w:numId w:val="36"/>
              </w:numPr>
              <w:ind w:left="254" w:hanging="254"/>
              <w:jc w:val="both"/>
              <w:rPr>
                <w:rFonts w:ascii="Times New Roman" w:eastAsia="Arial" w:hAnsi="Times New Roman" w:cs="Arial"/>
                <w:noProof/>
                <w:sz w:val="24"/>
                <w:szCs w:val="20"/>
              </w:rPr>
            </w:pPr>
            <w:r>
              <w:rPr>
                <w:rFonts w:ascii="Times New Roman" w:hAnsi="Times New Roman"/>
                <w:b/>
                <w:sz w:val="24"/>
              </w:rPr>
              <w:t xml:space="preserve">C1. </w:t>
            </w:r>
            <w:r>
              <w:rPr>
                <w:rFonts w:ascii="Times New Roman" w:hAnsi="Times New Roman"/>
                <w:sz w:val="24"/>
              </w:rPr>
              <w:t>rada pašregulējošu vai kopregulējošu sistēmu;</w:t>
            </w:r>
          </w:p>
          <w:p w14:paraId="560790A3" w14:textId="77777777" w:rsidR="00463916" w:rsidRDefault="00463916" w:rsidP="00F4401E">
            <w:pPr>
              <w:pStyle w:val="ListParagraph"/>
              <w:numPr>
                <w:ilvl w:val="0"/>
                <w:numId w:val="36"/>
              </w:numPr>
              <w:ind w:left="254" w:hanging="254"/>
              <w:jc w:val="both"/>
              <w:rPr>
                <w:rFonts w:ascii="Times New Roman" w:eastAsia="Arial" w:hAnsi="Times New Roman" w:cs="Arial"/>
                <w:noProof/>
                <w:sz w:val="24"/>
                <w:szCs w:val="20"/>
              </w:rPr>
            </w:pPr>
            <w:r>
              <w:rPr>
                <w:rFonts w:ascii="Times New Roman" w:hAnsi="Times New Roman"/>
                <w:b/>
                <w:sz w:val="24"/>
              </w:rPr>
              <w:t xml:space="preserve">C2. </w:t>
            </w:r>
            <w:r>
              <w:rPr>
                <w:rFonts w:ascii="Times New Roman" w:hAnsi="Times New Roman"/>
                <w:sz w:val="24"/>
              </w:rPr>
              <w:t>prasa vai mudina publicēt informāciju par piegādātāja produkciju, cenām, noietu vai izmaksām;</w:t>
            </w:r>
          </w:p>
          <w:p w14:paraId="21CB2FF9" w14:textId="62D5E05A" w:rsidR="00463916" w:rsidRPr="00463916" w:rsidRDefault="00463916" w:rsidP="00F4401E">
            <w:pPr>
              <w:pStyle w:val="ListParagraph"/>
              <w:numPr>
                <w:ilvl w:val="0"/>
                <w:numId w:val="36"/>
              </w:numPr>
              <w:ind w:left="254" w:hanging="254"/>
              <w:jc w:val="both"/>
              <w:rPr>
                <w:rFonts w:ascii="Times New Roman" w:eastAsia="Arial" w:hAnsi="Times New Roman" w:cs="Arial"/>
                <w:noProof/>
                <w:sz w:val="24"/>
                <w:szCs w:val="20"/>
              </w:rPr>
            </w:pPr>
            <w:r>
              <w:rPr>
                <w:rFonts w:ascii="Times New Roman" w:hAnsi="Times New Roman"/>
                <w:b/>
                <w:sz w:val="24"/>
              </w:rPr>
              <w:t xml:space="preserve">C3. </w:t>
            </w:r>
            <w:r>
              <w:rPr>
                <w:rFonts w:ascii="Times New Roman" w:hAnsi="Times New Roman"/>
                <w:sz w:val="24"/>
              </w:rPr>
              <w:t>izslēdz noteiktas rūpniecības nozares vai piegādātāju grupas darbības no vispārējo konkurences tiesību darbības jomas.</w:t>
            </w:r>
          </w:p>
        </w:tc>
        <w:tc>
          <w:tcPr>
            <w:tcW w:w="4531" w:type="dxa"/>
          </w:tcPr>
          <w:p w14:paraId="7100ACD4" w14:textId="77777777" w:rsidR="004D11C9" w:rsidRDefault="00463916" w:rsidP="004D11C9">
            <w:pPr>
              <w:jc w:val="both"/>
              <w:rPr>
                <w:rFonts w:ascii="Times New Roman" w:eastAsia="Arial" w:hAnsi="Times New Roman" w:cs="Arial"/>
                <w:b/>
                <w:bCs/>
                <w:noProof/>
                <w:sz w:val="24"/>
                <w:szCs w:val="20"/>
              </w:rPr>
            </w:pPr>
            <w:r>
              <w:rPr>
                <w:rFonts w:ascii="Times New Roman" w:hAnsi="Times New Roman"/>
                <w:b/>
                <w:sz w:val="24"/>
              </w:rPr>
              <w:t>D. Ierobežo pircējiem pieejamo izvēli un informāciju</w:t>
            </w:r>
          </w:p>
          <w:p w14:paraId="2CFFD449" w14:textId="77777777" w:rsidR="00463916" w:rsidRDefault="00463916" w:rsidP="004D11C9">
            <w:pPr>
              <w:jc w:val="both"/>
              <w:rPr>
                <w:rFonts w:ascii="Times New Roman" w:eastAsia="Arial" w:hAnsi="Times New Roman" w:cs="Arial"/>
                <w:b/>
                <w:bCs/>
                <w:noProof/>
                <w:sz w:val="24"/>
                <w:szCs w:val="20"/>
              </w:rPr>
            </w:pPr>
          </w:p>
          <w:p w14:paraId="48F0035F" w14:textId="77777777" w:rsidR="00463916" w:rsidRDefault="00463916" w:rsidP="004D11C9">
            <w:pPr>
              <w:jc w:val="both"/>
              <w:rPr>
                <w:rFonts w:ascii="Times New Roman" w:eastAsia="Arial" w:hAnsi="Times New Roman" w:cs="Arial"/>
                <w:noProof/>
                <w:sz w:val="24"/>
                <w:szCs w:val="20"/>
              </w:rPr>
            </w:pPr>
            <w:r>
              <w:rPr>
                <w:rFonts w:ascii="Times New Roman" w:hAnsi="Times New Roman"/>
                <w:sz w:val="24"/>
              </w:rPr>
              <w:t>Šāda situācija ir iespējama gadījumos, kad tiesību norma:</w:t>
            </w:r>
          </w:p>
          <w:p w14:paraId="2D51A232" w14:textId="77777777" w:rsidR="00463916" w:rsidRDefault="00463916" w:rsidP="004D11C9">
            <w:pPr>
              <w:jc w:val="both"/>
              <w:rPr>
                <w:rFonts w:ascii="Times New Roman" w:eastAsia="Arial" w:hAnsi="Times New Roman" w:cs="Arial"/>
                <w:noProof/>
                <w:sz w:val="24"/>
                <w:szCs w:val="20"/>
              </w:rPr>
            </w:pPr>
          </w:p>
          <w:p w14:paraId="390259E2" w14:textId="77777777" w:rsidR="00463916" w:rsidRPr="00F4401E" w:rsidRDefault="00463916" w:rsidP="00F4401E">
            <w:pPr>
              <w:pStyle w:val="ListParagraph"/>
              <w:numPr>
                <w:ilvl w:val="0"/>
                <w:numId w:val="37"/>
              </w:numPr>
              <w:ind w:left="261" w:hanging="261"/>
              <w:jc w:val="both"/>
              <w:rPr>
                <w:rFonts w:ascii="Times New Roman" w:eastAsia="Arial" w:hAnsi="Times New Roman" w:cs="Arial"/>
                <w:noProof/>
                <w:sz w:val="24"/>
                <w:szCs w:val="20"/>
              </w:rPr>
            </w:pPr>
            <w:r w:rsidRPr="00F4401E">
              <w:rPr>
                <w:rFonts w:ascii="Times New Roman" w:hAnsi="Times New Roman"/>
                <w:b/>
                <w:sz w:val="24"/>
              </w:rPr>
              <w:t xml:space="preserve">D1. </w:t>
            </w:r>
            <w:r w:rsidRPr="00F4401E">
              <w:rPr>
                <w:rFonts w:ascii="Times New Roman" w:hAnsi="Times New Roman"/>
                <w:sz w:val="24"/>
              </w:rPr>
              <w:t>ierobežo patērētāju iespējas izvēlēties, kur iepirkties;</w:t>
            </w:r>
          </w:p>
          <w:p w14:paraId="7E588A00" w14:textId="77777777" w:rsidR="00463916" w:rsidRPr="00F4401E" w:rsidRDefault="00463916" w:rsidP="00F4401E">
            <w:pPr>
              <w:pStyle w:val="ListParagraph"/>
              <w:numPr>
                <w:ilvl w:val="0"/>
                <w:numId w:val="37"/>
              </w:numPr>
              <w:ind w:left="261" w:hanging="261"/>
              <w:jc w:val="both"/>
              <w:rPr>
                <w:rFonts w:ascii="Times New Roman" w:eastAsia="Arial" w:hAnsi="Times New Roman" w:cs="Arial"/>
                <w:noProof/>
                <w:sz w:val="24"/>
                <w:szCs w:val="20"/>
              </w:rPr>
            </w:pPr>
            <w:r w:rsidRPr="00F4401E">
              <w:rPr>
                <w:rFonts w:ascii="Times New Roman" w:hAnsi="Times New Roman"/>
                <w:b/>
                <w:sz w:val="24"/>
              </w:rPr>
              <w:t xml:space="preserve">D2. </w:t>
            </w:r>
            <w:r w:rsidRPr="00F4401E">
              <w:rPr>
                <w:rFonts w:ascii="Times New Roman" w:hAnsi="Times New Roman"/>
                <w:sz w:val="24"/>
              </w:rPr>
              <w:t>samazina pircēju mobilitāti starp preču vai pakalpojumu piegādātājiem, paaugstinot piegādātāju maiņas tiešās vai netiešās izmaksas;</w:t>
            </w:r>
          </w:p>
          <w:p w14:paraId="0AFC2207" w14:textId="0FBF78F6" w:rsidR="00463916" w:rsidRPr="00F4401E" w:rsidRDefault="00463916" w:rsidP="00F4401E">
            <w:pPr>
              <w:pStyle w:val="ListParagraph"/>
              <w:numPr>
                <w:ilvl w:val="0"/>
                <w:numId w:val="37"/>
              </w:numPr>
              <w:ind w:left="261" w:hanging="261"/>
              <w:jc w:val="both"/>
              <w:rPr>
                <w:rFonts w:ascii="Times New Roman" w:eastAsia="Arial" w:hAnsi="Times New Roman" w:cs="Arial"/>
                <w:noProof/>
                <w:sz w:val="24"/>
                <w:szCs w:val="20"/>
              </w:rPr>
            </w:pPr>
            <w:r w:rsidRPr="00F4401E">
              <w:rPr>
                <w:rFonts w:ascii="Times New Roman" w:hAnsi="Times New Roman"/>
                <w:b/>
                <w:sz w:val="24"/>
              </w:rPr>
              <w:t xml:space="preserve">D3. </w:t>
            </w:r>
            <w:r w:rsidRPr="00F4401E">
              <w:rPr>
                <w:rFonts w:ascii="Times New Roman" w:hAnsi="Times New Roman"/>
                <w:sz w:val="24"/>
              </w:rPr>
              <w:t>būtiski maina informāciju, kas nepieciešama pircējiem, lai efektīvi iepirktos.</w:t>
            </w:r>
          </w:p>
        </w:tc>
      </w:tr>
    </w:tbl>
    <w:p w14:paraId="2EBB7A72" w14:textId="77777777" w:rsidR="000A6469" w:rsidRPr="004D11C9" w:rsidRDefault="000A6469" w:rsidP="004D11C9">
      <w:pPr>
        <w:jc w:val="both"/>
        <w:rPr>
          <w:rFonts w:ascii="Times New Roman" w:eastAsia="Arial" w:hAnsi="Times New Roman" w:cs="Arial"/>
          <w:noProof/>
          <w:sz w:val="24"/>
          <w:szCs w:val="20"/>
        </w:rPr>
      </w:pPr>
    </w:p>
    <w:p w14:paraId="6955259A" w14:textId="19DE2ED7" w:rsidR="00463916" w:rsidRDefault="00463916">
      <w:pPr>
        <w:rPr>
          <w:rFonts w:ascii="Times New Roman" w:eastAsia="Arial" w:hAnsi="Times New Roman" w:cs="Arial"/>
          <w:noProof/>
          <w:sz w:val="24"/>
          <w:szCs w:val="20"/>
        </w:rPr>
      </w:pPr>
      <w:r>
        <w:br w:type="page"/>
      </w:r>
    </w:p>
    <w:p w14:paraId="1ABA23AB" w14:textId="7DC5C9F4" w:rsidR="000A6469" w:rsidRDefault="000A6469" w:rsidP="004D11C9">
      <w:pPr>
        <w:jc w:val="both"/>
        <w:rPr>
          <w:rFonts w:ascii="Times New Roman" w:eastAsia="Times New Roman" w:hAnsi="Times New Roman" w:cs="Times New Roman"/>
          <w:noProof/>
          <w:sz w:val="24"/>
          <w:szCs w:val="27"/>
        </w:rPr>
      </w:pPr>
    </w:p>
    <w:p w14:paraId="27E184E9" w14:textId="11B4AE72" w:rsidR="00F4401E" w:rsidRDefault="00F4401E" w:rsidP="004D11C9">
      <w:pPr>
        <w:jc w:val="both"/>
        <w:rPr>
          <w:rFonts w:ascii="Times New Roman" w:eastAsia="Times New Roman" w:hAnsi="Times New Roman" w:cs="Times New Roman"/>
          <w:noProof/>
          <w:sz w:val="24"/>
          <w:szCs w:val="27"/>
        </w:rPr>
      </w:pPr>
    </w:p>
    <w:p w14:paraId="5B95100C" w14:textId="009584E3" w:rsidR="00F4401E" w:rsidRDefault="00F4401E" w:rsidP="004D11C9">
      <w:pPr>
        <w:jc w:val="both"/>
        <w:rPr>
          <w:rFonts w:ascii="Times New Roman" w:eastAsia="Times New Roman" w:hAnsi="Times New Roman" w:cs="Times New Roman"/>
          <w:noProof/>
          <w:sz w:val="24"/>
          <w:szCs w:val="27"/>
        </w:rPr>
      </w:pPr>
    </w:p>
    <w:p w14:paraId="0317BADB" w14:textId="77777777" w:rsidR="00F4401E" w:rsidRPr="004D11C9" w:rsidRDefault="00F4401E" w:rsidP="004D11C9">
      <w:pPr>
        <w:jc w:val="both"/>
        <w:rPr>
          <w:rFonts w:ascii="Times New Roman" w:eastAsia="Times New Roman" w:hAnsi="Times New Roman" w:cs="Times New Roman"/>
          <w:noProof/>
          <w:sz w:val="24"/>
          <w:szCs w:val="27"/>
        </w:rPr>
      </w:pPr>
    </w:p>
    <w:p w14:paraId="312CD56A" w14:textId="52E138C5" w:rsidR="000A6469" w:rsidRPr="00F4401E" w:rsidRDefault="000A6469" w:rsidP="00F4401E">
      <w:pPr>
        <w:ind w:left="3969"/>
        <w:jc w:val="right"/>
        <w:rPr>
          <w:rFonts w:ascii="Times New Roman" w:hAnsi="Times New Roman"/>
          <w:b/>
          <w:noProof/>
          <w:sz w:val="44"/>
          <w:szCs w:val="40"/>
        </w:rPr>
      </w:pPr>
      <w:bookmarkStart w:id="0" w:name="Competition__Assessment_Toolkit"/>
      <w:bookmarkEnd w:id="0"/>
      <w:r w:rsidRPr="00F4401E">
        <w:rPr>
          <w:rFonts w:ascii="Times New Roman" w:hAnsi="Times New Roman"/>
          <w:b/>
          <w:sz w:val="44"/>
          <w:szCs w:val="40"/>
        </w:rPr>
        <w:t>Konkurences novērtēšanas metodiskais līdzeklis</w:t>
      </w:r>
    </w:p>
    <w:p w14:paraId="63831111" w14:textId="4F2BE5D3" w:rsidR="00463916" w:rsidRDefault="00463916" w:rsidP="004D11C9">
      <w:pPr>
        <w:jc w:val="both"/>
        <w:rPr>
          <w:rFonts w:ascii="Times New Roman" w:hAnsi="Times New Roman"/>
          <w:b/>
          <w:noProof/>
          <w:sz w:val="24"/>
        </w:rPr>
      </w:pPr>
    </w:p>
    <w:p w14:paraId="621CA658" w14:textId="00265DE2" w:rsidR="00F4401E" w:rsidRDefault="00F4401E" w:rsidP="004D11C9">
      <w:pPr>
        <w:jc w:val="both"/>
        <w:rPr>
          <w:rFonts w:ascii="Times New Roman" w:hAnsi="Times New Roman"/>
          <w:b/>
          <w:noProof/>
          <w:sz w:val="24"/>
        </w:rPr>
      </w:pPr>
    </w:p>
    <w:p w14:paraId="5AEC4765" w14:textId="77777777" w:rsidR="00F4401E" w:rsidRDefault="00F4401E" w:rsidP="004D11C9">
      <w:pPr>
        <w:jc w:val="both"/>
        <w:rPr>
          <w:rFonts w:ascii="Times New Roman" w:hAnsi="Times New Roman"/>
          <w:b/>
          <w:noProof/>
          <w:sz w:val="24"/>
        </w:rPr>
      </w:pPr>
    </w:p>
    <w:p w14:paraId="20040D04" w14:textId="254BAEF1" w:rsidR="000A6469" w:rsidRPr="004D11C9" w:rsidRDefault="000A6469" w:rsidP="00F4401E">
      <w:pPr>
        <w:jc w:val="right"/>
        <w:rPr>
          <w:rFonts w:ascii="Times New Roman" w:hAnsi="Times New Roman"/>
          <w:b/>
          <w:noProof/>
          <w:sz w:val="24"/>
        </w:rPr>
      </w:pPr>
      <w:r>
        <w:rPr>
          <w:rFonts w:ascii="Times New Roman" w:hAnsi="Times New Roman"/>
          <w:b/>
          <w:sz w:val="24"/>
        </w:rPr>
        <w:t>3. sējums</w:t>
      </w:r>
    </w:p>
    <w:p w14:paraId="3D2B2097" w14:textId="1AB197DC" w:rsidR="000A6469" w:rsidRPr="00F4401E" w:rsidRDefault="000A6469" w:rsidP="00F4401E">
      <w:pPr>
        <w:jc w:val="right"/>
        <w:rPr>
          <w:rFonts w:ascii="Times New Roman" w:hAnsi="Times New Roman"/>
          <w:b/>
          <w:noProof/>
          <w:sz w:val="28"/>
          <w:szCs w:val="24"/>
        </w:rPr>
      </w:pPr>
      <w:r w:rsidRPr="00F4401E">
        <w:rPr>
          <w:rFonts w:ascii="Times New Roman" w:hAnsi="Times New Roman"/>
          <w:b/>
          <w:sz w:val="28"/>
          <w:szCs w:val="24"/>
        </w:rPr>
        <w:t>Konkurences novērtēšanas rokasgrāmata</w:t>
      </w:r>
    </w:p>
    <w:p w14:paraId="3A8E0A23" w14:textId="05D11EDC" w:rsidR="000A6469" w:rsidRDefault="000A6469" w:rsidP="004D11C9">
      <w:pPr>
        <w:jc w:val="both"/>
        <w:rPr>
          <w:rFonts w:ascii="Times New Roman" w:eastAsia="Arial" w:hAnsi="Times New Roman" w:cs="Arial"/>
          <w:b/>
          <w:bCs/>
          <w:noProof/>
          <w:sz w:val="24"/>
          <w:szCs w:val="20"/>
        </w:rPr>
      </w:pPr>
    </w:p>
    <w:p w14:paraId="42998D34" w14:textId="17CACEF9" w:rsidR="00F4401E" w:rsidRDefault="00F4401E" w:rsidP="004D11C9">
      <w:pPr>
        <w:jc w:val="both"/>
        <w:rPr>
          <w:rFonts w:ascii="Times New Roman" w:eastAsia="Arial" w:hAnsi="Times New Roman" w:cs="Arial"/>
          <w:b/>
          <w:bCs/>
          <w:noProof/>
          <w:sz w:val="24"/>
          <w:szCs w:val="20"/>
        </w:rPr>
      </w:pPr>
    </w:p>
    <w:p w14:paraId="5A72DA15" w14:textId="77777777" w:rsidR="00F4401E" w:rsidRPr="004D11C9" w:rsidRDefault="00F4401E" w:rsidP="004D11C9">
      <w:pPr>
        <w:jc w:val="both"/>
        <w:rPr>
          <w:rFonts w:ascii="Times New Roman" w:eastAsia="Arial" w:hAnsi="Times New Roman" w:cs="Arial"/>
          <w:b/>
          <w:bCs/>
          <w:noProof/>
          <w:sz w:val="24"/>
          <w:szCs w:val="20"/>
        </w:rPr>
      </w:pPr>
    </w:p>
    <w:p w14:paraId="7627ACEA" w14:textId="209FA68D" w:rsidR="000A6469" w:rsidRPr="004D11C9" w:rsidRDefault="00F4401E" w:rsidP="004D11C9">
      <w:pPr>
        <w:jc w:val="both"/>
        <w:rPr>
          <w:rFonts w:ascii="Times New Roman" w:eastAsia="Arial" w:hAnsi="Times New Roman" w:cs="Arial"/>
          <w:b/>
          <w:bCs/>
          <w:noProof/>
          <w:sz w:val="24"/>
          <w:szCs w:val="26"/>
        </w:rPr>
      </w:pPr>
      <w:r w:rsidRPr="00F4401E">
        <w:rPr>
          <w:rFonts w:ascii="Times New Roman" w:eastAsia="Arial" w:hAnsi="Times New Roman" w:cs="Arial"/>
          <w:b/>
          <w:bCs/>
          <w:noProof/>
          <w:sz w:val="24"/>
          <w:szCs w:val="26"/>
        </w:rPr>
        <w:drawing>
          <wp:inline distT="0" distB="0" distL="0" distR="0" wp14:anchorId="116253C1" wp14:editId="653AECE9">
            <wp:extent cx="2924175" cy="25241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4175" cy="2524125"/>
                    </a:xfrm>
                    <a:prstGeom prst="rect">
                      <a:avLst/>
                    </a:prstGeom>
                    <a:noFill/>
                    <a:ln>
                      <a:noFill/>
                    </a:ln>
                  </pic:spPr>
                </pic:pic>
              </a:graphicData>
            </a:graphic>
          </wp:inline>
        </w:drawing>
      </w:r>
    </w:p>
    <w:p w14:paraId="6B2182CB" w14:textId="27C52506" w:rsidR="000A6469" w:rsidRDefault="000A6469" w:rsidP="004D11C9">
      <w:pPr>
        <w:jc w:val="both"/>
        <w:rPr>
          <w:rFonts w:ascii="Times New Roman" w:eastAsia="Arial" w:hAnsi="Times New Roman" w:cs="Arial"/>
          <w:noProof/>
          <w:sz w:val="24"/>
          <w:szCs w:val="20"/>
        </w:rPr>
      </w:pPr>
    </w:p>
    <w:p w14:paraId="512A1AB0" w14:textId="574EC507" w:rsidR="00F4401E" w:rsidRDefault="00F4401E" w:rsidP="004D11C9">
      <w:pPr>
        <w:jc w:val="both"/>
        <w:rPr>
          <w:rFonts w:ascii="Times New Roman" w:eastAsia="Arial" w:hAnsi="Times New Roman" w:cs="Arial"/>
          <w:noProof/>
          <w:sz w:val="24"/>
          <w:szCs w:val="20"/>
        </w:rPr>
      </w:pPr>
    </w:p>
    <w:p w14:paraId="03E97763" w14:textId="2E95BC46" w:rsidR="00F4401E" w:rsidRDefault="00F4401E" w:rsidP="004D11C9">
      <w:pPr>
        <w:jc w:val="both"/>
        <w:rPr>
          <w:rFonts w:ascii="Times New Roman" w:eastAsia="Arial" w:hAnsi="Times New Roman" w:cs="Arial"/>
          <w:noProof/>
          <w:sz w:val="24"/>
          <w:szCs w:val="20"/>
        </w:rPr>
      </w:pPr>
    </w:p>
    <w:p w14:paraId="4164A2D2" w14:textId="4CC72084" w:rsidR="00F4401E" w:rsidRDefault="00F4401E" w:rsidP="004D11C9">
      <w:pPr>
        <w:jc w:val="both"/>
        <w:rPr>
          <w:rFonts w:ascii="Times New Roman" w:eastAsia="Arial" w:hAnsi="Times New Roman" w:cs="Arial"/>
          <w:noProof/>
          <w:sz w:val="24"/>
          <w:szCs w:val="20"/>
        </w:rPr>
      </w:pPr>
    </w:p>
    <w:p w14:paraId="3FAE68EE" w14:textId="20FC396C" w:rsidR="00F4401E" w:rsidRDefault="00F4401E" w:rsidP="004D11C9">
      <w:pPr>
        <w:jc w:val="both"/>
        <w:rPr>
          <w:rFonts w:ascii="Times New Roman" w:eastAsia="Arial" w:hAnsi="Times New Roman" w:cs="Arial"/>
          <w:noProof/>
          <w:sz w:val="24"/>
          <w:szCs w:val="20"/>
        </w:rPr>
      </w:pPr>
    </w:p>
    <w:p w14:paraId="0733983D" w14:textId="616411E2" w:rsidR="00F4401E" w:rsidRDefault="00F4401E" w:rsidP="004D11C9">
      <w:pPr>
        <w:jc w:val="both"/>
        <w:rPr>
          <w:rFonts w:ascii="Times New Roman" w:eastAsia="Arial" w:hAnsi="Times New Roman" w:cs="Arial"/>
          <w:noProof/>
          <w:sz w:val="24"/>
          <w:szCs w:val="20"/>
        </w:rPr>
      </w:pPr>
    </w:p>
    <w:p w14:paraId="570EEE01" w14:textId="72CD9392" w:rsidR="00F4401E" w:rsidRDefault="00F4401E" w:rsidP="004D11C9">
      <w:pPr>
        <w:jc w:val="both"/>
        <w:rPr>
          <w:rFonts w:ascii="Times New Roman" w:eastAsia="Arial" w:hAnsi="Times New Roman" w:cs="Arial"/>
          <w:noProof/>
          <w:sz w:val="24"/>
          <w:szCs w:val="20"/>
        </w:rPr>
      </w:pPr>
    </w:p>
    <w:p w14:paraId="53A347DE" w14:textId="3A08E4FE" w:rsidR="00F4401E" w:rsidRDefault="00F4401E" w:rsidP="004D11C9">
      <w:pPr>
        <w:jc w:val="both"/>
        <w:rPr>
          <w:rFonts w:ascii="Times New Roman" w:eastAsia="Arial" w:hAnsi="Times New Roman" w:cs="Arial"/>
          <w:noProof/>
          <w:sz w:val="24"/>
          <w:szCs w:val="20"/>
        </w:rPr>
      </w:pPr>
    </w:p>
    <w:p w14:paraId="0245B9D8" w14:textId="47F75794" w:rsidR="00F4401E" w:rsidRDefault="00F4401E" w:rsidP="004D11C9">
      <w:pPr>
        <w:jc w:val="both"/>
        <w:rPr>
          <w:rFonts w:ascii="Times New Roman" w:eastAsia="Arial" w:hAnsi="Times New Roman" w:cs="Arial"/>
          <w:noProof/>
          <w:sz w:val="24"/>
          <w:szCs w:val="20"/>
        </w:rPr>
      </w:pPr>
    </w:p>
    <w:p w14:paraId="76E7A6E0" w14:textId="2FF9D59D" w:rsidR="00F4401E" w:rsidRDefault="00F4401E" w:rsidP="004D11C9">
      <w:pPr>
        <w:jc w:val="both"/>
        <w:rPr>
          <w:rFonts w:ascii="Times New Roman" w:eastAsia="Arial" w:hAnsi="Times New Roman" w:cs="Arial"/>
          <w:noProof/>
          <w:sz w:val="24"/>
          <w:szCs w:val="20"/>
        </w:rPr>
      </w:pPr>
    </w:p>
    <w:p w14:paraId="1E84B3CA" w14:textId="63F2185C" w:rsidR="00F4401E" w:rsidRDefault="00F4401E" w:rsidP="004D11C9">
      <w:pPr>
        <w:jc w:val="both"/>
        <w:rPr>
          <w:rFonts w:ascii="Times New Roman" w:eastAsia="Arial" w:hAnsi="Times New Roman" w:cs="Arial"/>
          <w:noProof/>
          <w:sz w:val="24"/>
          <w:szCs w:val="20"/>
        </w:rPr>
      </w:pPr>
    </w:p>
    <w:p w14:paraId="599D624E" w14:textId="77777777" w:rsidR="00F4401E" w:rsidRPr="004D11C9" w:rsidRDefault="00F4401E" w:rsidP="004D11C9">
      <w:pPr>
        <w:jc w:val="both"/>
        <w:rPr>
          <w:rFonts w:ascii="Times New Roman" w:eastAsia="Arial" w:hAnsi="Times New Roman" w:cs="Arial"/>
          <w:noProof/>
          <w:sz w:val="24"/>
          <w:szCs w:val="20"/>
        </w:rPr>
      </w:pPr>
    </w:p>
    <w:p w14:paraId="7FA39443" w14:textId="6DB0D3C5" w:rsidR="000A6469" w:rsidRPr="004D11C9" w:rsidRDefault="00463916" w:rsidP="004D11C9">
      <w:pPr>
        <w:jc w:val="both"/>
        <w:rPr>
          <w:rFonts w:ascii="Times New Roman" w:eastAsia="Arial" w:hAnsi="Times New Roman" w:cs="Arial"/>
          <w:b/>
          <w:bCs/>
          <w:noProof/>
          <w:sz w:val="24"/>
          <w:szCs w:val="20"/>
        </w:rPr>
      </w:pPr>
      <w:r>
        <w:rPr>
          <w:rFonts w:ascii="Times New Roman" w:hAnsi="Times New Roman"/>
          <w:b/>
          <w:bCs/>
          <w:noProof/>
          <w:sz w:val="24"/>
          <w:szCs w:val="20"/>
        </w:rPr>
        <w:drawing>
          <wp:inline distT="0" distB="0" distL="0" distR="0" wp14:anchorId="7E7FD5A1" wp14:editId="0E4AFBF6">
            <wp:extent cx="1743710" cy="563245"/>
            <wp:effectExtent l="0" t="0" r="8890" b="8255"/>
            <wp:docPr id="6450" name="Picture 6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3710" cy="563245"/>
                    </a:xfrm>
                    <a:prstGeom prst="rect">
                      <a:avLst/>
                    </a:prstGeom>
                    <a:noFill/>
                    <a:ln>
                      <a:noFill/>
                    </a:ln>
                  </pic:spPr>
                </pic:pic>
              </a:graphicData>
            </a:graphic>
          </wp:inline>
        </w:drawing>
      </w:r>
    </w:p>
    <w:p w14:paraId="417BCB8C" w14:textId="7D9DB0A3" w:rsidR="000A6469" w:rsidRPr="00463916" w:rsidRDefault="00463916" w:rsidP="00F4401E">
      <w:pPr>
        <w:ind w:left="1418"/>
        <w:jc w:val="both"/>
        <w:rPr>
          <w:rFonts w:ascii="Times New Roman" w:eastAsia="Arial" w:hAnsi="Times New Roman" w:cs="Arial"/>
          <w:b/>
          <w:bCs/>
          <w:noProof/>
          <w:sz w:val="24"/>
          <w:szCs w:val="20"/>
        </w:rPr>
      </w:pPr>
      <w:r>
        <w:rPr>
          <w:rFonts w:ascii="Times New Roman" w:hAnsi="Times New Roman"/>
          <w:b/>
          <w:sz w:val="24"/>
        </w:rPr>
        <w:t>ESAO</w:t>
      </w:r>
    </w:p>
    <w:p w14:paraId="453C816A" w14:textId="77777777" w:rsidR="000A6469" w:rsidRPr="004D11C9" w:rsidRDefault="000A6469" w:rsidP="004D11C9">
      <w:pPr>
        <w:jc w:val="both"/>
        <w:rPr>
          <w:rFonts w:ascii="Times New Roman" w:eastAsia="Arial" w:hAnsi="Times New Roman" w:cs="Arial"/>
          <w:b/>
          <w:bCs/>
          <w:noProof/>
          <w:sz w:val="24"/>
          <w:szCs w:val="20"/>
        </w:rPr>
      </w:pPr>
    </w:p>
    <w:p w14:paraId="3D3DAB41" w14:textId="258E491D" w:rsidR="00463916" w:rsidRDefault="00463916">
      <w:pPr>
        <w:rPr>
          <w:rFonts w:ascii="Times New Roman" w:eastAsia="Arial" w:hAnsi="Times New Roman" w:cs="Arial"/>
          <w:b/>
          <w:bCs/>
          <w:noProof/>
          <w:sz w:val="24"/>
          <w:szCs w:val="20"/>
        </w:rPr>
      </w:pPr>
      <w:r>
        <w:br w:type="page"/>
      </w:r>
    </w:p>
    <w:p w14:paraId="5E97A697" w14:textId="61B012D0" w:rsidR="000A6469" w:rsidRDefault="000A6469" w:rsidP="004D11C9">
      <w:pPr>
        <w:jc w:val="both"/>
        <w:rPr>
          <w:rFonts w:ascii="Times New Roman" w:eastAsia="Arial" w:hAnsi="Times New Roman" w:cs="Arial"/>
          <w:b/>
          <w:bCs/>
          <w:noProof/>
          <w:sz w:val="24"/>
          <w:szCs w:val="20"/>
        </w:rPr>
      </w:pPr>
    </w:p>
    <w:p w14:paraId="3ACE995E" w14:textId="22DE82E4" w:rsidR="00F4401E" w:rsidRDefault="00F4401E" w:rsidP="004D11C9">
      <w:pPr>
        <w:jc w:val="both"/>
        <w:rPr>
          <w:rFonts w:ascii="Times New Roman" w:eastAsia="Arial" w:hAnsi="Times New Roman" w:cs="Arial"/>
          <w:b/>
          <w:bCs/>
          <w:noProof/>
          <w:sz w:val="24"/>
          <w:szCs w:val="20"/>
        </w:rPr>
      </w:pPr>
    </w:p>
    <w:p w14:paraId="4D503334" w14:textId="18C92B95" w:rsidR="00F4401E" w:rsidRDefault="00F4401E" w:rsidP="004D11C9">
      <w:pPr>
        <w:jc w:val="both"/>
        <w:rPr>
          <w:rFonts w:ascii="Times New Roman" w:eastAsia="Arial" w:hAnsi="Times New Roman" w:cs="Arial"/>
          <w:b/>
          <w:bCs/>
          <w:noProof/>
          <w:sz w:val="24"/>
          <w:szCs w:val="20"/>
        </w:rPr>
      </w:pPr>
    </w:p>
    <w:p w14:paraId="7899B6DC" w14:textId="3C091DEB" w:rsidR="00F4401E" w:rsidRDefault="00F4401E" w:rsidP="004D11C9">
      <w:pPr>
        <w:jc w:val="both"/>
        <w:rPr>
          <w:rFonts w:ascii="Times New Roman" w:eastAsia="Arial" w:hAnsi="Times New Roman" w:cs="Arial"/>
          <w:b/>
          <w:bCs/>
          <w:noProof/>
          <w:sz w:val="24"/>
          <w:szCs w:val="20"/>
        </w:rPr>
      </w:pPr>
    </w:p>
    <w:p w14:paraId="44CD8DEC" w14:textId="77777777" w:rsidR="00F4401E" w:rsidRPr="004D11C9" w:rsidRDefault="00F4401E" w:rsidP="004D11C9">
      <w:pPr>
        <w:jc w:val="both"/>
        <w:rPr>
          <w:rFonts w:ascii="Times New Roman" w:eastAsia="Arial" w:hAnsi="Times New Roman" w:cs="Arial"/>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463916" w14:paraId="2524E7CE" w14:textId="77777777" w:rsidTr="00463916">
        <w:tc>
          <w:tcPr>
            <w:tcW w:w="9062" w:type="dxa"/>
          </w:tcPr>
          <w:p w14:paraId="1AB5B815" w14:textId="77777777" w:rsidR="001B172E" w:rsidRPr="00463916" w:rsidRDefault="001B172E" w:rsidP="001B172E">
            <w:pPr>
              <w:jc w:val="both"/>
              <w:rPr>
                <w:rFonts w:ascii="Times New Roman" w:hAnsi="Times New Roman"/>
                <w:noProof/>
                <w:sz w:val="24"/>
              </w:rPr>
            </w:pPr>
            <w:r>
              <w:rPr>
                <w:rFonts w:ascii="Times New Roman" w:hAnsi="Times New Roman"/>
                <w:sz w:val="24"/>
              </w:rPr>
              <w:t>Kad tiek citēts šis dokuments, lūdzam izmantot šādu atsauci:</w:t>
            </w:r>
          </w:p>
          <w:p w14:paraId="0E7E7A42" w14:textId="33B9488B" w:rsidR="00463916" w:rsidRPr="001B172E" w:rsidRDefault="001B172E" w:rsidP="004D11C9">
            <w:pPr>
              <w:jc w:val="both"/>
              <w:rPr>
                <w:rFonts w:ascii="Times New Roman" w:eastAsia="Arial" w:hAnsi="Times New Roman" w:cs="Arial"/>
                <w:noProof/>
                <w:sz w:val="24"/>
                <w:szCs w:val="20"/>
              </w:rPr>
            </w:pPr>
            <w:r>
              <w:rPr>
                <w:rFonts w:ascii="Times New Roman" w:hAnsi="Times New Roman"/>
                <w:sz w:val="24"/>
              </w:rPr>
              <w:t xml:space="preserve">ESAO (2019), </w:t>
            </w:r>
            <w:r>
              <w:rPr>
                <w:rFonts w:ascii="Times New Roman" w:hAnsi="Times New Roman"/>
                <w:i/>
                <w:sz w:val="24"/>
              </w:rPr>
              <w:t xml:space="preserve">Competition Assessment Toolkit: Volume 3. Operational Manual, </w:t>
            </w:r>
            <w:r>
              <w:rPr>
                <w:rFonts w:ascii="Times New Roman" w:hAnsi="Times New Roman"/>
                <w:color w:val="0000FF"/>
                <w:sz w:val="24"/>
                <w:u w:val="single" w:color="0000FF"/>
              </w:rPr>
              <w:t>www.oecd.org/competition/toolkit</w:t>
            </w:r>
          </w:p>
        </w:tc>
      </w:tr>
    </w:tbl>
    <w:p w14:paraId="01DFBE19" w14:textId="77777777" w:rsidR="000A6469" w:rsidRPr="004D11C9" w:rsidRDefault="000A6469" w:rsidP="004D11C9">
      <w:pPr>
        <w:jc w:val="both"/>
        <w:rPr>
          <w:rFonts w:ascii="Times New Roman" w:eastAsia="Arial" w:hAnsi="Times New Roman" w:cs="Arial"/>
          <w:b/>
          <w:bCs/>
          <w:noProof/>
          <w:sz w:val="24"/>
          <w:szCs w:val="20"/>
        </w:rPr>
      </w:pPr>
    </w:p>
    <w:p w14:paraId="53C76407" w14:textId="1CCA7080" w:rsidR="000A6469" w:rsidRDefault="000A6469" w:rsidP="004D11C9">
      <w:pPr>
        <w:jc w:val="both"/>
        <w:rPr>
          <w:rFonts w:ascii="Times New Roman" w:eastAsia="Arial" w:hAnsi="Times New Roman" w:cs="Arial"/>
          <w:b/>
          <w:bCs/>
          <w:noProof/>
          <w:sz w:val="24"/>
          <w:szCs w:val="20"/>
        </w:rPr>
      </w:pPr>
    </w:p>
    <w:p w14:paraId="1D4AA935" w14:textId="544A0D66" w:rsidR="00F4401E" w:rsidRDefault="00F4401E" w:rsidP="004D11C9">
      <w:pPr>
        <w:jc w:val="both"/>
        <w:rPr>
          <w:rFonts w:ascii="Times New Roman" w:eastAsia="Arial" w:hAnsi="Times New Roman" w:cs="Arial"/>
          <w:b/>
          <w:bCs/>
          <w:noProof/>
          <w:sz w:val="24"/>
          <w:szCs w:val="20"/>
        </w:rPr>
      </w:pPr>
    </w:p>
    <w:p w14:paraId="37F0F645" w14:textId="32248457" w:rsidR="00F4401E" w:rsidRDefault="00F4401E" w:rsidP="004D11C9">
      <w:pPr>
        <w:jc w:val="both"/>
        <w:rPr>
          <w:rFonts w:ascii="Times New Roman" w:eastAsia="Arial" w:hAnsi="Times New Roman" w:cs="Arial"/>
          <w:b/>
          <w:bCs/>
          <w:noProof/>
          <w:sz w:val="24"/>
          <w:szCs w:val="20"/>
        </w:rPr>
      </w:pPr>
    </w:p>
    <w:p w14:paraId="3DF5DE30" w14:textId="1C59B673" w:rsidR="00F4401E" w:rsidRDefault="00F4401E" w:rsidP="004D11C9">
      <w:pPr>
        <w:jc w:val="both"/>
        <w:rPr>
          <w:rFonts w:ascii="Times New Roman" w:eastAsia="Arial" w:hAnsi="Times New Roman" w:cs="Arial"/>
          <w:b/>
          <w:bCs/>
          <w:noProof/>
          <w:sz w:val="24"/>
          <w:szCs w:val="20"/>
        </w:rPr>
      </w:pPr>
    </w:p>
    <w:p w14:paraId="38B9198B" w14:textId="3015B314" w:rsidR="00F4401E" w:rsidRDefault="00F4401E" w:rsidP="004D11C9">
      <w:pPr>
        <w:jc w:val="both"/>
        <w:rPr>
          <w:rFonts w:ascii="Times New Roman" w:eastAsia="Arial" w:hAnsi="Times New Roman" w:cs="Arial"/>
          <w:b/>
          <w:bCs/>
          <w:noProof/>
          <w:sz w:val="24"/>
          <w:szCs w:val="20"/>
        </w:rPr>
      </w:pPr>
    </w:p>
    <w:p w14:paraId="4B83C7FA" w14:textId="199BA720" w:rsidR="00F4401E" w:rsidRDefault="00F4401E" w:rsidP="004D11C9">
      <w:pPr>
        <w:jc w:val="both"/>
        <w:rPr>
          <w:rFonts w:ascii="Times New Roman" w:eastAsia="Arial" w:hAnsi="Times New Roman" w:cs="Arial"/>
          <w:b/>
          <w:bCs/>
          <w:noProof/>
          <w:sz w:val="24"/>
          <w:szCs w:val="20"/>
        </w:rPr>
      </w:pPr>
    </w:p>
    <w:p w14:paraId="03674049" w14:textId="2B19D2D7" w:rsidR="00F4401E" w:rsidRDefault="00F4401E" w:rsidP="004D11C9">
      <w:pPr>
        <w:jc w:val="both"/>
        <w:rPr>
          <w:rFonts w:ascii="Times New Roman" w:eastAsia="Arial" w:hAnsi="Times New Roman" w:cs="Arial"/>
          <w:b/>
          <w:bCs/>
          <w:noProof/>
          <w:sz w:val="24"/>
          <w:szCs w:val="20"/>
        </w:rPr>
      </w:pPr>
    </w:p>
    <w:p w14:paraId="18BA3CED" w14:textId="3BC01A21" w:rsidR="00F4401E" w:rsidRDefault="00F4401E" w:rsidP="004D11C9">
      <w:pPr>
        <w:jc w:val="both"/>
        <w:rPr>
          <w:rFonts w:ascii="Times New Roman" w:eastAsia="Arial" w:hAnsi="Times New Roman" w:cs="Arial"/>
          <w:b/>
          <w:bCs/>
          <w:noProof/>
          <w:sz w:val="24"/>
          <w:szCs w:val="20"/>
        </w:rPr>
      </w:pPr>
    </w:p>
    <w:p w14:paraId="53B72925" w14:textId="34B26362" w:rsidR="00F4401E" w:rsidRDefault="00F4401E" w:rsidP="004D11C9">
      <w:pPr>
        <w:jc w:val="both"/>
        <w:rPr>
          <w:rFonts w:ascii="Times New Roman" w:eastAsia="Arial" w:hAnsi="Times New Roman" w:cs="Arial"/>
          <w:b/>
          <w:bCs/>
          <w:noProof/>
          <w:sz w:val="24"/>
          <w:szCs w:val="20"/>
        </w:rPr>
      </w:pPr>
    </w:p>
    <w:p w14:paraId="3A9B7281" w14:textId="788498C6" w:rsidR="00F4401E" w:rsidRDefault="00F4401E" w:rsidP="004D11C9">
      <w:pPr>
        <w:jc w:val="both"/>
        <w:rPr>
          <w:rFonts w:ascii="Times New Roman" w:eastAsia="Arial" w:hAnsi="Times New Roman" w:cs="Arial"/>
          <w:b/>
          <w:bCs/>
          <w:noProof/>
          <w:sz w:val="24"/>
          <w:szCs w:val="20"/>
        </w:rPr>
      </w:pPr>
    </w:p>
    <w:p w14:paraId="11E5E2F0" w14:textId="3B3FC02B" w:rsidR="00F4401E" w:rsidRDefault="00F4401E" w:rsidP="004D11C9">
      <w:pPr>
        <w:jc w:val="both"/>
        <w:rPr>
          <w:rFonts w:ascii="Times New Roman" w:eastAsia="Arial" w:hAnsi="Times New Roman" w:cs="Arial"/>
          <w:b/>
          <w:bCs/>
          <w:noProof/>
          <w:sz w:val="24"/>
          <w:szCs w:val="20"/>
        </w:rPr>
      </w:pPr>
    </w:p>
    <w:p w14:paraId="17BC0731" w14:textId="236CA6EA" w:rsidR="00F4401E" w:rsidRDefault="00F4401E" w:rsidP="004D11C9">
      <w:pPr>
        <w:jc w:val="both"/>
        <w:rPr>
          <w:rFonts w:ascii="Times New Roman" w:eastAsia="Arial" w:hAnsi="Times New Roman" w:cs="Arial"/>
          <w:b/>
          <w:bCs/>
          <w:noProof/>
          <w:sz w:val="24"/>
          <w:szCs w:val="20"/>
        </w:rPr>
      </w:pPr>
    </w:p>
    <w:p w14:paraId="1A4C16C2" w14:textId="7411C958" w:rsidR="00F4401E" w:rsidRDefault="00F4401E" w:rsidP="004D11C9">
      <w:pPr>
        <w:jc w:val="both"/>
        <w:rPr>
          <w:rFonts w:ascii="Times New Roman" w:eastAsia="Arial" w:hAnsi="Times New Roman" w:cs="Arial"/>
          <w:b/>
          <w:bCs/>
          <w:noProof/>
          <w:sz w:val="24"/>
          <w:szCs w:val="20"/>
        </w:rPr>
      </w:pPr>
    </w:p>
    <w:p w14:paraId="69663000" w14:textId="104C53BC" w:rsidR="00F4401E" w:rsidRDefault="00F4401E" w:rsidP="004D11C9">
      <w:pPr>
        <w:jc w:val="both"/>
        <w:rPr>
          <w:rFonts w:ascii="Times New Roman" w:eastAsia="Arial" w:hAnsi="Times New Roman" w:cs="Arial"/>
          <w:b/>
          <w:bCs/>
          <w:noProof/>
          <w:sz w:val="24"/>
          <w:szCs w:val="20"/>
        </w:rPr>
      </w:pPr>
    </w:p>
    <w:p w14:paraId="5B34FDB4" w14:textId="1AF5DB41" w:rsidR="00F4401E" w:rsidRDefault="00F4401E" w:rsidP="004D11C9">
      <w:pPr>
        <w:jc w:val="both"/>
        <w:rPr>
          <w:rFonts w:ascii="Times New Roman" w:eastAsia="Arial" w:hAnsi="Times New Roman" w:cs="Arial"/>
          <w:b/>
          <w:bCs/>
          <w:noProof/>
          <w:sz w:val="24"/>
          <w:szCs w:val="20"/>
        </w:rPr>
      </w:pPr>
    </w:p>
    <w:p w14:paraId="64E8FF90" w14:textId="59A124EE" w:rsidR="00F4401E" w:rsidRDefault="00F4401E" w:rsidP="004D11C9">
      <w:pPr>
        <w:jc w:val="both"/>
        <w:rPr>
          <w:rFonts w:ascii="Times New Roman" w:eastAsia="Arial" w:hAnsi="Times New Roman" w:cs="Arial"/>
          <w:b/>
          <w:bCs/>
          <w:noProof/>
          <w:sz w:val="24"/>
          <w:szCs w:val="20"/>
        </w:rPr>
      </w:pPr>
    </w:p>
    <w:p w14:paraId="1612B4B3" w14:textId="66AB02A1" w:rsidR="00F4401E" w:rsidRDefault="00F4401E" w:rsidP="004D11C9">
      <w:pPr>
        <w:jc w:val="both"/>
        <w:rPr>
          <w:rFonts w:ascii="Times New Roman" w:eastAsia="Arial" w:hAnsi="Times New Roman" w:cs="Arial"/>
          <w:b/>
          <w:bCs/>
          <w:noProof/>
          <w:sz w:val="24"/>
          <w:szCs w:val="20"/>
        </w:rPr>
      </w:pPr>
    </w:p>
    <w:p w14:paraId="4990BEE4" w14:textId="50F819F4" w:rsidR="00F4401E" w:rsidRDefault="00F4401E" w:rsidP="004D11C9">
      <w:pPr>
        <w:jc w:val="both"/>
        <w:rPr>
          <w:rFonts w:ascii="Times New Roman" w:eastAsia="Arial" w:hAnsi="Times New Roman" w:cs="Arial"/>
          <w:b/>
          <w:bCs/>
          <w:noProof/>
          <w:sz w:val="24"/>
          <w:szCs w:val="20"/>
        </w:rPr>
      </w:pPr>
    </w:p>
    <w:p w14:paraId="59087969" w14:textId="35268DD5" w:rsidR="00F4401E" w:rsidRDefault="00F4401E" w:rsidP="004D11C9">
      <w:pPr>
        <w:jc w:val="both"/>
        <w:rPr>
          <w:rFonts w:ascii="Times New Roman" w:eastAsia="Arial" w:hAnsi="Times New Roman" w:cs="Arial"/>
          <w:b/>
          <w:bCs/>
          <w:noProof/>
          <w:sz w:val="24"/>
          <w:szCs w:val="20"/>
        </w:rPr>
      </w:pPr>
    </w:p>
    <w:p w14:paraId="231BF24E" w14:textId="022B7095" w:rsidR="00F4401E" w:rsidRDefault="00F4401E" w:rsidP="004D11C9">
      <w:pPr>
        <w:jc w:val="both"/>
        <w:rPr>
          <w:rFonts w:ascii="Times New Roman" w:eastAsia="Arial" w:hAnsi="Times New Roman" w:cs="Arial"/>
          <w:b/>
          <w:bCs/>
          <w:noProof/>
          <w:sz w:val="24"/>
          <w:szCs w:val="20"/>
        </w:rPr>
      </w:pPr>
    </w:p>
    <w:p w14:paraId="578ABA3A" w14:textId="00172276" w:rsidR="00F4401E" w:rsidRDefault="00F4401E" w:rsidP="004D11C9">
      <w:pPr>
        <w:jc w:val="both"/>
        <w:rPr>
          <w:rFonts w:ascii="Times New Roman" w:eastAsia="Arial" w:hAnsi="Times New Roman" w:cs="Arial"/>
          <w:b/>
          <w:bCs/>
          <w:noProof/>
          <w:sz w:val="24"/>
          <w:szCs w:val="20"/>
        </w:rPr>
      </w:pPr>
    </w:p>
    <w:p w14:paraId="1291B5C1" w14:textId="7AF65905" w:rsidR="00F4401E" w:rsidRDefault="00F4401E" w:rsidP="004D11C9">
      <w:pPr>
        <w:jc w:val="both"/>
        <w:rPr>
          <w:rFonts w:ascii="Times New Roman" w:eastAsia="Arial" w:hAnsi="Times New Roman" w:cs="Arial"/>
          <w:b/>
          <w:bCs/>
          <w:noProof/>
          <w:sz w:val="24"/>
          <w:szCs w:val="20"/>
        </w:rPr>
      </w:pPr>
    </w:p>
    <w:p w14:paraId="57C20D3E" w14:textId="4A82F809" w:rsidR="00F4401E" w:rsidRDefault="00F4401E" w:rsidP="004D11C9">
      <w:pPr>
        <w:jc w:val="both"/>
        <w:rPr>
          <w:rFonts w:ascii="Times New Roman" w:eastAsia="Arial" w:hAnsi="Times New Roman" w:cs="Arial"/>
          <w:b/>
          <w:bCs/>
          <w:noProof/>
          <w:sz w:val="24"/>
          <w:szCs w:val="20"/>
        </w:rPr>
      </w:pPr>
    </w:p>
    <w:p w14:paraId="1D725C6B" w14:textId="475044F8" w:rsidR="00F4401E" w:rsidRDefault="00F4401E" w:rsidP="004D11C9">
      <w:pPr>
        <w:jc w:val="both"/>
        <w:rPr>
          <w:rFonts w:ascii="Times New Roman" w:eastAsia="Arial" w:hAnsi="Times New Roman" w:cs="Arial"/>
          <w:b/>
          <w:bCs/>
          <w:noProof/>
          <w:sz w:val="24"/>
          <w:szCs w:val="20"/>
        </w:rPr>
      </w:pPr>
    </w:p>
    <w:p w14:paraId="6D72BE99" w14:textId="77777777" w:rsidR="00F4401E" w:rsidRPr="004D11C9" w:rsidRDefault="00F4401E" w:rsidP="004D11C9">
      <w:pPr>
        <w:jc w:val="both"/>
        <w:rPr>
          <w:rFonts w:ascii="Times New Roman" w:eastAsia="Arial" w:hAnsi="Times New Roman" w:cs="Arial"/>
          <w:b/>
          <w:bCs/>
          <w:noProof/>
          <w:sz w:val="24"/>
          <w:szCs w:val="20"/>
        </w:rPr>
      </w:pPr>
    </w:p>
    <w:p w14:paraId="2355416D" w14:textId="77777777" w:rsidR="000A6469" w:rsidRPr="004D11C9" w:rsidRDefault="000A6469" w:rsidP="004D11C9">
      <w:pPr>
        <w:jc w:val="both"/>
        <w:rPr>
          <w:rFonts w:ascii="Times New Roman" w:eastAsia="Arial" w:hAnsi="Times New Roman" w:cs="Arial"/>
          <w:b/>
          <w:bCs/>
          <w:noProof/>
          <w:sz w:val="24"/>
          <w:szCs w:val="28"/>
        </w:rPr>
      </w:pPr>
    </w:p>
    <w:p w14:paraId="18BBC71F" w14:textId="77777777" w:rsidR="000A6469" w:rsidRPr="004D11C9" w:rsidRDefault="000A6469" w:rsidP="004D11C9">
      <w:pPr>
        <w:jc w:val="both"/>
        <w:rPr>
          <w:rFonts w:ascii="Times New Roman" w:hAnsi="Times New Roman"/>
          <w:b/>
          <w:noProof/>
          <w:sz w:val="24"/>
        </w:rPr>
      </w:pPr>
      <w:r>
        <w:rPr>
          <w:rFonts w:ascii="Times New Roman" w:hAnsi="Times New Roman"/>
          <w:b/>
          <w:sz w:val="24"/>
        </w:rPr>
        <w:t>4.0. redakcija</w:t>
      </w:r>
    </w:p>
    <w:p w14:paraId="76D29F8A" w14:textId="77777777" w:rsidR="000A6469" w:rsidRPr="004D11C9" w:rsidRDefault="000A6469" w:rsidP="004D11C9">
      <w:pPr>
        <w:jc w:val="both"/>
        <w:rPr>
          <w:rFonts w:ascii="Times New Roman" w:eastAsia="Arial" w:hAnsi="Times New Roman" w:cs="Arial"/>
          <w:b/>
          <w:bCs/>
          <w:noProof/>
          <w:sz w:val="24"/>
          <w:szCs w:val="23"/>
        </w:rPr>
      </w:pPr>
    </w:p>
    <w:p w14:paraId="093F6294" w14:textId="77777777" w:rsidR="000A6469" w:rsidRPr="004D11C9" w:rsidRDefault="000A6469" w:rsidP="004D11C9">
      <w:pPr>
        <w:jc w:val="both"/>
        <w:rPr>
          <w:rFonts w:ascii="Times New Roman" w:hAnsi="Times New Roman"/>
          <w:noProof/>
          <w:sz w:val="24"/>
        </w:rPr>
      </w:pPr>
      <w:r>
        <w:rPr>
          <w:rFonts w:ascii="Times New Roman" w:hAnsi="Times New Roman"/>
          <w:sz w:val="24"/>
        </w:rPr>
        <w:t>Par šā dokumenta publicēšanu atbildīgs ir ESAO ģenerālsekretārs. Dokumentā izklāstītie viedokļi un izmantotie argumenti ne vienmēr atspoguļo ESAO, tās dalībvalstu valdību vai Eiropas Savienības oficiālo viedokli.</w:t>
      </w:r>
    </w:p>
    <w:p w14:paraId="5FB57B8A" w14:textId="77777777" w:rsidR="000A6469" w:rsidRPr="004D11C9" w:rsidRDefault="000A6469" w:rsidP="004D11C9">
      <w:pPr>
        <w:jc w:val="both"/>
        <w:rPr>
          <w:rFonts w:ascii="Times New Roman" w:eastAsia="Arial" w:hAnsi="Times New Roman" w:cs="Arial"/>
          <w:noProof/>
          <w:sz w:val="24"/>
          <w:szCs w:val="18"/>
        </w:rPr>
      </w:pPr>
    </w:p>
    <w:p w14:paraId="50514AAD" w14:textId="43C64472" w:rsidR="000A6469" w:rsidRPr="004D11C9" w:rsidRDefault="000A6469" w:rsidP="004D11C9">
      <w:pPr>
        <w:jc w:val="both"/>
        <w:rPr>
          <w:rFonts w:ascii="Times New Roman" w:hAnsi="Times New Roman"/>
          <w:noProof/>
          <w:sz w:val="24"/>
        </w:rPr>
      </w:pPr>
      <w:r>
        <w:rPr>
          <w:rFonts w:ascii="Times New Roman" w:hAnsi="Times New Roman"/>
          <w:sz w:val="24"/>
        </w:rPr>
        <w:t>Ne šis dokuments un arī neviena tajā iekļautā karte neskar nevienas teritorijas statusu un suverenitāti pār šādu teritoriju, starptautiskās robežas un nevienas teritorijas, pilsētas vai apgabala nosaukumu.</w:t>
      </w:r>
    </w:p>
    <w:p w14:paraId="11367C2C" w14:textId="77777777" w:rsidR="001B172E" w:rsidRDefault="001B172E" w:rsidP="004D11C9">
      <w:pPr>
        <w:jc w:val="both"/>
        <w:rPr>
          <w:rFonts w:ascii="Times New Roman" w:hAnsi="Times New Roman"/>
          <w:noProof/>
          <w:sz w:val="24"/>
        </w:rPr>
      </w:pPr>
    </w:p>
    <w:p w14:paraId="59AABE1D" w14:textId="6620BE6E" w:rsidR="000A6469" w:rsidRPr="004D11C9" w:rsidRDefault="000A6469" w:rsidP="004D11C9">
      <w:pPr>
        <w:jc w:val="both"/>
        <w:rPr>
          <w:rFonts w:ascii="Times New Roman" w:hAnsi="Times New Roman"/>
          <w:noProof/>
          <w:sz w:val="24"/>
        </w:rPr>
      </w:pPr>
      <w:r>
        <w:rPr>
          <w:rFonts w:ascii="Times New Roman" w:hAnsi="Times New Roman"/>
          <w:sz w:val="24"/>
        </w:rPr>
        <w:t>© ESAO 2019. gads</w:t>
      </w:r>
    </w:p>
    <w:p w14:paraId="4FDAC03E" w14:textId="72466146" w:rsidR="001B172E" w:rsidRDefault="001B172E">
      <w:pPr>
        <w:rPr>
          <w:rFonts w:ascii="Times New Roman" w:eastAsia="Arial" w:hAnsi="Times New Roman" w:cs="Arial"/>
          <w:noProof/>
          <w:sz w:val="24"/>
          <w:szCs w:val="18"/>
        </w:rPr>
      </w:pPr>
      <w:r>
        <w:br w:type="page"/>
      </w:r>
    </w:p>
    <w:p w14:paraId="7DAEF53C" w14:textId="77777777" w:rsidR="000A6469" w:rsidRPr="004D11C9" w:rsidRDefault="000A6469" w:rsidP="004D11C9">
      <w:pPr>
        <w:jc w:val="both"/>
        <w:rPr>
          <w:rFonts w:ascii="Times New Roman" w:eastAsia="Arial" w:hAnsi="Times New Roman" w:cs="Arial"/>
          <w:noProof/>
          <w:sz w:val="24"/>
          <w:szCs w:val="19"/>
        </w:rPr>
      </w:pPr>
    </w:p>
    <w:p w14:paraId="3C02EC58" w14:textId="77777777" w:rsidR="000A6469" w:rsidRPr="001A796E" w:rsidRDefault="000A6469" w:rsidP="004D11C9">
      <w:pPr>
        <w:pStyle w:val="Heading1"/>
        <w:spacing w:before="0"/>
        <w:ind w:left="0"/>
        <w:jc w:val="both"/>
        <w:rPr>
          <w:rFonts w:ascii="Times New Roman" w:hAnsi="Times New Roman"/>
          <w:noProof/>
          <w:sz w:val="28"/>
          <w:szCs w:val="56"/>
        </w:rPr>
      </w:pPr>
      <w:bookmarkStart w:id="1" w:name="Foreword"/>
      <w:bookmarkStart w:id="2" w:name="_Toc62649791"/>
      <w:bookmarkStart w:id="3" w:name="_Toc62650462"/>
      <w:bookmarkEnd w:id="1"/>
      <w:r w:rsidRPr="001A796E">
        <w:rPr>
          <w:rFonts w:ascii="Times New Roman" w:hAnsi="Times New Roman"/>
          <w:sz w:val="28"/>
          <w:szCs w:val="56"/>
        </w:rPr>
        <w:t>Priekšvārds</w:t>
      </w:r>
      <w:bookmarkEnd w:id="2"/>
      <w:bookmarkEnd w:id="3"/>
    </w:p>
    <w:p w14:paraId="54330B56" w14:textId="77777777" w:rsidR="001B172E" w:rsidRDefault="001B172E" w:rsidP="004D11C9">
      <w:pPr>
        <w:pStyle w:val="BodyText"/>
        <w:ind w:left="0" w:firstLine="0"/>
        <w:jc w:val="both"/>
        <w:rPr>
          <w:rFonts w:ascii="Times New Roman" w:hAnsi="Times New Roman"/>
          <w:noProof/>
          <w:sz w:val="24"/>
        </w:rPr>
      </w:pPr>
    </w:p>
    <w:p w14:paraId="5731B506" w14:textId="7AB38645"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Lielāka konkurence uzlabo valsts ekonomisko efektivitāti, rada uzņēmējdarbības iespējas tās iedzīvotājiem un samazina preču un pakalpojumu cenas visā ekonomikā. Tomēr daudzi normatīvie akti var pārmērīgi ierobežot konkurenci tirgū. Valstis var samazināt nevajadzīgus ierobežojumus, piemērojot metodes, kas ir izklāstītas ESAO dokumentā “Konkurences novērtēšanas metodiskais līdzeklis”. Šajā metodiskajā līdzeklī ir izklāstīta vispārējā metodoloģija, lai identificētu nevajadzīgus ierobežojumus un izstrādātu alternatīvus, mazāk ierobežojošus politikas pasākumus, ar kuriem ir iespējams sasniegt valdības mērķus. Viens no metodiskā līdzekļa pamatelementiem ir “konkurences pārbaudes lapa”, kurā uzdota virkne vienkāršu jautājumu, lai noteiktu, kuri normatīvie akti var nevajadzīgi ierobežot konkurenci. Šādā pārbaudē valsts ierobežotie resursi tiek koncentrēti tajās jomās, kurās konkurences novērtējums ir vajadzīgs visvairāk.</w:t>
      </w:r>
    </w:p>
    <w:p w14:paraId="28FA84D7" w14:textId="77777777" w:rsidR="000A6469" w:rsidRPr="004D11C9" w:rsidRDefault="000A6469" w:rsidP="004D11C9">
      <w:pPr>
        <w:jc w:val="both"/>
        <w:rPr>
          <w:rFonts w:ascii="Times New Roman" w:eastAsia="Arial" w:hAnsi="Times New Roman" w:cs="Arial"/>
          <w:noProof/>
          <w:sz w:val="24"/>
          <w:szCs w:val="20"/>
        </w:rPr>
      </w:pPr>
    </w:p>
    <w:p w14:paraId="2DC707E5"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Valstis var izmantot šo metodisko līdzekli trīs veidos:</w:t>
      </w:r>
    </w:p>
    <w:p w14:paraId="4786A339" w14:textId="77777777" w:rsidR="000A6469" w:rsidRPr="004D11C9" w:rsidRDefault="000A6469" w:rsidP="004D11C9">
      <w:pPr>
        <w:jc w:val="both"/>
        <w:rPr>
          <w:rFonts w:ascii="Times New Roman" w:eastAsia="Arial" w:hAnsi="Times New Roman" w:cs="Arial"/>
          <w:noProof/>
          <w:sz w:val="24"/>
          <w:szCs w:val="20"/>
        </w:rPr>
      </w:pPr>
    </w:p>
    <w:p w14:paraId="1330A30B" w14:textId="4DA5287A" w:rsidR="000A6469" w:rsidRPr="004D11C9" w:rsidRDefault="000A6469" w:rsidP="001B172E">
      <w:pPr>
        <w:pStyle w:val="BodyText"/>
        <w:numPr>
          <w:ilvl w:val="0"/>
          <w:numId w:val="34"/>
        </w:numPr>
        <w:ind w:left="426" w:hanging="426"/>
        <w:jc w:val="both"/>
        <w:rPr>
          <w:rFonts w:ascii="Times New Roman" w:hAnsi="Times New Roman"/>
          <w:noProof/>
          <w:sz w:val="24"/>
        </w:rPr>
      </w:pPr>
      <w:r>
        <w:rPr>
          <w:rFonts w:ascii="Times New Roman" w:hAnsi="Times New Roman"/>
          <w:sz w:val="24"/>
        </w:rPr>
        <w:t>jaunu normatīvo aktu projektu izvērtēšanai (piemēram, izmantojot regla</w:t>
      </w:r>
      <w:r w:rsidR="0020563D">
        <w:rPr>
          <w:rFonts w:ascii="Times New Roman" w:hAnsi="Times New Roman"/>
          <w:sz w:val="24"/>
        </w:rPr>
        <w:t>tīvās</w:t>
      </w:r>
      <w:r>
        <w:rPr>
          <w:rFonts w:ascii="Times New Roman" w:hAnsi="Times New Roman"/>
          <w:sz w:val="24"/>
        </w:rPr>
        <w:t xml:space="preserve"> ietekmes novērtējuma programmas);</w:t>
      </w:r>
    </w:p>
    <w:p w14:paraId="4BEB8E99" w14:textId="77777777" w:rsidR="000A6469" w:rsidRPr="004D11C9" w:rsidRDefault="000A6469" w:rsidP="001B172E">
      <w:pPr>
        <w:pStyle w:val="BodyText"/>
        <w:numPr>
          <w:ilvl w:val="0"/>
          <w:numId w:val="34"/>
        </w:numPr>
        <w:ind w:left="426" w:hanging="426"/>
        <w:jc w:val="both"/>
        <w:rPr>
          <w:rFonts w:ascii="Times New Roman" w:hAnsi="Times New Roman"/>
          <w:noProof/>
          <w:sz w:val="24"/>
        </w:rPr>
      </w:pPr>
      <w:r>
        <w:rPr>
          <w:rFonts w:ascii="Times New Roman" w:hAnsi="Times New Roman"/>
          <w:sz w:val="24"/>
        </w:rPr>
        <w:t>spēkā esošu normatīvo aktu izvērtēšanai (ekonomikā kopumā vai atsevišķās nozarēs);</w:t>
      </w:r>
    </w:p>
    <w:p w14:paraId="26CA66DD" w14:textId="36D762BD" w:rsidR="000A6469" w:rsidRPr="004D11C9" w:rsidRDefault="000A6469" w:rsidP="001B172E">
      <w:pPr>
        <w:pStyle w:val="BodyText"/>
        <w:numPr>
          <w:ilvl w:val="0"/>
          <w:numId w:val="34"/>
        </w:numPr>
        <w:ind w:left="426" w:hanging="426"/>
        <w:jc w:val="both"/>
        <w:rPr>
          <w:rFonts w:ascii="Times New Roman" w:hAnsi="Times New Roman"/>
          <w:noProof/>
          <w:sz w:val="24"/>
        </w:rPr>
      </w:pPr>
      <w:r>
        <w:rPr>
          <w:rFonts w:ascii="Times New Roman" w:hAnsi="Times New Roman"/>
          <w:sz w:val="24"/>
        </w:rPr>
        <w:t>regulējuma ietekmes uz konkurenci novērtēšanai (ko veic valsts iestādes, kuras izstrādā un pārskata politikas pasākumus, vai arī konkurences uzraudzības iestāde).</w:t>
      </w:r>
    </w:p>
    <w:p w14:paraId="3DD8F99D" w14:textId="77777777" w:rsidR="000A6469" w:rsidRPr="004D11C9" w:rsidRDefault="000A6469" w:rsidP="004D11C9">
      <w:pPr>
        <w:jc w:val="both"/>
        <w:rPr>
          <w:rFonts w:ascii="Times New Roman" w:eastAsia="Arial" w:hAnsi="Times New Roman" w:cs="Arial"/>
          <w:noProof/>
          <w:sz w:val="24"/>
          <w:szCs w:val="21"/>
        </w:rPr>
      </w:pPr>
    </w:p>
    <w:p w14:paraId="0ED07B42" w14:textId="488A2231"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Metodiskais līdzeklis ir paredzēts decentralizētai izmantošanai valsts pārvaldē gan valsts līmenī, gan pašvaldību līmenī. Metodiskā līdzekļa materiāli tika sagatavoti ar šādu elastību, jo konkurences ierobežojumi var būt piemēroti dažādos valsts pārvaldes līmeņos un konkurences novērtējums ir noderīgs visos līmeņos. Vienu no visveiksmīgākajiem konkurenci veicinošas reformas piemēriem ir sniegusi federāla sistēma, proti, Austrālija, kas 20. gadsimta 90. gadu vidū īstenoja plašas konkurenci veicinošās reformas gan valsts, gan pavalstu līmenī. Kopš tā laika Austrālijā ir vērojama augsta ekonomiskā efektivitāte un liela un pastāvīga izaugsme, kas Austrāliju no ekonomikas ar vidējiem rādītājiem ir padarījusi par vienu no ESAO dalībvalstīm ar labākajiem ekonomiskajiem rādītājiem. Liela mēroga konkurences novērtēšanas projektā 2013. gadā saimnieciskais labums, kas tika gūts, īstenojot ieteiktos pārgrozījumus, sasniedza aptuveni 5,2 miljardus EUR (ESAO, 2014a). Citā projektā aprēķināts, ka saimnieciskais labums ir sasniedzis aptuveni 2,5 % no IKP vai vairāk (Sims, R., 2013 un Produktivitātes komisija, 2005). Lai gan ne visiem projektiem būs tik liela ietekme, konkurences novērtēšana bieži vien var sniegt ievērojamu labumu.</w:t>
      </w:r>
    </w:p>
    <w:p w14:paraId="6F1547A6" w14:textId="77777777" w:rsidR="000A6469" w:rsidRPr="004D11C9" w:rsidRDefault="000A6469" w:rsidP="004D11C9">
      <w:pPr>
        <w:jc w:val="both"/>
        <w:rPr>
          <w:rFonts w:ascii="Times New Roman" w:eastAsia="Arial" w:hAnsi="Times New Roman" w:cs="Arial"/>
          <w:noProof/>
          <w:sz w:val="24"/>
          <w:szCs w:val="20"/>
        </w:rPr>
      </w:pPr>
    </w:p>
    <w:p w14:paraId="1E6A9FBF"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Šo metodisko līdzekli var izmantot amatpersonas, kuras nav saņēmušas specializētu apmācību ekonomikas vai konkurences politikas jomā. Potenciālie lietotāji ir ministrijas, likumdevēja iestādes, valsts vadītāju biroji, pavalstu valdības un ārēji politikas vērtētāji.</w:t>
      </w:r>
    </w:p>
    <w:p w14:paraId="7B7F2059" w14:textId="77777777" w:rsidR="000A6469" w:rsidRPr="004D11C9" w:rsidRDefault="000A6469" w:rsidP="004D11C9">
      <w:pPr>
        <w:jc w:val="both"/>
        <w:rPr>
          <w:rFonts w:ascii="Times New Roman" w:eastAsia="Arial" w:hAnsi="Times New Roman" w:cs="Arial"/>
          <w:noProof/>
          <w:sz w:val="24"/>
          <w:szCs w:val="20"/>
        </w:rPr>
      </w:pPr>
    </w:p>
    <w:p w14:paraId="5708FEDA" w14:textId="43E54743"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Konkurences novērtēšanas metodiskais līdzeklis ir pieejams daudzās valodās, lai sekmētu tā plašu izmantošanu un pielāgošanu. Tam ir trīs sējumi: 1. sējumā “Konkurences novērtēšanas principi” ir sniegti piemēri par konkurences radīto labumu un ievadinformācija par konkurences pārbaudes lapu un izklāstīts tas, kā valstis novērtē savas politikas ietekmi uz konkurenci; 2. sējumā “Norādījumi par konkurences novērtēšanu” ir sniegti sīki izstrādāti tehniski norādījumi par galvenajiem jautājumiem, kas jāapsver, kad tiek veikts konkurences novērtējums; 3. sējumā “Konkurences novērtēšanas rokasgrāmata” soli pa solim ir izklāstīta konkurences novērtējuma veikšana. Visi saistītie informatīvie materiāli ir pieejami ESAO </w:t>
      </w:r>
      <w:r>
        <w:rPr>
          <w:rFonts w:ascii="Times New Roman" w:hAnsi="Times New Roman"/>
          <w:sz w:val="24"/>
        </w:rPr>
        <w:lastRenderedPageBreak/>
        <w:t xml:space="preserve">tīmekļa vietnē </w:t>
      </w:r>
      <w:r>
        <w:rPr>
          <w:rFonts w:ascii="Times New Roman" w:hAnsi="Times New Roman"/>
          <w:sz w:val="24"/>
          <w:u w:val="single" w:color="0000FF"/>
        </w:rPr>
        <w:t>www.oecd.org/competition/toolkit</w:t>
      </w:r>
      <w:r>
        <w:rPr>
          <w:rFonts w:ascii="Times New Roman" w:hAnsi="Times New Roman"/>
          <w:sz w:val="24"/>
        </w:rPr>
        <w:t>.</w:t>
      </w:r>
    </w:p>
    <w:p w14:paraId="0F25C93D" w14:textId="77777777" w:rsidR="000A6469" w:rsidRPr="004D11C9" w:rsidRDefault="000A6469" w:rsidP="004D11C9">
      <w:pPr>
        <w:jc w:val="both"/>
        <w:rPr>
          <w:rFonts w:ascii="Times New Roman" w:eastAsia="Arial" w:hAnsi="Times New Roman" w:cs="Arial"/>
          <w:noProof/>
          <w:sz w:val="24"/>
          <w:szCs w:val="14"/>
        </w:rPr>
      </w:pPr>
    </w:p>
    <w:p w14:paraId="37A5ED0C" w14:textId="77777777" w:rsidR="000A6469" w:rsidRPr="004D11C9" w:rsidRDefault="000A6469" w:rsidP="004D11C9">
      <w:pPr>
        <w:pStyle w:val="Heading3"/>
        <w:ind w:left="0"/>
        <w:jc w:val="both"/>
        <w:rPr>
          <w:rFonts w:ascii="Times New Roman" w:hAnsi="Times New Roman"/>
          <w:noProof/>
          <w:sz w:val="24"/>
        </w:rPr>
      </w:pPr>
      <w:bookmarkStart w:id="4" w:name="Acknowledgements"/>
      <w:bookmarkStart w:id="5" w:name="_Toc62649792"/>
      <w:bookmarkStart w:id="6" w:name="_Toc62650463"/>
      <w:bookmarkEnd w:id="4"/>
      <w:r>
        <w:rPr>
          <w:rFonts w:ascii="Times New Roman" w:hAnsi="Times New Roman"/>
          <w:sz w:val="24"/>
        </w:rPr>
        <w:t>Pateicības</w:t>
      </w:r>
      <w:bookmarkEnd w:id="5"/>
      <w:bookmarkEnd w:id="6"/>
    </w:p>
    <w:p w14:paraId="7383AE90" w14:textId="77777777" w:rsidR="000A6469" w:rsidRPr="004D11C9" w:rsidRDefault="000A6469" w:rsidP="004D11C9">
      <w:pPr>
        <w:jc w:val="both"/>
        <w:rPr>
          <w:rFonts w:ascii="Times New Roman" w:eastAsia="Arial" w:hAnsi="Times New Roman" w:cs="Arial"/>
          <w:b/>
          <w:bCs/>
          <w:noProof/>
          <w:sz w:val="24"/>
          <w:szCs w:val="21"/>
        </w:rPr>
      </w:pPr>
    </w:p>
    <w:p w14:paraId="1DCCB5E9"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Konkurences novērtēšanas metodisko līdzekli izstrādāja Konkurences komitejas 2. darba grupa, ieguldījumu sniedzot daudzām ESAO delegācijām gan no dalībvalstu ekonomikām, gan no tādu valstu ekonomikām, kuras nav ESAO dalībvalstis, un citām ESAO struktūrām, kuras ir ieinteresētas šajos jautājumos, tostarp Regulatīvas politikas komitejai un Patērētāju aizsardzības politikas komitejai.</w:t>
      </w:r>
    </w:p>
    <w:p w14:paraId="516B7F30" w14:textId="77777777" w:rsidR="000A6469" w:rsidRPr="004D11C9" w:rsidRDefault="000A6469" w:rsidP="004D11C9">
      <w:pPr>
        <w:jc w:val="both"/>
        <w:rPr>
          <w:rFonts w:ascii="Times New Roman" w:eastAsia="Arial" w:hAnsi="Times New Roman" w:cs="Arial"/>
          <w:noProof/>
          <w:sz w:val="24"/>
          <w:szCs w:val="20"/>
        </w:rPr>
      </w:pPr>
    </w:p>
    <w:p w14:paraId="23FB4296"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ESAO sekretariātā informatīvos materiālus sagatavoja Šons F. Īniss [</w:t>
      </w:r>
      <w:r>
        <w:rPr>
          <w:rFonts w:ascii="Times New Roman" w:hAnsi="Times New Roman"/>
          <w:i/>
          <w:sz w:val="24"/>
        </w:rPr>
        <w:t>Sean F. Ennis</w:t>
      </w:r>
      <w:r>
        <w:rPr>
          <w:rFonts w:ascii="Times New Roman" w:hAnsi="Times New Roman"/>
          <w:sz w:val="24"/>
        </w:rPr>
        <w:t>] un Kristiāna Vitāle [</w:t>
      </w:r>
      <w:r>
        <w:rPr>
          <w:rFonts w:ascii="Times New Roman" w:hAnsi="Times New Roman"/>
          <w:i/>
          <w:sz w:val="24"/>
        </w:rPr>
        <w:t>Cristiana Vitale</w:t>
      </w:r>
      <w:r>
        <w:rPr>
          <w:rFonts w:ascii="Times New Roman" w:hAnsi="Times New Roman"/>
          <w:sz w:val="24"/>
        </w:rPr>
        <w:t>] no Konkurences nodaļas. Būtiskus komentārus sniedza Pīters Everijs [</w:t>
      </w:r>
      <w:r>
        <w:rPr>
          <w:rFonts w:ascii="Times New Roman" w:hAnsi="Times New Roman"/>
          <w:i/>
          <w:sz w:val="24"/>
        </w:rPr>
        <w:t>Peter Avery]</w:t>
      </w:r>
      <w:r>
        <w:rPr>
          <w:rFonts w:ascii="Times New Roman" w:hAnsi="Times New Roman"/>
          <w:sz w:val="24"/>
        </w:rPr>
        <w:t>, Džons Deiviss [</w:t>
      </w:r>
      <w:r>
        <w:rPr>
          <w:rFonts w:ascii="Times New Roman" w:hAnsi="Times New Roman"/>
          <w:i/>
          <w:sz w:val="24"/>
        </w:rPr>
        <w:t>John Davies</w:t>
      </w:r>
      <w:r>
        <w:rPr>
          <w:rFonts w:ascii="Times New Roman" w:hAnsi="Times New Roman"/>
          <w:sz w:val="24"/>
        </w:rPr>
        <w:t>], Antoniu Gomešs [</w:t>
      </w:r>
      <w:r>
        <w:rPr>
          <w:rFonts w:ascii="Times New Roman" w:hAnsi="Times New Roman"/>
          <w:i/>
          <w:sz w:val="24"/>
        </w:rPr>
        <w:t>Antonio Gomes</w:t>
      </w:r>
      <w:r>
        <w:rPr>
          <w:rFonts w:ascii="Times New Roman" w:hAnsi="Times New Roman"/>
          <w:sz w:val="24"/>
        </w:rPr>
        <w:t>], Stefans Žakobzons [</w:t>
      </w:r>
      <w:r>
        <w:rPr>
          <w:rFonts w:ascii="Times New Roman" w:hAnsi="Times New Roman"/>
          <w:i/>
          <w:sz w:val="24"/>
        </w:rPr>
        <w:t>Stephane Jacobzone</w:t>
      </w:r>
      <w:r>
        <w:rPr>
          <w:rFonts w:ascii="Times New Roman" w:hAnsi="Times New Roman"/>
          <w:sz w:val="24"/>
        </w:rPr>
        <w:t>], Federika Maiorano [</w:t>
      </w:r>
      <w:r>
        <w:rPr>
          <w:rFonts w:ascii="Times New Roman" w:hAnsi="Times New Roman"/>
          <w:i/>
          <w:sz w:val="24"/>
        </w:rPr>
        <w:t>Federica Maiorano</w:t>
      </w:r>
      <w:r>
        <w:rPr>
          <w:rFonts w:ascii="Times New Roman" w:hAnsi="Times New Roman"/>
          <w:sz w:val="24"/>
        </w:rPr>
        <w:t>], Anja Tīmane [</w:t>
      </w:r>
      <w:r>
        <w:rPr>
          <w:rFonts w:ascii="Times New Roman" w:hAnsi="Times New Roman"/>
          <w:i/>
          <w:sz w:val="24"/>
        </w:rPr>
        <w:t>Ania Thiemann</w:t>
      </w:r>
      <w:r>
        <w:rPr>
          <w:rFonts w:ascii="Times New Roman" w:hAnsi="Times New Roman"/>
          <w:sz w:val="24"/>
        </w:rPr>
        <w:t>], Sabīne Cigelski [</w:t>
      </w:r>
      <w:r>
        <w:rPr>
          <w:rFonts w:ascii="Times New Roman" w:hAnsi="Times New Roman"/>
          <w:i/>
          <w:sz w:val="24"/>
        </w:rPr>
        <w:t>Sabine Zigelski</w:t>
      </w:r>
      <w:r>
        <w:rPr>
          <w:rFonts w:ascii="Times New Roman" w:hAnsi="Times New Roman"/>
          <w:sz w:val="24"/>
        </w:rPr>
        <w:t>] un daudzi ESAO komitejas delegāti.</w:t>
      </w:r>
    </w:p>
    <w:p w14:paraId="2FA80251" w14:textId="77777777" w:rsidR="00867DDD" w:rsidRPr="004D11C9" w:rsidRDefault="00867DDD" w:rsidP="004D11C9">
      <w:pPr>
        <w:jc w:val="both"/>
        <w:rPr>
          <w:rFonts w:ascii="Times New Roman" w:hAnsi="Times New Roman"/>
          <w:noProof/>
          <w:sz w:val="24"/>
        </w:rPr>
      </w:pPr>
    </w:p>
    <w:p w14:paraId="2DB965FE" w14:textId="764E9E5E" w:rsidR="001B172E" w:rsidRDefault="001B172E">
      <w:pPr>
        <w:rPr>
          <w:rFonts w:ascii="Times New Roman" w:eastAsia="Arial" w:hAnsi="Times New Roman" w:cs="Arial"/>
          <w:noProof/>
          <w:sz w:val="24"/>
          <w:szCs w:val="20"/>
        </w:rPr>
      </w:pPr>
      <w:r>
        <w:br w:type="page"/>
      </w:r>
    </w:p>
    <w:p w14:paraId="48EAF064" w14:textId="77777777" w:rsidR="000A6469" w:rsidRPr="004D11C9" w:rsidRDefault="000A6469" w:rsidP="004D11C9">
      <w:pPr>
        <w:jc w:val="both"/>
        <w:rPr>
          <w:rFonts w:ascii="Times New Roman" w:eastAsia="Arial" w:hAnsi="Times New Roman" w:cs="Arial"/>
          <w:noProof/>
          <w:sz w:val="24"/>
          <w:szCs w:val="18"/>
        </w:rPr>
      </w:pPr>
    </w:p>
    <w:p w14:paraId="78150A49" w14:textId="77777777" w:rsidR="000A6469" w:rsidRPr="001A796E" w:rsidRDefault="000A6469" w:rsidP="004D11C9">
      <w:pPr>
        <w:pStyle w:val="Heading1"/>
        <w:spacing w:before="0"/>
        <w:ind w:left="0"/>
        <w:jc w:val="both"/>
        <w:rPr>
          <w:rFonts w:ascii="Times New Roman" w:hAnsi="Times New Roman"/>
          <w:noProof/>
          <w:sz w:val="28"/>
          <w:szCs w:val="56"/>
        </w:rPr>
      </w:pPr>
      <w:bookmarkStart w:id="7" w:name="_Toc62649793"/>
      <w:bookmarkStart w:id="8" w:name="_Toc62650464"/>
      <w:r w:rsidRPr="001A796E">
        <w:rPr>
          <w:rFonts w:ascii="Times New Roman" w:hAnsi="Times New Roman"/>
          <w:sz w:val="28"/>
          <w:szCs w:val="56"/>
        </w:rPr>
        <w:t>Saturs</w:t>
      </w:r>
      <w:bookmarkStart w:id="9" w:name="Table_of_Contents"/>
      <w:bookmarkEnd w:id="9"/>
      <w:bookmarkEnd w:id="7"/>
      <w:bookmarkEnd w:id="8"/>
    </w:p>
    <w:p w14:paraId="5A388A2E" w14:textId="77777777" w:rsidR="000A6469" w:rsidRPr="00F66808" w:rsidRDefault="000A6469" w:rsidP="00F66808">
      <w:pPr>
        <w:jc w:val="both"/>
        <w:rPr>
          <w:rFonts w:ascii="Times New Roman" w:eastAsia="Arial" w:hAnsi="Times New Roman" w:cs="Times New Roman"/>
          <w:b/>
          <w:bCs/>
          <w:noProof/>
          <w:sz w:val="24"/>
          <w:szCs w:val="24"/>
        </w:rPr>
      </w:pPr>
    </w:p>
    <w:sdt>
      <w:sdtPr>
        <w:rPr>
          <w:rFonts w:ascii="Times New Roman" w:eastAsiaTheme="minorHAnsi" w:hAnsi="Times New Roman" w:cs="Times New Roman"/>
          <w:color w:val="auto"/>
          <w:sz w:val="24"/>
          <w:szCs w:val="24"/>
          <w:lang w:val="lv-LV"/>
        </w:rPr>
        <w:id w:val="1071381653"/>
        <w:docPartObj>
          <w:docPartGallery w:val="Table of Contents"/>
          <w:docPartUnique/>
        </w:docPartObj>
      </w:sdtPr>
      <w:sdtEndPr>
        <w:rPr>
          <w:b/>
          <w:bCs/>
          <w:noProof/>
        </w:rPr>
      </w:sdtEndPr>
      <w:sdtContent>
        <w:p w14:paraId="50346F8E" w14:textId="09C860BE" w:rsidR="0051040C" w:rsidRPr="00F66808" w:rsidRDefault="00F4401E" w:rsidP="00F66808">
          <w:pPr>
            <w:pStyle w:val="TOCHeading"/>
            <w:keepNext w:val="0"/>
            <w:keepLines w:val="0"/>
            <w:widowControl w:val="0"/>
            <w:spacing w:before="0" w:line="240" w:lineRule="auto"/>
            <w:jc w:val="both"/>
            <w:rPr>
              <w:rFonts w:ascii="Times New Roman" w:eastAsiaTheme="minorEastAsia" w:hAnsi="Times New Roman" w:cs="Times New Roman"/>
              <w:noProof/>
              <w:color w:val="auto"/>
              <w:sz w:val="24"/>
              <w:szCs w:val="24"/>
              <w:lang w:eastAsia="lv-LV"/>
            </w:rPr>
          </w:pPr>
          <w:r w:rsidRPr="00F66808">
            <w:rPr>
              <w:rFonts w:ascii="Times New Roman" w:hAnsi="Times New Roman" w:cs="Times New Roman"/>
              <w:color w:val="auto"/>
              <w:sz w:val="24"/>
              <w:szCs w:val="24"/>
            </w:rPr>
            <w:fldChar w:fldCharType="begin"/>
          </w:r>
          <w:r w:rsidRPr="00F66808">
            <w:rPr>
              <w:rFonts w:ascii="Times New Roman" w:hAnsi="Times New Roman" w:cs="Times New Roman"/>
              <w:color w:val="auto"/>
              <w:sz w:val="24"/>
              <w:szCs w:val="24"/>
            </w:rPr>
            <w:instrText xml:space="preserve"> TOC \o "1-3" \h \z \u </w:instrText>
          </w:r>
          <w:r w:rsidRPr="00F66808">
            <w:rPr>
              <w:rFonts w:ascii="Times New Roman" w:hAnsi="Times New Roman" w:cs="Times New Roman"/>
              <w:color w:val="auto"/>
              <w:sz w:val="24"/>
              <w:szCs w:val="24"/>
            </w:rPr>
            <w:fldChar w:fldCharType="separate"/>
          </w:r>
        </w:p>
        <w:p w14:paraId="06A886C9" w14:textId="3F5CE47A" w:rsidR="0051040C" w:rsidRPr="00F66808" w:rsidRDefault="00051DD6" w:rsidP="00F66808">
          <w:pPr>
            <w:pStyle w:val="TOC1"/>
            <w:tabs>
              <w:tab w:val="right" w:leader="dot" w:pos="9062"/>
            </w:tabs>
            <w:spacing w:before="0"/>
            <w:ind w:left="0"/>
            <w:jc w:val="both"/>
            <w:rPr>
              <w:rFonts w:ascii="Times New Roman" w:eastAsiaTheme="minorEastAsia" w:hAnsi="Times New Roman" w:cs="Times New Roman"/>
              <w:b/>
              <w:bCs/>
              <w:noProof/>
              <w:lang w:eastAsia="lv-LV"/>
            </w:rPr>
          </w:pPr>
          <w:hyperlink w:anchor="_Toc62650465" w:history="1">
            <w:r w:rsidR="0051040C" w:rsidRPr="00F66808">
              <w:rPr>
                <w:rStyle w:val="Hyperlink"/>
                <w:rFonts w:ascii="Times New Roman" w:hAnsi="Times New Roman" w:cs="Times New Roman"/>
                <w:b/>
                <w:bCs/>
                <w:noProof/>
                <w:color w:val="auto"/>
              </w:rPr>
              <w:t>1. nodaļa</w:t>
            </w:r>
            <w:r w:rsidR="00F66808" w:rsidRPr="00F66808">
              <w:rPr>
                <w:rStyle w:val="Hyperlink"/>
                <w:rFonts w:ascii="Times New Roman" w:hAnsi="Times New Roman" w:cs="Times New Roman"/>
                <w:b/>
                <w:bCs/>
                <w:noProof/>
                <w:color w:val="auto"/>
              </w:rPr>
              <w:br/>
            </w:r>
            <w:r w:rsidR="0051040C" w:rsidRPr="00F66808">
              <w:rPr>
                <w:rStyle w:val="Hyperlink"/>
                <w:rFonts w:ascii="Times New Roman" w:hAnsi="Times New Roman" w:cs="Times New Roman"/>
                <w:noProof/>
                <w:color w:val="auto"/>
              </w:rPr>
              <w:t>Ievads konkurences novērtēšanā</w:t>
            </w:r>
            <w:r w:rsidR="0051040C" w:rsidRPr="00F66808">
              <w:rPr>
                <w:rFonts w:ascii="Times New Roman" w:hAnsi="Times New Roman" w:cs="Times New Roman"/>
                <w:noProof/>
                <w:webHidden/>
              </w:rPr>
              <w:tab/>
            </w:r>
            <w:r w:rsidR="0051040C" w:rsidRPr="00F66808">
              <w:rPr>
                <w:rFonts w:ascii="Times New Roman" w:hAnsi="Times New Roman" w:cs="Times New Roman"/>
                <w:noProof/>
                <w:webHidden/>
              </w:rPr>
              <w:fldChar w:fldCharType="begin"/>
            </w:r>
            <w:r w:rsidR="0051040C" w:rsidRPr="00F66808">
              <w:rPr>
                <w:rFonts w:ascii="Times New Roman" w:hAnsi="Times New Roman" w:cs="Times New Roman"/>
                <w:noProof/>
                <w:webHidden/>
              </w:rPr>
              <w:instrText xml:space="preserve"> PAGEREF _Toc62650465 \h </w:instrText>
            </w:r>
            <w:r w:rsidR="0051040C" w:rsidRPr="00F66808">
              <w:rPr>
                <w:rFonts w:ascii="Times New Roman" w:hAnsi="Times New Roman" w:cs="Times New Roman"/>
                <w:noProof/>
                <w:webHidden/>
              </w:rPr>
            </w:r>
            <w:r w:rsidR="0051040C" w:rsidRPr="00F66808">
              <w:rPr>
                <w:rFonts w:ascii="Times New Roman" w:hAnsi="Times New Roman" w:cs="Times New Roman"/>
                <w:noProof/>
                <w:webHidden/>
              </w:rPr>
              <w:fldChar w:fldCharType="separate"/>
            </w:r>
            <w:r w:rsidR="0001248D">
              <w:rPr>
                <w:rFonts w:ascii="Times New Roman" w:hAnsi="Times New Roman" w:cs="Times New Roman"/>
                <w:noProof/>
                <w:webHidden/>
              </w:rPr>
              <w:t>10</w:t>
            </w:r>
            <w:r w:rsidR="0051040C" w:rsidRPr="00F66808">
              <w:rPr>
                <w:rFonts w:ascii="Times New Roman" w:hAnsi="Times New Roman" w:cs="Times New Roman"/>
                <w:noProof/>
                <w:webHidden/>
              </w:rPr>
              <w:fldChar w:fldCharType="end"/>
            </w:r>
          </w:hyperlink>
        </w:p>
        <w:p w14:paraId="0A478B97" w14:textId="68EC7080" w:rsidR="0051040C" w:rsidRPr="00F66808" w:rsidRDefault="00051DD6" w:rsidP="00F66808">
          <w:pPr>
            <w:pStyle w:val="TOC3"/>
            <w:tabs>
              <w:tab w:val="right" w:leader="dot" w:pos="9062"/>
            </w:tabs>
            <w:spacing w:before="0"/>
            <w:ind w:left="284"/>
            <w:jc w:val="both"/>
            <w:rPr>
              <w:rFonts w:ascii="Times New Roman" w:eastAsiaTheme="minorEastAsia" w:hAnsi="Times New Roman" w:cs="Times New Roman"/>
              <w:b w:val="0"/>
              <w:bCs w:val="0"/>
              <w:noProof/>
              <w:sz w:val="24"/>
              <w:szCs w:val="24"/>
              <w:lang w:eastAsia="lv-LV"/>
            </w:rPr>
          </w:pPr>
          <w:hyperlink w:anchor="_Toc62650466" w:history="1">
            <w:r w:rsidR="0051040C" w:rsidRPr="00F66808">
              <w:rPr>
                <w:rStyle w:val="Hyperlink"/>
                <w:rFonts w:ascii="Times New Roman" w:hAnsi="Times New Roman" w:cs="Times New Roman"/>
                <w:b w:val="0"/>
                <w:bCs w:val="0"/>
                <w:noProof/>
                <w:color w:val="auto"/>
                <w:sz w:val="24"/>
                <w:szCs w:val="24"/>
              </w:rPr>
              <w:t>1. Konkurences novērtējuma veidi</w:t>
            </w:r>
            <w:r w:rsidR="0051040C" w:rsidRPr="00F66808">
              <w:rPr>
                <w:rFonts w:ascii="Times New Roman" w:hAnsi="Times New Roman" w:cs="Times New Roman"/>
                <w:b w:val="0"/>
                <w:bCs w:val="0"/>
                <w:noProof/>
                <w:webHidden/>
                <w:sz w:val="24"/>
                <w:szCs w:val="24"/>
              </w:rPr>
              <w:tab/>
            </w:r>
            <w:r w:rsidR="0051040C" w:rsidRPr="00F66808">
              <w:rPr>
                <w:rFonts w:ascii="Times New Roman" w:hAnsi="Times New Roman" w:cs="Times New Roman"/>
                <w:b w:val="0"/>
                <w:bCs w:val="0"/>
                <w:noProof/>
                <w:webHidden/>
                <w:sz w:val="24"/>
                <w:szCs w:val="24"/>
              </w:rPr>
              <w:fldChar w:fldCharType="begin"/>
            </w:r>
            <w:r w:rsidR="0051040C" w:rsidRPr="00F66808">
              <w:rPr>
                <w:rFonts w:ascii="Times New Roman" w:hAnsi="Times New Roman" w:cs="Times New Roman"/>
                <w:b w:val="0"/>
                <w:bCs w:val="0"/>
                <w:noProof/>
                <w:webHidden/>
                <w:sz w:val="24"/>
                <w:szCs w:val="24"/>
              </w:rPr>
              <w:instrText xml:space="preserve"> PAGEREF _Toc62650466 \h </w:instrText>
            </w:r>
            <w:r w:rsidR="0051040C" w:rsidRPr="00F66808">
              <w:rPr>
                <w:rFonts w:ascii="Times New Roman" w:hAnsi="Times New Roman" w:cs="Times New Roman"/>
                <w:b w:val="0"/>
                <w:bCs w:val="0"/>
                <w:noProof/>
                <w:webHidden/>
                <w:sz w:val="24"/>
                <w:szCs w:val="24"/>
              </w:rPr>
            </w:r>
            <w:r w:rsidR="0051040C" w:rsidRPr="00F66808">
              <w:rPr>
                <w:rFonts w:ascii="Times New Roman" w:hAnsi="Times New Roman" w:cs="Times New Roman"/>
                <w:b w:val="0"/>
                <w:bCs w:val="0"/>
                <w:noProof/>
                <w:webHidden/>
                <w:sz w:val="24"/>
                <w:szCs w:val="24"/>
              </w:rPr>
              <w:fldChar w:fldCharType="separate"/>
            </w:r>
            <w:r w:rsidR="0001248D">
              <w:rPr>
                <w:rFonts w:ascii="Times New Roman" w:hAnsi="Times New Roman" w:cs="Times New Roman"/>
                <w:b w:val="0"/>
                <w:bCs w:val="0"/>
                <w:noProof/>
                <w:webHidden/>
                <w:sz w:val="24"/>
                <w:szCs w:val="24"/>
              </w:rPr>
              <w:t>10</w:t>
            </w:r>
            <w:r w:rsidR="0051040C" w:rsidRPr="00F66808">
              <w:rPr>
                <w:rFonts w:ascii="Times New Roman" w:hAnsi="Times New Roman" w:cs="Times New Roman"/>
                <w:b w:val="0"/>
                <w:bCs w:val="0"/>
                <w:noProof/>
                <w:webHidden/>
                <w:sz w:val="24"/>
                <w:szCs w:val="24"/>
              </w:rPr>
              <w:fldChar w:fldCharType="end"/>
            </w:r>
          </w:hyperlink>
        </w:p>
        <w:p w14:paraId="75C2C6AA" w14:textId="72DBE955" w:rsidR="0051040C" w:rsidRDefault="00051DD6" w:rsidP="00F66808">
          <w:pPr>
            <w:pStyle w:val="TOC3"/>
            <w:tabs>
              <w:tab w:val="right" w:leader="dot" w:pos="9062"/>
            </w:tabs>
            <w:spacing w:before="0"/>
            <w:ind w:left="284"/>
            <w:jc w:val="both"/>
            <w:rPr>
              <w:rStyle w:val="Hyperlink"/>
              <w:rFonts w:ascii="Times New Roman" w:hAnsi="Times New Roman" w:cs="Times New Roman"/>
              <w:b w:val="0"/>
              <w:bCs w:val="0"/>
              <w:noProof/>
              <w:color w:val="auto"/>
              <w:sz w:val="24"/>
              <w:szCs w:val="24"/>
            </w:rPr>
          </w:pPr>
          <w:hyperlink w:anchor="_Toc62650467" w:history="1">
            <w:r w:rsidR="0051040C" w:rsidRPr="00F66808">
              <w:rPr>
                <w:rStyle w:val="Hyperlink"/>
                <w:rFonts w:ascii="Times New Roman" w:hAnsi="Times New Roman" w:cs="Times New Roman"/>
                <w:b w:val="0"/>
                <w:bCs w:val="0"/>
                <w:noProof/>
                <w:color w:val="auto"/>
                <w:sz w:val="24"/>
                <w:szCs w:val="24"/>
              </w:rPr>
              <w:t>2. Process</w:t>
            </w:r>
            <w:r w:rsidR="0051040C" w:rsidRPr="00F66808">
              <w:rPr>
                <w:rFonts w:ascii="Times New Roman" w:hAnsi="Times New Roman" w:cs="Times New Roman"/>
                <w:b w:val="0"/>
                <w:bCs w:val="0"/>
                <w:noProof/>
                <w:webHidden/>
                <w:sz w:val="24"/>
                <w:szCs w:val="24"/>
              </w:rPr>
              <w:tab/>
            </w:r>
            <w:r w:rsidR="0051040C" w:rsidRPr="00F66808">
              <w:rPr>
                <w:rFonts w:ascii="Times New Roman" w:hAnsi="Times New Roman" w:cs="Times New Roman"/>
                <w:b w:val="0"/>
                <w:bCs w:val="0"/>
                <w:noProof/>
                <w:webHidden/>
                <w:sz w:val="24"/>
                <w:szCs w:val="24"/>
              </w:rPr>
              <w:fldChar w:fldCharType="begin"/>
            </w:r>
            <w:r w:rsidR="0051040C" w:rsidRPr="00F66808">
              <w:rPr>
                <w:rFonts w:ascii="Times New Roman" w:hAnsi="Times New Roman" w:cs="Times New Roman"/>
                <w:b w:val="0"/>
                <w:bCs w:val="0"/>
                <w:noProof/>
                <w:webHidden/>
                <w:sz w:val="24"/>
                <w:szCs w:val="24"/>
              </w:rPr>
              <w:instrText xml:space="preserve"> PAGEREF _Toc62650467 \h </w:instrText>
            </w:r>
            <w:r w:rsidR="0051040C" w:rsidRPr="00F66808">
              <w:rPr>
                <w:rFonts w:ascii="Times New Roman" w:hAnsi="Times New Roman" w:cs="Times New Roman"/>
                <w:b w:val="0"/>
                <w:bCs w:val="0"/>
                <w:noProof/>
                <w:webHidden/>
                <w:sz w:val="24"/>
                <w:szCs w:val="24"/>
              </w:rPr>
            </w:r>
            <w:r w:rsidR="0051040C" w:rsidRPr="00F66808">
              <w:rPr>
                <w:rFonts w:ascii="Times New Roman" w:hAnsi="Times New Roman" w:cs="Times New Roman"/>
                <w:b w:val="0"/>
                <w:bCs w:val="0"/>
                <w:noProof/>
                <w:webHidden/>
                <w:sz w:val="24"/>
                <w:szCs w:val="24"/>
              </w:rPr>
              <w:fldChar w:fldCharType="separate"/>
            </w:r>
            <w:r w:rsidR="0001248D">
              <w:rPr>
                <w:rFonts w:ascii="Times New Roman" w:hAnsi="Times New Roman" w:cs="Times New Roman"/>
                <w:b w:val="0"/>
                <w:bCs w:val="0"/>
                <w:noProof/>
                <w:webHidden/>
                <w:sz w:val="24"/>
                <w:szCs w:val="24"/>
              </w:rPr>
              <w:t>13</w:t>
            </w:r>
            <w:r w:rsidR="0051040C" w:rsidRPr="00F66808">
              <w:rPr>
                <w:rFonts w:ascii="Times New Roman" w:hAnsi="Times New Roman" w:cs="Times New Roman"/>
                <w:b w:val="0"/>
                <w:bCs w:val="0"/>
                <w:noProof/>
                <w:webHidden/>
                <w:sz w:val="24"/>
                <w:szCs w:val="24"/>
              </w:rPr>
              <w:fldChar w:fldCharType="end"/>
            </w:r>
          </w:hyperlink>
        </w:p>
        <w:p w14:paraId="323616CD" w14:textId="77777777" w:rsidR="00F66808" w:rsidRPr="00F66808" w:rsidRDefault="00F66808" w:rsidP="00F66808">
          <w:pPr>
            <w:pStyle w:val="TOC3"/>
            <w:tabs>
              <w:tab w:val="right" w:leader="dot" w:pos="9062"/>
            </w:tabs>
            <w:spacing w:before="0"/>
            <w:ind w:left="284"/>
            <w:jc w:val="both"/>
            <w:rPr>
              <w:rFonts w:ascii="Times New Roman" w:eastAsiaTheme="minorEastAsia" w:hAnsi="Times New Roman" w:cs="Times New Roman"/>
              <w:b w:val="0"/>
              <w:bCs w:val="0"/>
              <w:noProof/>
              <w:sz w:val="24"/>
              <w:szCs w:val="24"/>
              <w:lang w:eastAsia="lv-LV"/>
            </w:rPr>
          </w:pPr>
        </w:p>
        <w:p w14:paraId="4C4C6B68" w14:textId="1AFD74F7" w:rsidR="0051040C" w:rsidRPr="00F66808" w:rsidRDefault="00051DD6" w:rsidP="00F66808">
          <w:pPr>
            <w:pStyle w:val="TOC1"/>
            <w:tabs>
              <w:tab w:val="right" w:leader="dot" w:pos="9062"/>
            </w:tabs>
            <w:spacing w:before="0"/>
            <w:ind w:left="0"/>
            <w:jc w:val="both"/>
            <w:rPr>
              <w:rFonts w:ascii="Times New Roman" w:eastAsiaTheme="minorEastAsia" w:hAnsi="Times New Roman" w:cs="Times New Roman"/>
              <w:b/>
              <w:bCs/>
              <w:noProof/>
              <w:lang w:eastAsia="lv-LV"/>
            </w:rPr>
          </w:pPr>
          <w:hyperlink w:anchor="_Toc62650468" w:history="1">
            <w:r w:rsidR="0051040C" w:rsidRPr="00F66808">
              <w:rPr>
                <w:rStyle w:val="Hyperlink"/>
                <w:rFonts w:ascii="Times New Roman" w:hAnsi="Times New Roman" w:cs="Times New Roman"/>
                <w:b/>
                <w:bCs/>
                <w:noProof/>
                <w:color w:val="auto"/>
              </w:rPr>
              <w:t>2. nodaļa</w:t>
            </w:r>
            <w:r w:rsidR="00F66808" w:rsidRPr="00F66808">
              <w:rPr>
                <w:rStyle w:val="Hyperlink"/>
                <w:rFonts w:ascii="Times New Roman" w:hAnsi="Times New Roman" w:cs="Times New Roman"/>
                <w:b/>
                <w:bCs/>
                <w:noProof/>
                <w:color w:val="auto"/>
              </w:rPr>
              <w:br/>
            </w:r>
            <w:r w:rsidR="0051040C" w:rsidRPr="00F66808">
              <w:rPr>
                <w:rStyle w:val="Hyperlink"/>
                <w:rFonts w:ascii="Times New Roman" w:hAnsi="Times New Roman" w:cs="Times New Roman"/>
                <w:noProof/>
                <w:color w:val="auto"/>
              </w:rPr>
              <w:t>Izskatāmo valsts politikas pasākumu atlase</w:t>
            </w:r>
            <w:r w:rsidR="0051040C" w:rsidRPr="00F66808">
              <w:rPr>
                <w:rFonts w:ascii="Times New Roman" w:hAnsi="Times New Roman" w:cs="Times New Roman"/>
                <w:noProof/>
                <w:webHidden/>
              </w:rPr>
              <w:tab/>
            </w:r>
            <w:r w:rsidR="0051040C" w:rsidRPr="00F66808">
              <w:rPr>
                <w:rFonts w:ascii="Times New Roman" w:hAnsi="Times New Roman" w:cs="Times New Roman"/>
                <w:noProof/>
                <w:webHidden/>
              </w:rPr>
              <w:fldChar w:fldCharType="begin"/>
            </w:r>
            <w:r w:rsidR="0051040C" w:rsidRPr="00F66808">
              <w:rPr>
                <w:rFonts w:ascii="Times New Roman" w:hAnsi="Times New Roman" w:cs="Times New Roman"/>
                <w:noProof/>
                <w:webHidden/>
              </w:rPr>
              <w:instrText xml:space="preserve"> PAGEREF _Toc62650468 \h </w:instrText>
            </w:r>
            <w:r w:rsidR="0051040C" w:rsidRPr="00F66808">
              <w:rPr>
                <w:rFonts w:ascii="Times New Roman" w:hAnsi="Times New Roman" w:cs="Times New Roman"/>
                <w:noProof/>
                <w:webHidden/>
              </w:rPr>
            </w:r>
            <w:r w:rsidR="0051040C" w:rsidRPr="00F66808">
              <w:rPr>
                <w:rFonts w:ascii="Times New Roman" w:hAnsi="Times New Roman" w:cs="Times New Roman"/>
                <w:noProof/>
                <w:webHidden/>
              </w:rPr>
              <w:fldChar w:fldCharType="separate"/>
            </w:r>
            <w:r w:rsidR="0001248D">
              <w:rPr>
                <w:rFonts w:ascii="Times New Roman" w:hAnsi="Times New Roman" w:cs="Times New Roman"/>
                <w:noProof/>
                <w:webHidden/>
              </w:rPr>
              <w:t>16</w:t>
            </w:r>
            <w:r w:rsidR="0051040C" w:rsidRPr="00F66808">
              <w:rPr>
                <w:rFonts w:ascii="Times New Roman" w:hAnsi="Times New Roman" w:cs="Times New Roman"/>
                <w:noProof/>
                <w:webHidden/>
              </w:rPr>
              <w:fldChar w:fldCharType="end"/>
            </w:r>
          </w:hyperlink>
        </w:p>
        <w:p w14:paraId="2AC1542B" w14:textId="7DA2C493" w:rsidR="0051040C" w:rsidRPr="00F66808" w:rsidRDefault="00051DD6" w:rsidP="00F66808">
          <w:pPr>
            <w:pStyle w:val="TOC3"/>
            <w:tabs>
              <w:tab w:val="right" w:leader="dot" w:pos="9062"/>
            </w:tabs>
            <w:spacing w:before="0"/>
            <w:ind w:left="284"/>
            <w:jc w:val="both"/>
            <w:rPr>
              <w:rFonts w:ascii="Times New Roman" w:eastAsiaTheme="minorEastAsia" w:hAnsi="Times New Roman" w:cs="Times New Roman"/>
              <w:b w:val="0"/>
              <w:bCs w:val="0"/>
              <w:noProof/>
              <w:sz w:val="24"/>
              <w:szCs w:val="24"/>
              <w:lang w:eastAsia="lv-LV"/>
            </w:rPr>
          </w:pPr>
          <w:hyperlink w:anchor="_Toc62650469" w:history="1">
            <w:r w:rsidR="0051040C" w:rsidRPr="00F66808">
              <w:rPr>
                <w:rStyle w:val="Hyperlink"/>
                <w:rFonts w:ascii="Times New Roman" w:hAnsi="Times New Roman" w:cs="Times New Roman"/>
                <w:b w:val="0"/>
                <w:bCs w:val="0"/>
                <w:noProof/>
                <w:color w:val="auto"/>
                <w:sz w:val="24"/>
                <w:szCs w:val="24"/>
              </w:rPr>
              <w:t>1. Nozaru atlase</w:t>
            </w:r>
            <w:r w:rsidR="0051040C" w:rsidRPr="00F66808">
              <w:rPr>
                <w:rFonts w:ascii="Times New Roman" w:hAnsi="Times New Roman" w:cs="Times New Roman"/>
                <w:b w:val="0"/>
                <w:bCs w:val="0"/>
                <w:noProof/>
                <w:webHidden/>
                <w:sz w:val="24"/>
                <w:szCs w:val="24"/>
              </w:rPr>
              <w:tab/>
            </w:r>
            <w:r w:rsidR="0051040C" w:rsidRPr="00F66808">
              <w:rPr>
                <w:rFonts w:ascii="Times New Roman" w:hAnsi="Times New Roman" w:cs="Times New Roman"/>
                <w:b w:val="0"/>
                <w:bCs w:val="0"/>
                <w:noProof/>
                <w:webHidden/>
                <w:sz w:val="24"/>
                <w:szCs w:val="24"/>
              </w:rPr>
              <w:fldChar w:fldCharType="begin"/>
            </w:r>
            <w:r w:rsidR="0051040C" w:rsidRPr="00F66808">
              <w:rPr>
                <w:rFonts w:ascii="Times New Roman" w:hAnsi="Times New Roman" w:cs="Times New Roman"/>
                <w:b w:val="0"/>
                <w:bCs w:val="0"/>
                <w:noProof/>
                <w:webHidden/>
                <w:sz w:val="24"/>
                <w:szCs w:val="24"/>
              </w:rPr>
              <w:instrText xml:space="preserve"> PAGEREF _Toc62650469 \h </w:instrText>
            </w:r>
            <w:r w:rsidR="0051040C" w:rsidRPr="00F66808">
              <w:rPr>
                <w:rFonts w:ascii="Times New Roman" w:hAnsi="Times New Roman" w:cs="Times New Roman"/>
                <w:b w:val="0"/>
                <w:bCs w:val="0"/>
                <w:noProof/>
                <w:webHidden/>
                <w:sz w:val="24"/>
                <w:szCs w:val="24"/>
              </w:rPr>
            </w:r>
            <w:r w:rsidR="0051040C" w:rsidRPr="00F66808">
              <w:rPr>
                <w:rFonts w:ascii="Times New Roman" w:hAnsi="Times New Roman" w:cs="Times New Roman"/>
                <w:b w:val="0"/>
                <w:bCs w:val="0"/>
                <w:noProof/>
                <w:webHidden/>
                <w:sz w:val="24"/>
                <w:szCs w:val="24"/>
              </w:rPr>
              <w:fldChar w:fldCharType="separate"/>
            </w:r>
            <w:r w:rsidR="0001248D">
              <w:rPr>
                <w:rFonts w:ascii="Times New Roman" w:hAnsi="Times New Roman" w:cs="Times New Roman"/>
                <w:b w:val="0"/>
                <w:bCs w:val="0"/>
                <w:noProof/>
                <w:webHidden/>
                <w:sz w:val="24"/>
                <w:szCs w:val="24"/>
              </w:rPr>
              <w:t>16</w:t>
            </w:r>
            <w:r w:rsidR="0051040C" w:rsidRPr="00F66808">
              <w:rPr>
                <w:rFonts w:ascii="Times New Roman" w:hAnsi="Times New Roman" w:cs="Times New Roman"/>
                <w:b w:val="0"/>
                <w:bCs w:val="0"/>
                <w:noProof/>
                <w:webHidden/>
                <w:sz w:val="24"/>
                <w:szCs w:val="24"/>
              </w:rPr>
              <w:fldChar w:fldCharType="end"/>
            </w:r>
          </w:hyperlink>
        </w:p>
        <w:p w14:paraId="55C6B1DD" w14:textId="16C415CC" w:rsidR="0051040C" w:rsidRPr="00F66808" w:rsidRDefault="00051DD6" w:rsidP="00F66808">
          <w:pPr>
            <w:pStyle w:val="TOC3"/>
            <w:tabs>
              <w:tab w:val="right" w:leader="dot" w:pos="9062"/>
            </w:tabs>
            <w:spacing w:before="0"/>
            <w:ind w:left="284"/>
            <w:jc w:val="both"/>
            <w:rPr>
              <w:rFonts w:ascii="Times New Roman" w:eastAsiaTheme="minorEastAsia" w:hAnsi="Times New Roman" w:cs="Times New Roman"/>
              <w:b w:val="0"/>
              <w:bCs w:val="0"/>
              <w:noProof/>
              <w:sz w:val="24"/>
              <w:szCs w:val="24"/>
              <w:lang w:eastAsia="lv-LV"/>
            </w:rPr>
          </w:pPr>
          <w:hyperlink w:anchor="_Toc62650470" w:history="1">
            <w:r w:rsidR="0051040C" w:rsidRPr="00F66808">
              <w:rPr>
                <w:rStyle w:val="Hyperlink"/>
                <w:rFonts w:ascii="Times New Roman" w:hAnsi="Times New Roman" w:cs="Times New Roman"/>
                <w:b w:val="0"/>
                <w:bCs w:val="0"/>
                <w:noProof/>
                <w:color w:val="auto"/>
                <w:sz w:val="24"/>
                <w:szCs w:val="24"/>
              </w:rPr>
              <w:t>2. Nozaru kartēšana</w:t>
            </w:r>
            <w:r w:rsidR="0051040C" w:rsidRPr="00F66808">
              <w:rPr>
                <w:rFonts w:ascii="Times New Roman" w:hAnsi="Times New Roman" w:cs="Times New Roman"/>
                <w:b w:val="0"/>
                <w:bCs w:val="0"/>
                <w:noProof/>
                <w:webHidden/>
                <w:sz w:val="24"/>
                <w:szCs w:val="24"/>
              </w:rPr>
              <w:tab/>
            </w:r>
            <w:r w:rsidR="0051040C" w:rsidRPr="00F66808">
              <w:rPr>
                <w:rFonts w:ascii="Times New Roman" w:hAnsi="Times New Roman" w:cs="Times New Roman"/>
                <w:b w:val="0"/>
                <w:bCs w:val="0"/>
                <w:noProof/>
                <w:webHidden/>
                <w:sz w:val="24"/>
                <w:szCs w:val="24"/>
              </w:rPr>
              <w:fldChar w:fldCharType="begin"/>
            </w:r>
            <w:r w:rsidR="0051040C" w:rsidRPr="00F66808">
              <w:rPr>
                <w:rFonts w:ascii="Times New Roman" w:hAnsi="Times New Roman" w:cs="Times New Roman"/>
                <w:b w:val="0"/>
                <w:bCs w:val="0"/>
                <w:noProof/>
                <w:webHidden/>
                <w:sz w:val="24"/>
                <w:szCs w:val="24"/>
              </w:rPr>
              <w:instrText xml:space="preserve"> PAGEREF _Toc62650470 \h </w:instrText>
            </w:r>
            <w:r w:rsidR="0051040C" w:rsidRPr="00F66808">
              <w:rPr>
                <w:rFonts w:ascii="Times New Roman" w:hAnsi="Times New Roman" w:cs="Times New Roman"/>
                <w:b w:val="0"/>
                <w:bCs w:val="0"/>
                <w:noProof/>
                <w:webHidden/>
                <w:sz w:val="24"/>
                <w:szCs w:val="24"/>
              </w:rPr>
            </w:r>
            <w:r w:rsidR="0051040C" w:rsidRPr="00F66808">
              <w:rPr>
                <w:rFonts w:ascii="Times New Roman" w:hAnsi="Times New Roman" w:cs="Times New Roman"/>
                <w:b w:val="0"/>
                <w:bCs w:val="0"/>
                <w:noProof/>
                <w:webHidden/>
                <w:sz w:val="24"/>
                <w:szCs w:val="24"/>
              </w:rPr>
              <w:fldChar w:fldCharType="separate"/>
            </w:r>
            <w:r w:rsidR="0001248D">
              <w:rPr>
                <w:rFonts w:ascii="Times New Roman" w:hAnsi="Times New Roman" w:cs="Times New Roman"/>
                <w:b w:val="0"/>
                <w:bCs w:val="0"/>
                <w:noProof/>
                <w:webHidden/>
                <w:sz w:val="24"/>
                <w:szCs w:val="24"/>
              </w:rPr>
              <w:t>18</w:t>
            </w:r>
            <w:r w:rsidR="0051040C" w:rsidRPr="00F66808">
              <w:rPr>
                <w:rFonts w:ascii="Times New Roman" w:hAnsi="Times New Roman" w:cs="Times New Roman"/>
                <w:b w:val="0"/>
                <w:bCs w:val="0"/>
                <w:noProof/>
                <w:webHidden/>
                <w:sz w:val="24"/>
                <w:szCs w:val="24"/>
              </w:rPr>
              <w:fldChar w:fldCharType="end"/>
            </w:r>
          </w:hyperlink>
        </w:p>
        <w:p w14:paraId="42A2469F" w14:textId="0106D47D" w:rsidR="0051040C" w:rsidRDefault="00051DD6" w:rsidP="00F66808">
          <w:pPr>
            <w:pStyle w:val="TOC3"/>
            <w:tabs>
              <w:tab w:val="right" w:leader="dot" w:pos="9062"/>
            </w:tabs>
            <w:spacing w:before="0"/>
            <w:ind w:left="284"/>
            <w:jc w:val="both"/>
            <w:rPr>
              <w:rStyle w:val="Hyperlink"/>
              <w:rFonts w:ascii="Times New Roman" w:hAnsi="Times New Roman" w:cs="Times New Roman"/>
              <w:b w:val="0"/>
              <w:bCs w:val="0"/>
              <w:noProof/>
              <w:color w:val="auto"/>
              <w:sz w:val="24"/>
              <w:szCs w:val="24"/>
            </w:rPr>
          </w:pPr>
          <w:hyperlink w:anchor="_Toc62650471" w:history="1">
            <w:r w:rsidR="0051040C" w:rsidRPr="00F66808">
              <w:rPr>
                <w:rStyle w:val="Hyperlink"/>
                <w:rFonts w:ascii="Times New Roman" w:hAnsi="Times New Roman" w:cs="Times New Roman"/>
                <w:b w:val="0"/>
                <w:bCs w:val="0"/>
                <w:noProof/>
                <w:color w:val="auto"/>
                <w:sz w:val="24"/>
                <w:szCs w:val="24"/>
              </w:rPr>
              <w:t>3. Galveno politikas pasākumu noteikšana</w:t>
            </w:r>
            <w:r w:rsidR="0051040C" w:rsidRPr="00F66808">
              <w:rPr>
                <w:rFonts w:ascii="Times New Roman" w:hAnsi="Times New Roman" w:cs="Times New Roman"/>
                <w:b w:val="0"/>
                <w:bCs w:val="0"/>
                <w:noProof/>
                <w:webHidden/>
                <w:sz w:val="24"/>
                <w:szCs w:val="24"/>
              </w:rPr>
              <w:tab/>
            </w:r>
            <w:r w:rsidR="0051040C" w:rsidRPr="00F66808">
              <w:rPr>
                <w:rFonts w:ascii="Times New Roman" w:hAnsi="Times New Roman" w:cs="Times New Roman"/>
                <w:b w:val="0"/>
                <w:bCs w:val="0"/>
                <w:noProof/>
                <w:webHidden/>
                <w:sz w:val="24"/>
                <w:szCs w:val="24"/>
              </w:rPr>
              <w:fldChar w:fldCharType="begin"/>
            </w:r>
            <w:r w:rsidR="0051040C" w:rsidRPr="00F66808">
              <w:rPr>
                <w:rFonts w:ascii="Times New Roman" w:hAnsi="Times New Roman" w:cs="Times New Roman"/>
                <w:b w:val="0"/>
                <w:bCs w:val="0"/>
                <w:noProof/>
                <w:webHidden/>
                <w:sz w:val="24"/>
                <w:szCs w:val="24"/>
              </w:rPr>
              <w:instrText xml:space="preserve"> PAGEREF _Toc62650471 \h </w:instrText>
            </w:r>
            <w:r w:rsidR="0051040C" w:rsidRPr="00F66808">
              <w:rPr>
                <w:rFonts w:ascii="Times New Roman" w:hAnsi="Times New Roman" w:cs="Times New Roman"/>
                <w:b w:val="0"/>
                <w:bCs w:val="0"/>
                <w:noProof/>
                <w:webHidden/>
                <w:sz w:val="24"/>
                <w:szCs w:val="24"/>
              </w:rPr>
            </w:r>
            <w:r w:rsidR="0051040C" w:rsidRPr="00F66808">
              <w:rPr>
                <w:rFonts w:ascii="Times New Roman" w:hAnsi="Times New Roman" w:cs="Times New Roman"/>
                <w:b w:val="0"/>
                <w:bCs w:val="0"/>
                <w:noProof/>
                <w:webHidden/>
                <w:sz w:val="24"/>
                <w:szCs w:val="24"/>
              </w:rPr>
              <w:fldChar w:fldCharType="separate"/>
            </w:r>
            <w:r w:rsidR="0001248D">
              <w:rPr>
                <w:rFonts w:ascii="Times New Roman" w:hAnsi="Times New Roman" w:cs="Times New Roman"/>
                <w:b w:val="0"/>
                <w:bCs w:val="0"/>
                <w:noProof/>
                <w:webHidden/>
                <w:sz w:val="24"/>
                <w:szCs w:val="24"/>
              </w:rPr>
              <w:t>21</w:t>
            </w:r>
            <w:r w:rsidR="0051040C" w:rsidRPr="00F66808">
              <w:rPr>
                <w:rFonts w:ascii="Times New Roman" w:hAnsi="Times New Roman" w:cs="Times New Roman"/>
                <w:b w:val="0"/>
                <w:bCs w:val="0"/>
                <w:noProof/>
                <w:webHidden/>
                <w:sz w:val="24"/>
                <w:szCs w:val="24"/>
              </w:rPr>
              <w:fldChar w:fldCharType="end"/>
            </w:r>
          </w:hyperlink>
        </w:p>
        <w:p w14:paraId="32C4A779" w14:textId="77777777" w:rsidR="00F66808" w:rsidRPr="00F66808" w:rsidRDefault="00F66808" w:rsidP="00F66808">
          <w:pPr>
            <w:pStyle w:val="TOC3"/>
            <w:tabs>
              <w:tab w:val="right" w:leader="dot" w:pos="9062"/>
            </w:tabs>
            <w:spacing w:before="0"/>
            <w:ind w:left="0"/>
            <w:jc w:val="both"/>
            <w:rPr>
              <w:rFonts w:ascii="Times New Roman" w:eastAsiaTheme="minorEastAsia" w:hAnsi="Times New Roman" w:cs="Times New Roman"/>
              <w:b w:val="0"/>
              <w:bCs w:val="0"/>
              <w:noProof/>
              <w:sz w:val="24"/>
              <w:szCs w:val="24"/>
              <w:lang w:eastAsia="lv-LV"/>
            </w:rPr>
          </w:pPr>
        </w:p>
        <w:p w14:paraId="44A5B8D0" w14:textId="7282AAC1" w:rsidR="0051040C" w:rsidRPr="00F66808" w:rsidRDefault="00051DD6" w:rsidP="00F66808">
          <w:pPr>
            <w:pStyle w:val="TOC1"/>
            <w:tabs>
              <w:tab w:val="right" w:leader="dot" w:pos="9062"/>
            </w:tabs>
            <w:spacing w:before="0"/>
            <w:ind w:left="0"/>
            <w:jc w:val="both"/>
            <w:rPr>
              <w:rStyle w:val="Hyperlink"/>
              <w:rFonts w:ascii="Times New Roman" w:hAnsi="Times New Roman" w:cs="Times New Roman"/>
              <w:b/>
              <w:bCs/>
              <w:noProof/>
              <w:color w:val="auto"/>
            </w:rPr>
          </w:pPr>
          <w:hyperlink w:anchor="_Toc62650472" w:history="1">
            <w:r w:rsidR="0051040C" w:rsidRPr="00F66808">
              <w:rPr>
                <w:rStyle w:val="Hyperlink"/>
                <w:rFonts w:ascii="Times New Roman" w:hAnsi="Times New Roman" w:cs="Times New Roman"/>
                <w:b/>
                <w:bCs/>
                <w:noProof/>
                <w:color w:val="auto"/>
              </w:rPr>
              <w:t>3. nodaļa</w:t>
            </w:r>
            <w:r w:rsidR="00F66808" w:rsidRPr="00F66808">
              <w:rPr>
                <w:rStyle w:val="Hyperlink"/>
                <w:rFonts w:ascii="Times New Roman" w:hAnsi="Times New Roman" w:cs="Times New Roman"/>
                <w:b/>
                <w:bCs/>
                <w:noProof/>
                <w:color w:val="auto"/>
              </w:rPr>
              <w:br/>
            </w:r>
            <w:r w:rsidR="0051040C" w:rsidRPr="00F66808">
              <w:rPr>
                <w:rStyle w:val="Hyperlink"/>
                <w:rFonts w:ascii="Times New Roman" w:hAnsi="Times New Roman" w:cs="Times New Roman"/>
                <w:noProof/>
                <w:color w:val="auto"/>
              </w:rPr>
              <w:t>Konkurences izvērtēšana, izmantojot pārbaudes lapu</w:t>
            </w:r>
            <w:r w:rsidR="0051040C" w:rsidRPr="00F66808">
              <w:rPr>
                <w:rFonts w:ascii="Times New Roman" w:hAnsi="Times New Roman" w:cs="Times New Roman"/>
                <w:noProof/>
                <w:webHidden/>
              </w:rPr>
              <w:tab/>
            </w:r>
            <w:r w:rsidR="0051040C" w:rsidRPr="00F66808">
              <w:rPr>
                <w:rFonts w:ascii="Times New Roman" w:hAnsi="Times New Roman" w:cs="Times New Roman"/>
                <w:noProof/>
                <w:webHidden/>
              </w:rPr>
              <w:fldChar w:fldCharType="begin"/>
            </w:r>
            <w:r w:rsidR="0051040C" w:rsidRPr="00F66808">
              <w:rPr>
                <w:rFonts w:ascii="Times New Roman" w:hAnsi="Times New Roman" w:cs="Times New Roman"/>
                <w:noProof/>
                <w:webHidden/>
              </w:rPr>
              <w:instrText xml:space="preserve"> PAGEREF _Toc62650472 \h </w:instrText>
            </w:r>
            <w:r w:rsidR="0051040C" w:rsidRPr="00F66808">
              <w:rPr>
                <w:rFonts w:ascii="Times New Roman" w:hAnsi="Times New Roman" w:cs="Times New Roman"/>
                <w:noProof/>
                <w:webHidden/>
              </w:rPr>
            </w:r>
            <w:r w:rsidR="0051040C" w:rsidRPr="00F66808">
              <w:rPr>
                <w:rFonts w:ascii="Times New Roman" w:hAnsi="Times New Roman" w:cs="Times New Roman"/>
                <w:noProof/>
                <w:webHidden/>
              </w:rPr>
              <w:fldChar w:fldCharType="separate"/>
            </w:r>
            <w:r w:rsidR="0001248D">
              <w:rPr>
                <w:rFonts w:ascii="Times New Roman" w:hAnsi="Times New Roman" w:cs="Times New Roman"/>
                <w:noProof/>
                <w:webHidden/>
              </w:rPr>
              <w:t>25</w:t>
            </w:r>
            <w:r w:rsidR="0051040C" w:rsidRPr="00F66808">
              <w:rPr>
                <w:rFonts w:ascii="Times New Roman" w:hAnsi="Times New Roman" w:cs="Times New Roman"/>
                <w:noProof/>
                <w:webHidden/>
              </w:rPr>
              <w:fldChar w:fldCharType="end"/>
            </w:r>
          </w:hyperlink>
        </w:p>
        <w:p w14:paraId="3260DD4B" w14:textId="77777777" w:rsidR="00F66808" w:rsidRPr="00F66808" w:rsidRDefault="00F66808" w:rsidP="00F66808">
          <w:pPr>
            <w:pStyle w:val="TOC1"/>
            <w:tabs>
              <w:tab w:val="right" w:leader="dot" w:pos="9062"/>
            </w:tabs>
            <w:spacing w:before="0"/>
            <w:ind w:left="0"/>
            <w:jc w:val="both"/>
            <w:rPr>
              <w:rFonts w:ascii="Times New Roman" w:eastAsiaTheme="minorEastAsia" w:hAnsi="Times New Roman" w:cs="Times New Roman"/>
              <w:noProof/>
              <w:lang w:eastAsia="lv-LV"/>
            </w:rPr>
          </w:pPr>
        </w:p>
        <w:p w14:paraId="24AFD948" w14:textId="15D97AC1" w:rsidR="0051040C" w:rsidRPr="00F66808" w:rsidRDefault="00051DD6" w:rsidP="00F66808">
          <w:pPr>
            <w:pStyle w:val="TOC1"/>
            <w:tabs>
              <w:tab w:val="right" w:leader="dot" w:pos="9062"/>
            </w:tabs>
            <w:spacing w:before="0"/>
            <w:ind w:left="0"/>
            <w:jc w:val="both"/>
            <w:rPr>
              <w:rStyle w:val="Hyperlink"/>
              <w:rFonts w:ascii="Times New Roman" w:hAnsi="Times New Roman" w:cs="Times New Roman"/>
              <w:b/>
              <w:bCs/>
              <w:noProof/>
              <w:color w:val="auto"/>
            </w:rPr>
          </w:pPr>
          <w:hyperlink w:anchor="_Toc62650474" w:history="1">
            <w:r w:rsidR="0051040C" w:rsidRPr="00F66808">
              <w:rPr>
                <w:rStyle w:val="Hyperlink"/>
                <w:rFonts w:ascii="Times New Roman" w:hAnsi="Times New Roman" w:cs="Times New Roman"/>
                <w:b/>
                <w:bCs/>
                <w:noProof/>
                <w:color w:val="auto"/>
              </w:rPr>
              <w:t>4. nodaļa</w:t>
            </w:r>
            <w:r w:rsidR="00F66808" w:rsidRPr="00F66808">
              <w:rPr>
                <w:rStyle w:val="Hyperlink"/>
                <w:rFonts w:ascii="Times New Roman" w:hAnsi="Times New Roman" w:cs="Times New Roman"/>
                <w:b/>
                <w:bCs/>
                <w:noProof/>
                <w:color w:val="auto"/>
              </w:rPr>
              <w:br/>
            </w:r>
            <w:r w:rsidR="0051040C" w:rsidRPr="00F66808">
              <w:rPr>
                <w:rStyle w:val="Hyperlink"/>
                <w:rFonts w:ascii="Times New Roman" w:hAnsi="Times New Roman" w:cs="Times New Roman"/>
                <w:noProof/>
                <w:color w:val="auto"/>
              </w:rPr>
              <w:t>Iespējamo ierobežojumu izskatīšana</w:t>
            </w:r>
            <w:r w:rsidR="0051040C" w:rsidRPr="00F66808">
              <w:rPr>
                <w:rFonts w:ascii="Times New Roman" w:hAnsi="Times New Roman" w:cs="Times New Roman"/>
                <w:noProof/>
                <w:webHidden/>
              </w:rPr>
              <w:tab/>
            </w:r>
            <w:r w:rsidR="0051040C" w:rsidRPr="00F66808">
              <w:rPr>
                <w:rFonts w:ascii="Times New Roman" w:hAnsi="Times New Roman" w:cs="Times New Roman"/>
                <w:noProof/>
                <w:webHidden/>
              </w:rPr>
              <w:fldChar w:fldCharType="begin"/>
            </w:r>
            <w:r w:rsidR="0051040C" w:rsidRPr="00F66808">
              <w:rPr>
                <w:rFonts w:ascii="Times New Roman" w:hAnsi="Times New Roman" w:cs="Times New Roman"/>
                <w:noProof/>
                <w:webHidden/>
              </w:rPr>
              <w:instrText xml:space="preserve"> PAGEREF _Toc62650474 \h </w:instrText>
            </w:r>
            <w:r w:rsidR="0051040C" w:rsidRPr="00F66808">
              <w:rPr>
                <w:rFonts w:ascii="Times New Roman" w:hAnsi="Times New Roman" w:cs="Times New Roman"/>
                <w:noProof/>
                <w:webHidden/>
              </w:rPr>
            </w:r>
            <w:r w:rsidR="0051040C" w:rsidRPr="00F66808">
              <w:rPr>
                <w:rFonts w:ascii="Times New Roman" w:hAnsi="Times New Roman" w:cs="Times New Roman"/>
                <w:noProof/>
                <w:webHidden/>
              </w:rPr>
              <w:fldChar w:fldCharType="separate"/>
            </w:r>
            <w:r w:rsidR="0001248D">
              <w:rPr>
                <w:rFonts w:ascii="Times New Roman" w:hAnsi="Times New Roman" w:cs="Times New Roman"/>
                <w:noProof/>
                <w:webHidden/>
              </w:rPr>
              <w:t>45</w:t>
            </w:r>
            <w:r w:rsidR="0051040C" w:rsidRPr="00F66808">
              <w:rPr>
                <w:rFonts w:ascii="Times New Roman" w:hAnsi="Times New Roman" w:cs="Times New Roman"/>
                <w:noProof/>
                <w:webHidden/>
              </w:rPr>
              <w:fldChar w:fldCharType="end"/>
            </w:r>
          </w:hyperlink>
        </w:p>
        <w:p w14:paraId="092F7135" w14:textId="7E380429" w:rsidR="0051040C" w:rsidRPr="00F66808" w:rsidRDefault="00051DD6" w:rsidP="005411E0">
          <w:pPr>
            <w:pStyle w:val="TOC3"/>
            <w:tabs>
              <w:tab w:val="right" w:leader="dot" w:pos="9062"/>
            </w:tabs>
            <w:spacing w:before="0"/>
            <w:ind w:left="284"/>
            <w:jc w:val="both"/>
            <w:rPr>
              <w:rFonts w:ascii="Times New Roman" w:eastAsiaTheme="minorEastAsia" w:hAnsi="Times New Roman" w:cs="Times New Roman"/>
              <w:b w:val="0"/>
              <w:bCs w:val="0"/>
              <w:noProof/>
              <w:sz w:val="24"/>
              <w:szCs w:val="24"/>
              <w:lang w:eastAsia="lv-LV"/>
            </w:rPr>
          </w:pPr>
          <w:hyperlink w:anchor="_Toc62650475" w:history="1">
            <w:r w:rsidR="0051040C" w:rsidRPr="00F66808">
              <w:rPr>
                <w:rStyle w:val="Hyperlink"/>
                <w:rFonts w:ascii="Times New Roman" w:hAnsi="Times New Roman" w:cs="Times New Roman"/>
                <w:b w:val="0"/>
                <w:bCs w:val="0"/>
                <w:noProof/>
                <w:color w:val="auto"/>
                <w:sz w:val="24"/>
                <w:szCs w:val="24"/>
              </w:rPr>
              <w:t>1. Rādītāji, kas liecina par padziļinātas analīzes nepieciešamību</w:t>
            </w:r>
            <w:r w:rsidR="0051040C" w:rsidRPr="00F66808">
              <w:rPr>
                <w:rFonts w:ascii="Times New Roman" w:hAnsi="Times New Roman" w:cs="Times New Roman"/>
                <w:b w:val="0"/>
                <w:bCs w:val="0"/>
                <w:noProof/>
                <w:webHidden/>
                <w:sz w:val="24"/>
                <w:szCs w:val="24"/>
              </w:rPr>
              <w:tab/>
            </w:r>
            <w:r w:rsidR="0051040C" w:rsidRPr="00F66808">
              <w:rPr>
                <w:rFonts w:ascii="Times New Roman" w:hAnsi="Times New Roman" w:cs="Times New Roman"/>
                <w:b w:val="0"/>
                <w:bCs w:val="0"/>
                <w:noProof/>
                <w:webHidden/>
                <w:sz w:val="24"/>
                <w:szCs w:val="24"/>
              </w:rPr>
              <w:fldChar w:fldCharType="begin"/>
            </w:r>
            <w:r w:rsidR="0051040C" w:rsidRPr="00F66808">
              <w:rPr>
                <w:rFonts w:ascii="Times New Roman" w:hAnsi="Times New Roman" w:cs="Times New Roman"/>
                <w:b w:val="0"/>
                <w:bCs w:val="0"/>
                <w:noProof/>
                <w:webHidden/>
                <w:sz w:val="24"/>
                <w:szCs w:val="24"/>
              </w:rPr>
              <w:instrText xml:space="preserve"> PAGEREF _Toc62650475 \h </w:instrText>
            </w:r>
            <w:r w:rsidR="0051040C" w:rsidRPr="00F66808">
              <w:rPr>
                <w:rFonts w:ascii="Times New Roman" w:hAnsi="Times New Roman" w:cs="Times New Roman"/>
                <w:b w:val="0"/>
                <w:bCs w:val="0"/>
                <w:noProof/>
                <w:webHidden/>
                <w:sz w:val="24"/>
                <w:szCs w:val="24"/>
              </w:rPr>
            </w:r>
            <w:r w:rsidR="0051040C" w:rsidRPr="00F66808">
              <w:rPr>
                <w:rFonts w:ascii="Times New Roman" w:hAnsi="Times New Roman" w:cs="Times New Roman"/>
                <w:b w:val="0"/>
                <w:bCs w:val="0"/>
                <w:noProof/>
                <w:webHidden/>
                <w:sz w:val="24"/>
                <w:szCs w:val="24"/>
              </w:rPr>
              <w:fldChar w:fldCharType="separate"/>
            </w:r>
            <w:r w:rsidR="0001248D">
              <w:rPr>
                <w:rFonts w:ascii="Times New Roman" w:hAnsi="Times New Roman" w:cs="Times New Roman"/>
                <w:b w:val="0"/>
                <w:bCs w:val="0"/>
                <w:noProof/>
                <w:webHidden/>
                <w:sz w:val="24"/>
                <w:szCs w:val="24"/>
              </w:rPr>
              <w:t>45</w:t>
            </w:r>
            <w:r w:rsidR="0051040C" w:rsidRPr="00F66808">
              <w:rPr>
                <w:rFonts w:ascii="Times New Roman" w:hAnsi="Times New Roman" w:cs="Times New Roman"/>
                <w:b w:val="0"/>
                <w:bCs w:val="0"/>
                <w:noProof/>
                <w:webHidden/>
                <w:sz w:val="24"/>
                <w:szCs w:val="24"/>
              </w:rPr>
              <w:fldChar w:fldCharType="end"/>
            </w:r>
          </w:hyperlink>
        </w:p>
        <w:p w14:paraId="7C16ADC1" w14:textId="7D5B00C7" w:rsidR="0051040C" w:rsidRPr="00F66808" w:rsidRDefault="00051DD6" w:rsidP="005411E0">
          <w:pPr>
            <w:pStyle w:val="TOC3"/>
            <w:tabs>
              <w:tab w:val="right" w:leader="dot" w:pos="9062"/>
            </w:tabs>
            <w:spacing w:before="0"/>
            <w:ind w:left="284"/>
            <w:jc w:val="both"/>
            <w:rPr>
              <w:rFonts w:ascii="Times New Roman" w:eastAsiaTheme="minorEastAsia" w:hAnsi="Times New Roman" w:cs="Times New Roman"/>
              <w:b w:val="0"/>
              <w:bCs w:val="0"/>
              <w:noProof/>
              <w:sz w:val="24"/>
              <w:szCs w:val="24"/>
              <w:lang w:eastAsia="lv-LV"/>
            </w:rPr>
          </w:pPr>
          <w:hyperlink w:anchor="_Toc62650476" w:history="1">
            <w:r w:rsidR="0051040C" w:rsidRPr="00F66808">
              <w:rPr>
                <w:rStyle w:val="Hyperlink"/>
                <w:rFonts w:ascii="Times New Roman" w:hAnsi="Times New Roman" w:cs="Times New Roman"/>
                <w:b w:val="0"/>
                <w:bCs w:val="0"/>
                <w:noProof/>
                <w:color w:val="auto"/>
                <w:sz w:val="24"/>
                <w:szCs w:val="24"/>
              </w:rPr>
              <w:t>2. Rādītāji, kas liecina par to, ka padziļināta analīze nav nepieciešama</w:t>
            </w:r>
            <w:r w:rsidR="0051040C" w:rsidRPr="00F66808">
              <w:rPr>
                <w:rFonts w:ascii="Times New Roman" w:hAnsi="Times New Roman" w:cs="Times New Roman"/>
                <w:b w:val="0"/>
                <w:bCs w:val="0"/>
                <w:noProof/>
                <w:webHidden/>
                <w:sz w:val="24"/>
                <w:szCs w:val="24"/>
              </w:rPr>
              <w:tab/>
            </w:r>
            <w:r w:rsidR="0051040C" w:rsidRPr="00F66808">
              <w:rPr>
                <w:rFonts w:ascii="Times New Roman" w:hAnsi="Times New Roman" w:cs="Times New Roman"/>
                <w:b w:val="0"/>
                <w:bCs w:val="0"/>
                <w:noProof/>
                <w:webHidden/>
                <w:sz w:val="24"/>
                <w:szCs w:val="24"/>
              </w:rPr>
              <w:fldChar w:fldCharType="begin"/>
            </w:r>
            <w:r w:rsidR="0051040C" w:rsidRPr="00F66808">
              <w:rPr>
                <w:rFonts w:ascii="Times New Roman" w:hAnsi="Times New Roman" w:cs="Times New Roman"/>
                <w:b w:val="0"/>
                <w:bCs w:val="0"/>
                <w:noProof/>
                <w:webHidden/>
                <w:sz w:val="24"/>
                <w:szCs w:val="24"/>
              </w:rPr>
              <w:instrText xml:space="preserve"> PAGEREF _Toc62650476 \h </w:instrText>
            </w:r>
            <w:r w:rsidR="0051040C" w:rsidRPr="00F66808">
              <w:rPr>
                <w:rFonts w:ascii="Times New Roman" w:hAnsi="Times New Roman" w:cs="Times New Roman"/>
                <w:b w:val="0"/>
                <w:bCs w:val="0"/>
                <w:noProof/>
                <w:webHidden/>
                <w:sz w:val="24"/>
                <w:szCs w:val="24"/>
              </w:rPr>
            </w:r>
            <w:r w:rsidR="0051040C" w:rsidRPr="00F66808">
              <w:rPr>
                <w:rFonts w:ascii="Times New Roman" w:hAnsi="Times New Roman" w:cs="Times New Roman"/>
                <w:b w:val="0"/>
                <w:bCs w:val="0"/>
                <w:noProof/>
                <w:webHidden/>
                <w:sz w:val="24"/>
                <w:szCs w:val="24"/>
              </w:rPr>
              <w:fldChar w:fldCharType="separate"/>
            </w:r>
            <w:r w:rsidR="0001248D">
              <w:rPr>
                <w:rFonts w:ascii="Times New Roman" w:hAnsi="Times New Roman" w:cs="Times New Roman"/>
                <w:b w:val="0"/>
                <w:bCs w:val="0"/>
                <w:noProof/>
                <w:webHidden/>
                <w:sz w:val="24"/>
                <w:szCs w:val="24"/>
              </w:rPr>
              <w:t>46</w:t>
            </w:r>
            <w:r w:rsidR="0051040C" w:rsidRPr="00F66808">
              <w:rPr>
                <w:rFonts w:ascii="Times New Roman" w:hAnsi="Times New Roman" w:cs="Times New Roman"/>
                <w:b w:val="0"/>
                <w:bCs w:val="0"/>
                <w:noProof/>
                <w:webHidden/>
                <w:sz w:val="24"/>
                <w:szCs w:val="24"/>
              </w:rPr>
              <w:fldChar w:fldCharType="end"/>
            </w:r>
          </w:hyperlink>
        </w:p>
        <w:p w14:paraId="0D14CB77" w14:textId="350C652E" w:rsidR="0051040C" w:rsidRPr="00F66808" w:rsidRDefault="00051DD6" w:rsidP="005411E0">
          <w:pPr>
            <w:pStyle w:val="TOC3"/>
            <w:tabs>
              <w:tab w:val="right" w:leader="dot" w:pos="9062"/>
            </w:tabs>
            <w:spacing w:before="0"/>
            <w:ind w:left="284"/>
            <w:jc w:val="both"/>
            <w:rPr>
              <w:rFonts w:ascii="Times New Roman" w:eastAsiaTheme="minorEastAsia" w:hAnsi="Times New Roman" w:cs="Times New Roman"/>
              <w:b w:val="0"/>
              <w:bCs w:val="0"/>
              <w:noProof/>
              <w:sz w:val="24"/>
              <w:szCs w:val="24"/>
              <w:lang w:eastAsia="lv-LV"/>
            </w:rPr>
          </w:pPr>
          <w:hyperlink w:anchor="_Toc62650477" w:history="1">
            <w:r w:rsidR="0051040C" w:rsidRPr="00F66808">
              <w:rPr>
                <w:rStyle w:val="Hyperlink"/>
                <w:rFonts w:ascii="Times New Roman" w:hAnsi="Times New Roman" w:cs="Times New Roman"/>
                <w:b w:val="0"/>
                <w:bCs w:val="0"/>
                <w:noProof/>
                <w:color w:val="auto"/>
                <w:sz w:val="24"/>
                <w:szCs w:val="24"/>
              </w:rPr>
              <w:t>3. Izpētes padziļinātības pakāpe</w:t>
            </w:r>
            <w:r w:rsidR="0051040C" w:rsidRPr="00F66808">
              <w:rPr>
                <w:rFonts w:ascii="Times New Roman" w:hAnsi="Times New Roman" w:cs="Times New Roman"/>
                <w:b w:val="0"/>
                <w:bCs w:val="0"/>
                <w:noProof/>
                <w:webHidden/>
                <w:sz w:val="24"/>
                <w:szCs w:val="24"/>
              </w:rPr>
              <w:tab/>
            </w:r>
            <w:r w:rsidR="0051040C" w:rsidRPr="00F66808">
              <w:rPr>
                <w:rFonts w:ascii="Times New Roman" w:hAnsi="Times New Roman" w:cs="Times New Roman"/>
                <w:b w:val="0"/>
                <w:bCs w:val="0"/>
                <w:noProof/>
                <w:webHidden/>
                <w:sz w:val="24"/>
                <w:szCs w:val="24"/>
              </w:rPr>
              <w:fldChar w:fldCharType="begin"/>
            </w:r>
            <w:r w:rsidR="0051040C" w:rsidRPr="00F66808">
              <w:rPr>
                <w:rFonts w:ascii="Times New Roman" w:hAnsi="Times New Roman" w:cs="Times New Roman"/>
                <w:b w:val="0"/>
                <w:bCs w:val="0"/>
                <w:noProof/>
                <w:webHidden/>
                <w:sz w:val="24"/>
                <w:szCs w:val="24"/>
              </w:rPr>
              <w:instrText xml:space="preserve"> PAGEREF _Toc62650477 \h </w:instrText>
            </w:r>
            <w:r w:rsidR="0051040C" w:rsidRPr="00F66808">
              <w:rPr>
                <w:rFonts w:ascii="Times New Roman" w:hAnsi="Times New Roman" w:cs="Times New Roman"/>
                <w:b w:val="0"/>
                <w:bCs w:val="0"/>
                <w:noProof/>
                <w:webHidden/>
                <w:sz w:val="24"/>
                <w:szCs w:val="24"/>
              </w:rPr>
            </w:r>
            <w:r w:rsidR="0051040C" w:rsidRPr="00F66808">
              <w:rPr>
                <w:rFonts w:ascii="Times New Roman" w:hAnsi="Times New Roman" w:cs="Times New Roman"/>
                <w:b w:val="0"/>
                <w:bCs w:val="0"/>
                <w:noProof/>
                <w:webHidden/>
                <w:sz w:val="24"/>
                <w:szCs w:val="24"/>
              </w:rPr>
              <w:fldChar w:fldCharType="separate"/>
            </w:r>
            <w:r w:rsidR="0001248D">
              <w:rPr>
                <w:rFonts w:ascii="Times New Roman" w:hAnsi="Times New Roman" w:cs="Times New Roman"/>
                <w:b w:val="0"/>
                <w:bCs w:val="0"/>
                <w:noProof/>
                <w:webHidden/>
                <w:sz w:val="24"/>
                <w:szCs w:val="24"/>
              </w:rPr>
              <w:t>47</w:t>
            </w:r>
            <w:r w:rsidR="0051040C" w:rsidRPr="00F66808">
              <w:rPr>
                <w:rFonts w:ascii="Times New Roman" w:hAnsi="Times New Roman" w:cs="Times New Roman"/>
                <w:b w:val="0"/>
                <w:bCs w:val="0"/>
                <w:noProof/>
                <w:webHidden/>
                <w:sz w:val="24"/>
                <w:szCs w:val="24"/>
              </w:rPr>
              <w:fldChar w:fldCharType="end"/>
            </w:r>
          </w:hyperlink>
        </w:p>
        <w:p w14:paraId="71CE3B91" w14:textId="5ED70D21" w:rsidR="0051040C" w:rsidRDefault="00051DD6" w:rsidP="005411E0">
          <w:pPr>
            <w:pStyle w:val="TOC3"/>
            <w:tabs>
              <w:tab w:val="right" w:leader="dot" w:pos="9062"/>
            </w:tabs>
            <w:spacing w:before="0"/>
            <w:ind w:left="284"/>
            <w:jc w:val="both"/>
            <w:rPr>
              <w:rStyle w:val="Hyperlink"/>
              <w:rFonts w:ascii="Times New Roman" w:hAnsi="Times New Roman" w:cs="Times New Roman"/>
              <w:b w:val="0"/>
              <w:bCs w:val="0"/>
              <w:noProof/>
              <w:color w:val="auto"/>
              <w:sz w:val="24"/>
              <w:szCs w:val="24"/>
            </w:rPr>
          </w:pPr>
          <w:hyperlink w:anchor="_Toc62650478" w:history="1">
            <w:r w:rsidR="0051040C" w:rsidRPr="00F66808">
              <w:rPr>
                <w:rStyle w:val="Hyperlink"/>
                <w:rFonts w:ascii="Times New Roman" w:hAnsi="Times New Roman" w:cs="Times New Roman"/>
                <w:b w:val="0"/>
                <w:bCs w:val="0"/>
                <w:noProof/>
                <w:color w:val="auto"/>
                <w:sz w:val="24"/>
                <w:szCs w:val="24"/>
              </w:rPr>
              <w:t>4. Apsvērumi, kas jāņem vērā, veicot analīzi</w:t>
            </w:r>
            <w:r w:rsidR="0051040C" w:rsidRPr="00F66808">
              <w:rPr>
                <w:rFonts w:ascii="Times New Roman" w:hAnsi="Times New Roman" w:cs="Times New Roman"/>
                <w:b w:val="0"/>
                <w:bCs w:val="0"/>
                <w:noProof/>
                <w:webHidden/>
                <w:sz w:val="24"/>
                <w:szCs w:val="24"/>
              </w:rPr>
              <w:tab/>
            </w:r>
            <w:r w:rsidR="0051040C" w:rsidRPr="00F66808">
              <w:rPr>
                <w:rFonts w:ascii="Times New Roman" w:hAnsi="Times New Roman" w:cs="Times New Roman"/>
                <w:b w:val="0"/>
                <w:bCs w:val="0"/>
                <w:noProof/>
                <w:webHidden/>
                <w:sz w:val="24"/>
                <w:szCs w:val="24"/>
              </w:rPr>
              <w:fldChar w:fldCharType="begin"/>
            </w:r>
            <w:r w:rsidR="0051040C" w:rsidRPr="00F66808">
              <w:rPr>
                <w:rFonts w:ascii="Times New Roman" w:hAnsi="Times New Roman" w:cs="Times New Roman"/>
                <w:b w:val="0"/>
                <w:bCs w:val="0"/>
                <w:noProof/>
                <w:webHidden/>
                <w:sz w:val="24"/>
                <w:szCs w:val="24"/>
              </w:rPr>
              <w:instrText xml:space="preserve"> PAGEREF _Toc62650478 \h </w:instrText>
            </w:r>
            <w:r w:rsidR="0051040C" w:rsidRPr="00F66808">
              <w:rPr>
                <w:rFonts w:ascii="Times New Roman" w:hAnsi="Times New Roman" w:cs="Times New Roman"/>
                <w:b w:val="0"/>
                <w:bCs w:val="0"/>
                <w:noProof/>
                <w:webHidden/>
                <w:sz w:val="24"/>
                <w:szCs w:val="24"/>
              </w:rPr>
            </w:r>
            <w:r w:rsidR="0051040C" w:rsidRPr="00F66808">
              <w:rPr>
                <w:rFonts w:ascii="Times New Roman" w:hAnsi="Times New Roman" w:cs="Times New Roman"/>
                <w:b w:val="0"/>
                <w:bCs w:val="0"/>
                <w:noProof/>
                <w:webHidden/>
                <w:sz w:val="24"/>
                <w:szCs w:val="24"/>
              </w:rPr>
              <w:fldChar w:fldCharType="separate"/>
            </w:r>
            <w:r w:rsidR="0001248D">
              <w:rPr>
                <w:rFonts w:ascii="Times New Roman" w:hAnsi="Times New Roman" w:cs="Times New Roman"/>
                <w:b w:val="0"/>
                <w:bCs w:val="0"/>
                <w:noProof/>
                <w:webHidden/>
                <w:sz w:val="24"/>
                <w:szCs w:val="24"/>
              </w:rPr>
              <w:t>47</w:t>
            </w:r>
            <w:r w:rsidR="0051040C" w:rsidRPr="00F66808">
              <w:rPr>
                <w:rFonts w:ascii="Times New Roman" w:hAnsi="Times New Roman" w:cs="Times New Roman"/>
                <w:b w:val="0"/>
                <w:bCs w:val="0"/>
                <w:noProof/>
                <w:webHidden/>
                <w:sz w:val="24"/>
                <w:szCs w:val="24"/>
              </w:rPr>
              <w:fldChar w:fldCharType="end"/>
            </w:r>
          </w:hyperlink>
        </w:p>
        <w:p w14:paraId="77D8FB89" w14:textId="77777777" w:rsidR="00F66808" w:rsidRPr="00F66808" w:rsidRDefault="00F66808" w:rsidP="00F66808">
          <w:pPr>
            <w:pStyle w:val="TOC3"/>
            <w:tabs>
              <w:tab w:val="right" w:leader="dot" w:pos="9062"/>
            </w:tabs>
            <w:spacing w:before="0"/>
            <w:ind w:left="0"/>
            <w:jc w:val="both"/>
            <w:rPr>
              <w:rFonts w:ascii="Times New Roman" w:eastAsiaTheme="minorEastAsia" w:hAnsi="Times New Roman" w:cs="Times New Roman"/>
              <w:b w:val="0"/>
              <w:bCs w:val="0"/>
              <w:noProof/>
              <w:sz w:val="24"/>
              <w:szCs w:val="24"/>
              <w:lang w:eastAsia="lv-LV"/>
            </w:rPr>
          </w:pPr>
        </w:p>
        <w:p w14:paraId="0FD01161" w14:textId="00E3762C" w:rsidR="0051040C" w:rsidRPr="005411E0" w:rsidRDefault="00051DD6" w:rsidP="00F66808">
          <w:pPr>
            <w:pStyle w:val="TOC1"/>
            <w:tabs>
              <w:tab w:val="right" w:leader="dot" w:pos="9062"/>
            </w:tabs>
            <w:spacing w:before="0"/>
            <w:ind w:left="0"/>
            <w:jc w:val="both"/>
            <w:rPr>
              <w:rFonts w:ascii="Times New Roman" w:eastAsiaTheme="minorEastAsia" w:hAnsi="Times New Roman" w:cs="Times New Roman"/>
              <w:b/>
              <w:bCs/>
              <w:noProof/>
              <w:lang w:eastAsia="lv-LV"/>
            </w:rPr>
          </w:pPr>
          <w:hyperlink w:anchor="_Toc62650479" w:history="1">
            <w:r w:rsidR="0051040C" w:rsidRPr="005411E0">
              <w:rPr>
                <w:rStyle w:val="Hyperlink"/>
                <w:rFonts w:ascii="Times New Roman" w:hAnsi="Times New Roman" w:cs="Times New Roman"/>
                <w:b/>
                <w:bCs/>
                <w:noProof/>
                <w:color w:val="auto"/>
              </w:rPr>
              <w:t>5. nodaļa</w:t>
            </w:r>
            <w:r w:rsidR="005411E0" w:rsidRPr="005411E0">
              <w:rPr>
                <w:rStyle w:val="Hyperlink"/>
                <w:rFonts w:ascii="Times New Roman" w:hAnsi="Times New Roman" w:cs="Times New Roman"/>
                <w:b/>
                <w:bCs/>
                <w:noProof/>
                <w:color w:val="auto"/>
              </w:rPr>
              <w:br/>
            </w:r>
            <w:r w:rsidR="0051040C" w:rsidRPr="005411E0">
              <w:rPr>
                <w:rStyle w:val="Hyperlink"/>
                <w:rFonts w:ascii="Times New Roman" w:hAnsi="Times New Roman" w:cs="Times New Roman"/>
                <w:noProof/>
                <w:color w:val="auto"/>
              </w:rPr>
              <w:t>Iespējamo politikas risinājumu identificēšana</w:t>
            </w:r>
            <w:r w:rsidR="0051040C" w:rsidRPr="005411E0">
              <w:rPr>
                <w:rFonts w:ascii="Times New Roman" w:hAnsi="Times New Roman" w:cs="Times New Roman"/>
                <w:noProof/>
                <w:webHidden/>
              </w:rPr>
              <w:tab/>
            </w:r>
            <w:r w:rsidR="0051040C" w:rsidRPr="005411E0">
              <w:rPr>
                <w:rFonts w:ascii="Times New Roman" w:hAnsi="Times New Roman" w:cs="Times New Roman"/>
                <w:noProof/>
                <w:webHidden/>
              </w:rPr>
              <w:fldChar w:fldCharType="begin"/>
            </w:r>
            <w:r w:rsidR="0051040C" w:rsidRPr="005411E0">
              <w:rPr>
                <w:rFonts w:ascii="Times New Roman" w:hAnsi="Times New Roman" w:cs="Times New Roman"/>
                <w:noProof/>
                <w:webHidden/>
              </w:rPr>
              <w:instrText xml:space="preserve"> PAGEREF _Toc62650479 \h </w:instrText>
            </w:r>
            <w:r w:rsidR="0051040C" w:rsidRPr="005411E0">
              <w:rPr>
                <w:rFonts w:ascii="Times New Roman" w:hAnsi="Times New Roman" w:cs="Times New Roman"/>
                <w:noProof/>
                <w:webHidden/>
              </w:rPr>
            </w:r>
            <w:r w:rsidR="0051040C" w:rsidRPr="005411E0">
              <w:rPr>
                <w:rFonts w:ascii="Times New Roman" w:hAnsi="Times New Roman" w:cs="Times New Roman"/>
                <w:noProof/>
                <w:webHidden/>
              </w:rPr>
              <w:fldChar w:fldCharType="separate"/>
            </w:r>
            <w:r w:rsidR="0001248D">
              <w:rPr>
                <w:rFonts w:ascii="Times New Roman" w:hAnsi="Times New Roman" w:cs="Times New Roman"/>
                <w:noProof/>
                <w:webHidden/>
              </w:rPr>
              <w:t>56</w:t>
            </w:r>
            <w:r w:rsidR="0051040C" w:rsidRPr="005411E0">
              <w:rPr>
                <w:rFonts w:ascii="Times New Roman" w:hAnsi="Times New Roman" w:cs="Times New Roman"/>
                <w:noProof/>
                <w:webHidden/>
              </w:rPr>
              <w:fldChar w:fldCharType="end"/>
            </w:r>
          </w:hyperlink>
        </w:p>
        <w:p w14:paraId="3C3778B3" w14:textId="272057EB" w:rsidR="0051040C" w:rsidRPr="00F66808" w:rsidRDefault="00051DD6" w:rsidP="005411E0">
          <w:pPr>
            <w:pStyle w:val="TOC3"/>
            <w:tabs>
              <w:tab w:val="right" w:leader="dot" w:pos="9062"/>
            </w:tabs>
            <w:spacing w:before="0"/>
            <w:ind w:left="284"/>
            <w:jc w:val="both"/>
            <w:rPr>
              <w:rFonts w:ascii="Times New Roman" w:eastAsiaTheme="minorEastAsia" w:hAnsi="Times New Roman" w:cs="Times New Roman"/>
              <w:b w:val="0"/>
              <w:bCs w:val="0"/>
              <w:noProof/>
              <w:sz w:val="24"/>
              <w:szCs w:val="24"/>
              <w:lang w:eastAsia="lv-LV"/>
            </w:rPr>
          </w:pPr>
          <w:hyperlink w:anchor="_Toc62650480" w:history="1">
            <w:r w:rsidR="0051040C" w:rsidRPr="00F66808">
              <w:rPr>
                <w:rStyle w:val="Hyperlink"/>
                <w:rFonts w:ascii="Times New Roman" w:hAnsi="Times New Roman" w:cs="Times New Roman"/>
                <w:b w:val="0"/>
                <w:bCs w:val="0"/>
                <w:noProof/>
                <w:color w:val="auto"/>
                <w:sz w:val="24"/>
                <w:szCs w:val="24"/>
              </w:rPr>
              <w:t>1. Politikas mērķa noskaidrošana</w:t>
            </w:r>
            <w:r w:rsidR="0051040C" w:rsidRPr="00F66808">
              <w:rPr>
                <w:rFonts w:ascii="Times New Roman" w:hAnsi="Times New Roman" w:cs="Times New Roman"/>
                <w:b w:val="0"/>
                <w:bCs w:val="0"/>
                <w:noProof/>
                <w:webHidden/>
                <w:sz w:val="24"/>
                <w:szCs w:val="24"/>
              </w:rPr>
              <w:tab/>
            </w:r>
            <w:r w:rsidR="0051040C" w:rsidRPr="00F66808">
              <w:rPr>
                <w:rFonts w:ascii="Times New Roman" w:hAnsi="Times New Roman" w:cs="Times New Roman"/>
                <w:b w:val="0"/>
                <w:bCs w:val="0"/>
                <w:noProof/>
                <w:webHidden/>
                <w:sz w:val="24"/>
                <w:szCs w:val="24"/>
              </w:rPr>
              <w:fldChar w:fldCharType="begin"/>
            </w:r>
            <w:r w:rsidR="0051040C" w:rsidRPr="00F66808">
              <w:rPr>
                <w:rFonts w:ascii="Times New Roman" w:hAnsi="Times New Roman" w:cs="Times New Roman"/>
                <w:b w:val="0"/>
                <w:bCs w:val="0"/>
                <w:noProof/>
                <w:webHidden/>
                <w:sz w:val="24"/>
                <w:szCs w:val="24"/>
              </w:rPr>
              <w:instrText xml:space="preserve"> PAGEREF _Toc62650480 \h </w:instrText>
            </w:r>
            <w:r w:rsidR="0051040C" w:rsidRPr="00F66808">
              <w:rPr>
                <w:rFonts w:ascii="Times New Roman" w:hAnsi="Times New Roman" w:cs="Times New Roman"/>
                <w:b w:val="0"/>
                <w:bCs w:val="0"/>
                <w:noProof/>
                <w:webHidden/>
                <w:sz w:val="24"/>
                <w:szCs w:val="24"/>
              </w:rPr>
            </w:r>
            <w:r w:rsidR="0051040C" w:rsidRPr="00F66808">
              <w:rPr>
                <w:rFonts w:ascii="Times New Roman" w:hAnsi="Times New Roman" w:cs="Times New Roman"/>
                <w:b w:val="0"/>
                <w:bCs w:val="0"/>
                <w:noProof/>
                <w:webHidden/>
                <w:sz w:val="24"/>
                <w:szCs w:val="24"/>
              </w:rPr>
              <w:fldChar w:fldCharType="separate"/>
            </w:r>
            <w:r w:rsidR="0001248D">
              <w:rPr>
                <w:rFonts w:ascii="Times New Roman" w:hAnsi="Times New Roman" w:cs="Times New Roman"/>
                <w:b w:val="0"/>
                <w:bCs w:val="0"/>
                <w:noProof/>
                <w:webHidden/>
                <w:sz w:val="24"/>
                <w:szCs w:val="24"/>
              </w:rPr>
              <w:t>56</w:t>
            </w:r>
            <w:r w:rsidR="0051040C" w:rsidRPr="00F66808">
              <w:rPr>
                <w:rFonts w:ascii="Times New Roman" w:hAnsi="Times New Roman" w:cs="Times New Roman"/>
                <w:b w:val="0"/>
                <w:bCs w:val="0"/>
                <w:noProof/>
                <w:webHidden/>
                <w:sz w:val="24"/>
                <w:szCs w:val="24"/>
              </w:rPr>
              <w:fldChar w:fldCharType="end"/>
            </w:r>
          </w:hyperlink>
        </w:p>
        <w:p w14:paraId="371E494A" w14:textId="25E9ACEE" w:rsidR="0051040C" w:rsidRPr="00F66808" w:rsidRDefault="00051DD6" w:rsidP="005411E0">
          <w:pPr>
            <w:pStyle w:val="TOC3"/>
            <w:tabs>
              <w:tab w:val="right" w:leader="dot" w:pos="9062"/>
            </w:tabs>
            <w:spacing w:before="0"/>
            <w:ind w:left="284"/>
            <w:jc w:val="both"/>
            <w:rPr>
              <w:rFonts w:ascii="Times New Roman" w:eastAsiaTheme="minorEastAsia" w:hAnsi="Times New Roman" w:cs="Times New Roman"/>
              <w:b w:val="0"/>
              <w:bCs w:val="0"/>
              <w:noProof/>
              <w:sz w:val="24"/>
              <w:szCs w:val="24"/>
              <w:lang w:eastAsia="lv-LV"/>
            </w:rPr>
          </w:pPr>
          <w:hyperlink w:anchor="_Toc62650481" w:history="1">
            <w:r w:rsidR="0051040C" w:rsidRPr="00F66808">
              <w:rPr>
                <w:rStyle w:val="Hyperlink"/>
                <w:rFonts w:ascii="Times New Roman" w:hAnsi="Times New Roman" w:cs="Times New Roman"/>
                <w:b w:val="0"/>
                <w:bCs w:val="0"/>
                <w:noProof/>
                <w:color w:val="auto"/>
                <w:sz w:val="24"/>
                <w:szCs w:val="24"/>
              </w:rPr>
              <w:t>2. Identificēt regulējuma elementus, kas rada konkurences problēmu</w:t>
            </w:r>
            <w:r w:rsidR="0051040C" w:rsidRPr="00F66808">
              <w:rPr>
                <w:rFonts w:ascii="Times New Roman" w:hAnsi="Times New Roman" w:cs="Times New Roman"/>
                <w:b w:val="0"/>
                <w:bCs w:val="0"/>
                <w:noProof/>
                <w:webHidden/>
                <w:sz w:val="24"/>
                <w:szCs w:val="24"/>
              </w:rPr>
              <w:tab/>
            </w:r>
            <w:r w:rsidR="0051040C" w:rsidRPr="00F66808">
              <w:rPr>
                <w:rFonts w:ascii="Times New Roman" w:hAnsi="Times New Roman" w:cs="Times New Roman"/>
                <w:b w:val="0"/>
                <w:bCs w:val="0"/>
                <w:noProof/>
                <w:webHidden/>
                <w:sz w:val="24"/>
                <w:szCs w:val="24"/>
              </w:rPr>
              <w:fldChar w:fldCharType="begin"/>
            </w:r>
            <w:r w:rsidR="0051040C" w:rsidRPr="00F66808">
              <w:rPr>
                <w:rFonts w:ascii="Times New Roman" w:hAnsi="Times New Roman" w:cs="Times New Roman"/>
                <w:b w:val="0"/>
                <w:bCs w:val="0"/>
                <w:noProof/>
                <w:webHidden/>
                <w:sz w:val="24"/>
                <w:szCs w:val="24"/>
              </w:rPr>
              <w:instrText xml:space="preserve"> PAGEREF _Toc62650481 \h </w:instrText>
            </w:r>
            <w:r w:rsidR="0051040C" w:rsidRPr="00F66808">
              <w:rPr>
                <w:rFonts w:ascii="Times New Roman" w:hAnsi="Times New Roman" w:cs="Times New Roman"/>
                <w:b w:val="0"/>
                <w:bCs w:val="0"/>
                <w:noProof/>
                <w:webHidden/>
                <w:sz w:val="24"/>
                <w:szCs w:val="24"/>
              </w:rPr>
            </w:r>
            <w:r w:rsidR="0051040C" w:rsidRPr="00F66808">
              <w:rPr>
                <w:rFonts w:ascii="Times New Roman" w:hAnsi="Times New Roman" w:cs="Times New Roman"/>
                <w:b w:val="0"/>
                <w:bCs w:val="0"/>
                <w:noProof/>
                <w:webHidden/>
                <w:sz w:val="24"/>
                <w:szCs w:val="24"/>
              </w:rPr>
              <w:fldChar w:fldCharType="separate"/>
            </w:r>
            <w:r w:rsidR="0001248D">
              <w:rPr>
                <w:rFonts w:ascii="Times New Roman" w:hAnsi="Times New Roman" w:cs="Times New Roman"/>
                <w:b w:val="0"/>
                <w:bCs w:val="0"/>
                <w:noProof/>
                <w:webHidden/>
                <w:sz w:val="24"/>
                <w:szCs w:val="24"/>
              </w:rPr>
              <w:t>57</w:t>
            </w:r>
            <w:r w:rsidR="0051040C" w:rsidRPr="00F66808">
              <w:rPr>
                <w:rFonts w:ascii="Times New Roman" w:hAnsi="Times New Roman" w:cs="Times New Roman"/>
                <w:b w:val="0"/>
                <w:bCs w:val="0"/>
                <w:noProof/>
                <w:webHidden/>
                <w:sz w:val="24"/>
                <w:szCs w:val="24"/>
              </w:rPr>
              <w:fldChar w:fldCharType="end"/>
            </w:r>
          </w:hyperlink>
        </w:p>
        <w:p w14:paraId="1FEE62B1" w14:textId="3E15BF8C" w:rsidR="0051040C" w:rsidRPr="00F66808" w:rsidRDefault="00051DD6" w:rsidP="005411E0">
          <w:pPr>
            <w:pStyle w:val="TOC3"/>
            <w:tabs>
              <w:tab w:val="right" w:leader="dot" w:pos="9062"/>
            </w:tabs>
            <w:spacing w:before="0"/>
            <w:ind w:left="284"/>
            <w:jc w:val="both"/>
            <w:rPr>
              <w:rFonts w:ascii="Times New Roman" w:eastAsiaTheme="minorEastAsia" w:hAnsi="Times New Roman" w:cs="Times New Roman"/>
              <w:b w:val="0"/>
              <w:bCs w:val="0"/>
              <w:noProof/>
              <w:sz w:val="24"/>
              <w:szCs w:val="24"/>
              <w:lang w:eastAsia="lv-LV"/>
            </w:rPr>
          </w:pPr>
          <w:hyperlink w:anchor="_Toc62650482" w:history="1">
            <w:r w:rsidR="0051040C" w:rsidRPr="00F66808">
              <w:rPr>
                <w:rStyle w:val="Hyperlink"/>
                <w:rFonts w:ascii="Times New Roman" w:hAnsi="Times New Roman" w:cs="Times New Roman"/>
                <w:b w:val="0"/>
                <w:bCs w:val="0"/>
                <w:noProof/>
                <w:color w:val="auto"/>
                <w:sz w:val="24"/>
                <w:szCs w:val="24"/>
              </w:rPr>
              <w:t>3. Tehniskās zināšanas</w:t>
            </w:r>
            <w:r w:rsidR="0051040C" w:rsidRPr="00F66808">
              <w:rPr>
                <w:rFonts w:ascii="Times New Roman" w:hAnsi="Times New Roman" w:cs="Times New Roman"/>
                <w:b w:val="0"/>
                <w:bCs w:val="0"/>
                <w:noProof/>
                <w:webHidden/>
                <w:sz w:val="24"/>
                <w:szCs w:val="24"/>
              </w:rPr>
              <w:tab/>
            </w:r>
            <w:r w:rsidR="0051040C" w:rsidRPr="00F66808">
              <w:rPr>
                <w:rFonts w:ascii="Times New Roman" w:hAnsi="Times New Roman" w:cs="Times New Roman"/>
                <w:b w:val="0"/>
                <w:bCs w:val="0"/>
                <w:noProof/>
                <w:webHidden/>
                <w:sz w:val="24"/>
                <w:szCs w:val="24"/>
              </w:rPr>
              <w:fldChar w:fldCharType="begin"/>
            </w:r>
            <w:r w:rsidR="0051040C" w:rsidRPr="00F66808">
              <w:rPr>
                <w:rFonts w:ascii="Times New Roman" w:hAnsi="Times New Roman" w:cs="Times New Roman"/>
                <w:b w:val="0"/>
                <w:bCs w:val="0"/>
                <w:noProof/>
                <w:webHidden/>
                <w:sz w:val="24"/>
                <w:szCs w:val="24"/>
              </w:rPr>
              <w:instrText xml:space="preserve"> PAGEREF _Toc62650482 \h </w:instrText>
            </w:r>
            <w:r w:rsidR="0051040C" w:rsidRPr="00F66808">
              <w:rPr>
                <w:rFonts w:ascii="Times New Roman" w:hAnsi="Times New Roman" w:cs="Times New Roman"/>
                <w:b w:val="0"/>
                <w:bCs w:val="0"/>
                <w:noProof/>
                <w:webHidden/>
                <w:sz w:val="24"/>
                <w:szCs w:val="24"/>
              </w:rPr>
            </w:r>
            <w:r w:rsidR="0051040C" w:rsidRPr="00F66808">
              <w:rPr>
                <w:rFonts w:ascii="Times New Roman" w:hAnsi="Times New Roman" w:cs="Times New Roman"/>
                <w:b w:val="0"/>
                <w:bCs w:val="0"/>
                <w:noProof/>
                <w:webHidden/>
                <w:sz w:val="24"/>
                <w:szCs w:val="24"/>
              </w:rPr>
              <w:fldChar w:fldCharType="separate"/>
            </w:r>
            <w:r w:rsidR="0001248D">
              <w:rPr>
                <w:rFonts w:ascii="Times New Roman" w:hAnsi="Times New Roman" w:cs="Times New Roman"/>
                <w:b w:val="0"/>
                <w:bCs w:val="0"/>
                <w:noProof/>
                <w:webHidden/>
                <w:sz w:val="24"/>
                <w:szCs w:val="24"/>
              </w:rPr>
              <w:t>59</w:t>
            </w:r>
            <w:r w:rsidR="0051040C" w:rsidRPr="00F66808">
              <w:rPr>
                <w:rFonts w:ascii="Times New Roman" w:hAnsi="Times New Roman" w:cs="Times New Roman"/>
                <w:b w:val="0"/>
                <w:bCs w:val="0"/>
                <w:noProof/>
                <w:webHidden/>
                <w:sz w:val="24"/>
                <w:szCs w:val="24"/>
              </w:rPr>
              <w:fldChar w:fldCharType="end"/>
            </w:r>
          </w:hyperlink>
        </w:p>
        <w:p w14:paraId="174CECBB" w14:textId="3D9CCC8A" w:rsidR="0051040C" w:rsidRPr="00F66808" w:rsidRDefault="00051DD6" w:rsidP="005411E0">
          <w:pPr>
            <w:pStyle w:val="TOC3"/>
            <w:tabs>
              <w:tab w:val="right" w:leader="dot" w:pos="9062"/>
            </w:tabs>
            <w:spacing w:before="0"/>
            <w:ind w:left="284"/>
            <w:jc w:val="both"/>
            <w:rPr>
              <w:rFonts w:ascii="Times New Roman" w:eastAsiaTheme="minorEastAsia" w:hAnsi="Times New Roman" w:cs="Times New Roman"/>
              <w:b w:val="0"/>
              <w:bCs w:val="0"/>
              <w:noProof/>
              <w:sz w:val="24"/>
              <w:szCs w:val="24"/>
              <w:lang w:eastAsia="lv-LV"/>
            </w:rPr>
          </w:pPr>
          <w:hyperlink w:anchor="_Toc62650483" w:history="1">
            <w:r w:rsidR="0051040C" w:rsidRPr="00F66808">
              <w:rPr>
                <w:rStyle w:val="Hyperlink"/>
                <w:rFonts w:ascii="Times New Roman" w:hAnsi="Times New Roman" w:cs="Times New Roman"/>
                <w:b w:val="0"/>
                <w:bCs w:val="0"/>
                <w:noProof/>
                <w:color w:val="auto"/>
                <w:sz w:val="24"/>
                <w:szCs w:val="24"/>
              </w:rPr>
              <w:t xml:space="preserve">4. Plašākas </w:t>
            </w:r>
            <w:r w:rsidR="00F1566E">
              <w:rPr>
                <w:rStyle w:val="Hyperlink"/>
                <w:rFonts w:ascii="Times New Roman" w:hAnsi="Times New Roman" w:cs="Times New Roman"/>
                <w:b w:val="0"/>
                <w:bCs w:val="0"/>
                <w:noProof/>
                <w:color w:val="auto"/>
                <w:sz w:val="24"/>
                <w:szCs w:val="24"/>
              </w:rPr>
              <w:t>regulat</w:t>
            </w:r>
            <w:r w:rsidR="0051040C" w:rsidRPr="00F66808">
              <w:rPr>
                <w:rStyle w:val="Hyperlink"/>
                <w:rFonts w:ascii="Times New Roman" w:hAnsi="Times New Roman" w:cs="Times New Roman"/>
                <w:b w:val="0"/>
                <w:bCs w:val="0"/>
                <w:noProof/>
                <w:color w:val="auto"/>
                <w:sz w:val="24"/>
                <w:szCs w:val="24"/>
              </w:rPr>
              <w:t>īvās vide</w:t>
            </w:r>
            <w:r w:rsidR="0051040C" w:rsidRPr="00F66808">
              <w:rPr>
                <w:rStyle w:val="Hyperlink"/>
                <w:rFonts w:ascii="Times New Roman" w:hAnsi="Times New Roman" w:cs="Times New Roman"/>
                <w:b w:val="0"/>
                <w:bCs w:val="0"/>
                <w:noProof/>
                <w:color w:val="auto"/>
                <w:sz w:val="24"/>
                <w:szCs w:val="24"/>
              </w:rPr>
              <w:t>s</w:t>
            </w:r>
            <w:r w:rsidR="0051040C" w:rsidRPr="00F66808">
              <w:rPr>
                <w:rStyle w:val="Hyperlink"/>
                <w:rFonts w:ascii="Times New Roman" w:hAnsi="Times New Roman" w:cs="Times New Roman"/>
                <w:b w:val="0"/>
                <w:bCs w:val="0"/>
                <w:noProof/>
                <w:color w:val="auto"/>
                <w:sz w:val="24"/>
                <w:szCs w:val="24"/>
              </w:rPr>
              <w:t xml:space="preserve"> izpratne</w:t>
            </w:r>
            <w:r w:rsidR="0051040C" w:rsidRPr="00F66808">
              <w:rPr>
                <w:rFonts w:ascii="Times New Roman" w:hAnsi="Times New Roman" w:cs="Times New Roman"/>
                <w:b w:val="0"/>
                <w:bCs w:val="0"/>
                <w:noProof/>
                <w:webHidden/>
                <w:sz w:val="24"/>
                <w:szCs w:val="24"/>
              </w:rPr>
              <w:tab/>
            </w:r>
            <w:r w:rsidR="0051040C" w:rsidRPr="00F66808">
              <w:rPr>
                <w:rFonts w:ascii="Times New Roman" w:hAnsi="Times New Roman" w:cs="Times New Roman"/>
                <w:b w:val="0"/>
                <w:bCs w:val="0"/>
                <w:noProof/>
                <w:webHidden/>
                <w:sz w:val="24"/>
                <w:szCs w:val="24"/>
              </w:rPr>
              <w:fldChar w:fldCharType="begin"/>
            </w:r>
            <w:r w:rsidR="0051040C" w:rsidRPr="00F66808">
              <w:rPr>
                <w:rFonts w:ascii="Times New Roman" w:hAnsi="Times New Roman" w:cs="Times New Roman"/>
                <w:b w:val="0"/>
                <w:bCs w:val="0"/>
                <w:noProof/>
                <w:webHidden/>
                <w:sz w:val="24"/>
                <w:szCs w:val="24"/>
              </w:rPr>
              <w:instrText xml:space="preserve"> PAGEREF _Toc62650483 \h </w:instrText>
            </w:r>
            <w:r w:rsidR="0051040C" w:rsidRPr="00F66808">
              <w:rPr>
                <w:rFonts w:ascii="Times New Roman" w:hAnsi="Times New Roman" w:cs="Times New Roman"/>
                <w:b w:val="0"/>
                <w:bCs w:val="0"/>
                <w:noProof/>
                <w:webHidden/>
                <w:sz w:val="24"/>
                <w:szCs w:val="24"/>
              </w:rPr>
            </w:r>
            <w:r w:rsidR="0051040C" w:rsidRPr="00F66808">
              <w:rPr>
                <w:rFonts w:ascii="Times New Roman" w:hAnsi="Times New Roman" w:cs="Times New Roman"/>
                <w:b w:val="0"/>
                <w:bCs w:val="0"/>
                <w:noProof/>
                <w:webHidden/>
                <w:sz w:val="24"/>
                <w:szCs w:val="24"/>
              </w:rPr>
              <w:fldChar w:fldCharType="separate"/>
            </w:r>
            <w:r w:rsidR="0001248D">
              <w:rPr>
                <w:rFonts w:ascii="Times New Roman" w:hAnsi="Times New Roman" w:cs="Times New Roman"/>
                <w:b w:val="0"/>
                <w:bCs w:val="0"/>
                <w:noProof/>
                <w:webHidden/>
                <w:sz w:val="24"/>
                <w:szCs w:val="24"/>
              </w:rPr>
              <w:t>59</w:t>
            </w:r>
            <w:r w:rsidR="0051040C" w:rsidRPr="00F66808">
              <w:rPr>
                <w:rFonts w:ascii="Times New Roman" w:hAnsi="Times New Roman" w:cs="Times New Roman"/>
                <w:b w:val="0"/>
                <w:bCs w:val="0"/>
                <w:noProof/>
                <w:webHidden/>
                <w:sz w:val="24"/>
                <w:szCs w:val="24"/>
              </w:rPr>
              <w:fldChar w:fldCharType="end"/>
            </w:r>
          </w:hyperlink>
        </w:p>
        <w:p w14:paraId="7D227FE5" w14:textId="5EEB9CF2" w:rsidR="0051040C" w:rsidRPr="00F66808" w:rsidRDefault="00051DD6" w:rsidP="005411E0">
          <w:pPr>
            <w:pStyle w:val="TOC3"/>
            <w:tabs>
              <w:tab w:val="right" w:leader="dot" w:pos="9062"/>
            </w:tabs>
            <w:spacing w:before="0"/>
            <w:ind w:left="284"/>
            <w:jc w:val="both"/>
            <w:rPr>
              <w:rFonts w:ascii="Times New Roman" w:eastAsiaTheme="minorEastAsia" w:hAnsi="Times New Roman" w:cs="Times New Roman"/>
              <w:b w:val="0"/>
              <w:bCs w:val="0"/>
              <w:noProof/>
              <w:sz w:val="24"/>
              <w:szCs w:val="24"/>
              <w:lang w:eastAsia="lv-LV"/>
            </w:rPr>
          </w:pPr>
          <w:hyperlink w:anchor="_Toc62650484" w:history="1">
            <w:r w:rsidR="0051040C" w:rsidRPr="00F66808">
              <w:rPr>
                <w:rStyle w:val="Hyperlink"/>
                <w:rFonts w:ascii="Times New Roman" w:hAnsi="Times New Roman" w:cs="Times New Roman"/>
                <w:b w:val="0"/>
                <w:bCs w:val="0"/>
                <w:noProof/>
                <w:color w:val="auto"/>
                <w:sz w:val="24"/>
                <w:szCs w:val="24"/>
              </w:rPr>
              <w:t>5. Izpratne par uzņēmējdarbības vai tirgus vides izmaiņām</w:t>
            </w:r>
            <w:r w:rsidR="0051040C" w:rsidRPr="00F66808">
              <w:rPr>
                <w:rFonts w:ascii="Times New Roman" w:hAnsi="Times New Roman" w:cs="Times New Roman"/>
                <w:b w:val="0"/>
                <w:bCs w:val="0"/>
                <w:noProof/>
                <w:webHidden/>
                <w:sz w:val="24"/>
                <w:szCs w:val="24"/>
              </w:rPr>
              <w:tab/>
            </w:r>
            <w:r w:rsidR="0051040C" w:rsidRPr="00F66808">
              <w:rPr>
                <w:rFonts w:ascii="Times New Roman" w:hAnsi="Times New Roman" w:cs="Times New Roman"/>
                <w:b w:val="0"/>
                <w:bCs w:val="0"/>
                <w:noProof/>
                <w:webHidden/>
                <w:sz w:val="24"/>
                <w:szCs w:val="24"/>
              </w:rPr>
              <w:fldChar w:fldCharType="begin"/>
            </w:r>
            <w:r w:rsidR="0051040C" w:rsidRPr="00F66808">
              <w:rPr>
                <w:rFonts w:ascii="Times New Roman" w:hAnsi="Times New Roman" w:cs="Times New Roman"/>
                <w:b w:val="0"/>
                <w:bCs w:val="0"/>
                <w:noProof/>
                <w:webHidden/>
                <w:sz w:val="24"/>
                <w:szCs w:val="24"/>
              </w:rPr>
              <w:instrText xml:space="preserve"> PAGEREF _Toc62650484 \h </w:instrText>
            </w:r>
            <w:r w:rsidR="0051040C" w:rsidRPr="00F66808">
              <w:rPr>
                <w:rFonts w:ascii="Times New Roman" w:hAnsi="Times New Roman" w:cs="Times New Roman"/>
                <w:b w:val="0"/>
                <w:bCs w:val="0"/>
                <w:noProof/>
                <w:webHidden/>
                <w:sz w:val="24"/>
                <w:szCs w:val="24"/>
              </w:rPr>
            </w:r>
            <w:r w:rsidR="0051040C" w:rsidRPr="00F66808">
              <w:rPr>
                <w:rFonts w:ascii="Times New Roman" w:hAnsi="Times New Roman" w:cs="Times New Roman"/>
                <w:b w:val="0"/>
                <w:bCs w:val="0"/>
                <w:noProof/>
                <w:webHidden/>
                <w:sz w:val="24"/>
                <w:szCs w:val="24"/>
              </w:rPr>
              <w:fldChar w:fldCharType="separate"/>
            </w:r>
            <w:r w:rsidR="0001248D">
              <w:rPr>
                <w:rFonts w:ascii="Times New Roman" w:hAnsi="Times New Roman" w:cs="Times New Roman"/>
                <w:b w:val="0"/>
                <w:bCs w:val="0"/>
                <w:noProof/>
                <w:webHidden/>
                <w:sz w:val="24"/>
                <w:szCs w:val="24"/>
              </w:rPr>
              <w:t>60</w:t>
            </w:r>
            <w:r w:rsidR="0051040C" w:rsidRPr="00F66808">
              <w:rPr>
                <w:rFonts w:ascii="Times New Roman" w:hAnsi="Times New Roman" w:cs="Times New Roman"/>
                <w:b w:val="0"/>
                <w:bCs w:val="0"/>
                <w:noProof/>
                <w:webHidden/>
                <w:sz w:val="24"/>
                <w:szCs w:val="24"/>
              </w:rPr>
              <w:fldChar w:fldCharType="end"/>
            </w:r>
          </w:hyperlink>
        </w:p>
        <w:p w14:paraId="2F917CB6" w14:textId="6C7E1C42" w:rsidR="0051040C" w:rsidRDefault="00051DD6" w:rsidP="005411E0">
          <w:pPr>
            <w:pStyle w:val="TOC3"/>
            <w:tabs>
              <w:tab w:val="right" w:leader="dot" w:pos="9062"/>
            </w:tabs>
            <w:spacing w:before="0"/>
            <w:ind w:left="284"/>
            <w:jc w:val="both"/>
            <w:rPr>
              <w:rStyle w:val="Hyperlink"/>
              <w:rFonts w:ascii="Times New Roman" w:hAnsi="Times New Roman" w:cs="Times New Roman"/>
              <w:b w:val="0"/>
              <w:bCs w:val="0"/>
              <w:noProof/>
              <w:color w:val="auto"/>
              <w:sz w:val="24"/>
              <w:szCs w:val="24"/>
            </w:rPr>
          </w:pPr>
          <w:hyperlink w:anchor="_Toc62650485" w:history="1">
            <w:r w:rsidR="0051040C" w:rsidRPr="00F66808">
              <w:rPr>
                <w:rStyle w:val="Hyperlink"/>
                <w:rFonts w:ascii="Times New Roman" w:hAnsi="Times New Roman" w:cs="Times New Roman"/>
                <w:b w:val="0"/>
                <w:bCs w:val="0"/>
                <w:noProof/>
                <w:color w:val="auto"/>
                <w:sz w:val="24"/>
                <w:szCs w:val="24"/>
              </w:rPr>
              <w:t>6. Alternatīvu izstrādes paņēmieni</w:t>
            </w:r>
            <w:r w:rsidR="0051040C" w:rsidRPr="00F66808">
              <w:rPr>
                <w:rFonts w:ascii="Times New Roman" w:hAnsi="Times New Roman" w:cs="Times New Roman"/>
                <w:b w:val="0"/>
                <w:bCs w:val="0"/>
                <w:noProof/>
                <w:webHidden/>
                <w:sz w:val="24"/>
                <w:szCs w:val="24"/>
              </w:rPr>
              <w:tab/>
            </w:r>
            <w:r w:rsidR="0051040C" w:rsidRPr="00F66808">
              <w:rPr>
                <w:rFonts w:ascii="Times New Roman" w:hAnsi="Times New Roman" w:cs="Times New Roman"/>
                <w:b w:val="0"/>
                <w:bCs w:val="0"/>
                <w:noProof/>
                <w:webHidden/>
                <w:sz w:val="24"/>
                <w:szCs w:val="24"/>
              </w:rPr>
              <w:fldChar w:fldCharType="begin"/>
            </w:r>
            <w:r w:rsidR="0051040C" w:rsidRPr="00F66808">
              <w:rPr>
                <w:rFonts w:ascii="Times New Roman" w:hAnsi="Times New Roman" w:cs="Times New Roman"/>
                <w:b w:val="0"/>
                <w:bCs w:val="0"/>
                <w:noProof/>
                <w:webHidden/>
                <w:sz w:val="24"/>
                <w:szCs w:val="24"/>
              </w:rPr>
              <w:instrText xml:space="preserve"> PAGEREF _Toc62650485 \h </w:instrText>
            </w:r>
            <w:r w:rsidR="0051040C" w:rsidRPr="00F66808">
              <w:rPr>
                <w:rFonts w:ascii="Times New Roman" w:hAnsi="Times New Roman" w:cs="Times New Roman"/>
                <w:b w:val="0"/>
                <w:bCs w:val="0"/>
                <w:noProof/>
                <w:webHidden/>
                <w:sz w:val="24"/>
                <w:szCs w:val="24"/>
              </w:rPr>
            </w:r>
            <w:r w:rsidR="0051040C" w:rsidRPr="00F66808">
              <w:rPr>
                <w:rFonts w:ascii="Times New Roman" w:hAnsi="Times New Roman" w:cs="Times New Roman"/>
                <w:b w:val="0"/>
                <w:bCs w:val="0"/>
                <w:noProof/>
                <w:webHidden/>
                <w:sz w:val="24"/>
                <w:szCs w:val="24"/>
              </w:rPr>
              <w:fldChar w:fldCharType="separate"/>
            </w:r>
            <w:r w:rsidR="0001248D">
              <w:rPr>
                <w:rFonts w:ascii="Times New Roman" w:hAnsi="Times New Roman" w:cs="Times New Roman"/>
                <w:b w:val="0"/>
                <w:bCs w:val="0"/>
                <w:noProof/>
                <w:webHidden/>
                <w:sz w:val="24"/>
                <w:szCs w:val="24"/>
              </w:rPr>
              <w:t>61</w:t>
            </w:r>
            <w:r w:rsidR="0051040C" w:rsidRPr="00F66808">
              <w:rPr>
                <w:rFonts w:ascii="Times New Roman" w:hAnsi="Times New Roman" w:cs="Times New Roman"/>
                <w:b w:val="0"/>
                <w:bCs w:val="0"/>
                <w:noProof/>
                <w:webHidden/>
                <w:sz w:val="24"/>
                <w:szCs w:val="24"/>
              </w:rPr>
              <w:fldChar w:fldCharType="end"/>
            </w:r>
          </w:hyperlink>
        </w:p>
        <w:p w14:paraId="7EF3ED56" w14:textId="77777777" w:rsidR="00F66808" w:rsidRPr="00F66808" w:rsidRDefault="00F66808" w:rsidP="00F66808">
          <w:pPr>
            <w:pStyle w:val="TOC3"/>
            <w:tabs>
              <w:tab w:val="right" w:leader="dot" w:pos="9062"/>
            </w:tabs>
            <w:spacing w:before="0"/>
            <w:ind w:left="0"/>
            <w:jc w:val="both"/>
            <w:rPr>
              <w:rFonts w:ascii="Times New Roman" w:eastAsiaTheme="minorEastAsia" w:hAnsi="Times New Roman" w:cs="Times New Roman"/>
              <w:b w:val="0"/>
              <w:bCs w:val="0"/>
              <w:noProof/>
              <w:sz w:val="24"/>
              <w:szCs w:val="24"/>
              <w:lang w:eastAsia="lv-LV"/>
            </w:rPr>
          </w:pPr>
        </w:p>
        <w:p w14:paraId="7B6A2A28" w14:textId="07F39AE5" w:rsidR="0051040C" w:rsidRPr="005411E0" w:rsidRDefault="00051DD6" w:rsidP="00F66808">
          <w:pPr>
            <w:pStyle w:val="TOC1"/>
            <w:tabs>
              <w:tab w:val="right" w:leader="dot" w:pos="9062"/>
            </w:tabs>
            <w:spacing w:before="0"/>
            <w:ind w:left="0"/>
            <w:jc w:val="both"/>
            <w:rPr>
              <w:rFonts w:ascii="Times New Roman" w:eastAsiaTheme="minorEastAsia" w:hAnsi="Times New Roman" w:cs="Times New Roman"/>
              <w:b/>
              <w:bCs/>
              <w:noProof/>
              <w:lang w:eastAsia="lv-LV"/>
            </w:rPr>
          </w:pPr>
          <w:hyperlink w:anchor="_Toc62650486" w:history="1">
            <w:r w:rsidR="0051040C" w:rsidRPr="005411E0">
              <w:rPr>
                <w:rStyle w:val="Hyperlink"/>
                <w:rFonts w:ascii="Times New Roman" w:hAnsi="Times New Roman" w:cs="Times New Roman"/>
                <w:b/>
                <w:bCs/>
                <w:noProof/>
                <w:color w:val="auto"/>
              </w:rPr>
              <w:t>6. nodaļa</w:t>
            </w:r>
            <w:r w:rsidR="005411E0" w:rsidRPr="005411E0">
              <w:rPr>
                <w:rStyle w:val="Hyperlink"/>
                <w:rFonts w:ascii="Times New Roman" w:hAnsi="Times New Roman" w:cs="Times New Roman"/>
                <w:b/>
                <w:bCs/>
                <w:noProof/>
                <w:color w:val="auto"/>
              </w:rPr>
              <w:br/>
            </w:r>
            <w:r w:rsidR="0051040C" w:rsidRPr="005411E0">
              <w:rPr>
                <w:rStyle w:val="Hyperlink"/>
                <w:rFonts w:ascii="Times New Roman" w:hAnsi="Times New Roman" w:cs="Times New Roman"/>
                <w:noProof/>
                <w:color w:val="auto"/>
              </w:rPr>
              <w:t>Iespējamo risinājumu salīdzināšana</w:t>
            </w:r>
            <w:r w:rsidR="0051040C" w:rsidRPr="005411E0">
              <w:rPr>
                <w:rFonts w:ascii="Times New Roman" w:hAnsi="Times New Roman" w:cs="Times New Roman"/>
                <w:noProof/>
                <w:webHidden/>
              </w:rPr>
              <w:tab/>
            </w:r>
            <w:r w:rsidR="0051040C" w:rsidRPr="005411E0">
              <w:rPr>
                <w:rFonts w:ascii="Times New Roman" w:hAnsi="Times New Roman" w:cs="Times New Roman"/>
                <w:noProof/>
                <w:webHidden/>
              </w:rPr>
              <w:fldChar w:fldCharType="begin"/>
            </w:r>
            <w:r w:rsidR="0051040C" w:rsidRPr="005411E0">
              <w:rPr>
                <w:rFonts w:ascii="Times New Roman" w:hAnsi="Times New Roman" w:cs="Times New Roman"/>
                <w:noProof/>
                <w:webHidden/>
              </w:rPr>
              <w:instrText xml:space="preserve"> PAGEREF _Toc62650486 \h </w:instrText>
            </w:r>
            <w:r w:rsidR="0051040C" w:rsidRPr="005411E0">
              <w:rPr>
                <w:rFonts w:ascii="Times New Roman" w:hAnsi="Times New Roman" w:cs="Times New Roman"/>
                <w:noProof/>
                <w:webHidden/>
              </w:rPr>
            </w:r>
            <w:r w:rsidR="0051040C" w:rsidRPr="005411E0">
              <w:rPr>
                <w:rFonts w:ascii="Times New Roman" w:hAnsi="Times New Roman" w:cs="Times New Roman"/>
                <w:noProof/>
                <w:webHidden/>
              </w:rPr>
              <w:fldChar w:fldCharType="separate"/>
            </w:r>
            <w:r w:rsidR="0001248D">
              <w:rPr>
                <w:rFonts w:ascii="Times New Roman" w:hAnsi="Times New Roman" w:cs="Times New Roman"/>
                <w:noProof/>
                <w:webHidden/>
              </w:rPr>
              <w:t>68</w:t>
            </w:r>
            <w:r w:rsidR="0051040C" w:rsidRPr="005411E0">
              <w:rPr>
                <w:rFonts w:ascii="Times New Roman" w:hAnsi="Times New Roman" w:cs="Times New Roman"/>
                <w:noProof/>
                <w:webHidden/>
              </w:rPr>
              <w:fldChar w:fldCharType="end"/>
            </w:r>
          </w:hyperlink>
        </w:p>
        <w:p w14:paraId="32E02AC8" w14:textId="7EBE4C4D" w:rsidR="0051040C" w:rsidRPr="00F66808" w:rsidRDefault="00051DD6" w:rsidP="005411E0">
          <w:pPr>
            <w:pStyle w:val="TOC3"/>
            <w:tabs>
              <w:tab w:val="right" w:leader="dot" w:pos="9062"/>
            </w:tabs>
            <w:spacing w:before="0"/>
            <w:ind w:left="284"/>
            <w:jc w:val="both"/>
            <w:rPr>
              <w:rFonts w:ascii="Times New Roman" w:eastAsiaTheme="minorEastAsia" w:hAnsi="Times New Roman" w:cs="Times New Roman"/>
              <w:b w:val="0"/>
              <w:bCs w:val="0"/>
              <w:noProof/>
              <w:sz w:val="24"/>
              <w:szCs w:val="24"/>
              <w:lang w:eastAsia="lv-LV"/>
            </w:rPr>
          </w:pPr>
          <w:hyperlink w:anchor="_Toc62650487" w:history="1">
            <w:r w:rsidR="0051040C" w:rsidRPr="00F66808">
              <w:rPr>
                <w:rStyle w:val="Hyperlink"/>
                <w:rFonts w:ascii="Times New Roman" w:hAnsi="Times New Roman" w:cs="Times New Roman"/>
                <w:b w:val="0"/>
                <w:bCs w:val="0"/>
                <w:noProof/>
                <w:color w:val="auto"/>
                <w:sz w:val="24"/>
                <w:szCs w:val="24"/>
              </w:rPr>
              <w:t>1. Pamatjēdzieni</w:t>
            </w:r>
            <w:r w:rsidR="0051040C" w:rsidRPr="00F66808">
              <w:rPr>
                <w:rFonts w:ascii="Times New Roman" w:hAnsi="Times New Roman" w:cs="Times New Roman"/>
                <w:b w:val="0"/>
                <w:bCs w:val="0"/>
                <w:noProof/>
                <w:webHidden/>
                <w:sz w:val="24"/>
                <w:szCs w:val="24"/>
              </w:rPr>
              <w:tab/>
            </w:r>
            <w:r w:rsidR="0051040C" w:rsidRPr="00F66808">
              <w:rPr>
                <w:rFonts w:ascii="Times New Roman" w:hAnsi="Times New Roman" w:cs="Times New Roman"/>
                <w:b w:val="0"/>
                <w:bCs w:val="0"/>
                <w:noProof/>
                <w:webHidden/>
                <w:sz w:val="24"/>
                <w:szCs w:val="24"/>
              </w:rPr>
              <w:fldChar w:fldCharType="begin"/>
            </w:r>
            <w:r w:rsidR="0051040C" w:rsidRPr="00F66808">
              <w:rPr>
                <w:rFonts w:ascii="Times New Roman" w:hAnsi="Times New Roman" w:cs="Times New Roman"/>
                <w:b w:val="0"/>
                <w:bCs w:val="0"/>
                <w:noProof/>
                <w:webHidden/>
                <w:sz w:val="24"/>
                <w:szCs w:val="24"/>
              </w:rPr>
              <w:instrText xml:space="preserve"> PAGEREF _Toc62650487 \h </w:instrText>
            </w:r>
            <w:r w:rsidR="0051040C" w:rsidRPr="00F66808">
              <w:rPr>
                <w:rFonts w:ascii="Times New Roman" w:hAnsi="Times New Roman" w:cs="Times New Roman"/>
                <w:b w:val="0"/>
                <w:bCs w:val="0"/>
                <w:noProof/>
                <w:webHidden/>
                <w:sz w:val="24"/>
                <w:szCs w:val="24"/>
              </w:rPr>
            </w:r>
            <w:r w:rsidR="0051040C" w:rsidRPr="00F66808">
              <w:rPr>
                <w:rFonts w:ascii="Times New Roman" w:hAnsi="Times New Roman" w:cs="Times New Roman"/>
                <w:b w:val="0"/>
                <w:bCs w:val="0"/>
                <w:noProof/>
                <w:webHidden/>
                <w:sz w:val="24"/>
                <w:szCs w:val="24"/>
              </w:rPr>
              <w:fldChar w:fldCharType="separate"/>
            </w:r>
            <w:r w:rsidR="0001248D">
              <w:rPr>
                <w:rFonts w:ascii="Times New Roman" w:hAnsi="Times New Roman" w:cs="Times New Roman"/>
                <w:b w:val="0"/>
                <w:bCs w:val="0"/>
                <w:noProof/>
                <w:webHidden/>
                <w:sz w:val="24"/>
                <w:szCs w:val="24"/>
              </w:rPr>
              <w:t>69</w:t>
            </w:r>
            <w:r w:rsidR="0051040C" w:rsidRPr="00F66808">
              <w:rPr>
                <w:rFonts w:ascii="Times New Roman" w:hAnsi="Times New Roman" w:cs="Times New Roman"/>
                <w:b w:val="0"/>
                <w:bCs w:val="0"/>
                <w:noProof/>
                <w:webHidden/>
                <w:sz w:val="24"/>
                <w:szCs w:val="24"/>
              </w:rPr>
              <w:fldChar w:fldCharType="end"/>
            </w:r>
          </w:hyperlink>
        </w:p>
        <w:p w14:paraId="5CD60402" w14:textId="238707DA" w:rsidR="0051040C" w:rsidRPr="00F66808" w:rsidRDefault="00051DD6" w:rsidP="005411E0">
          <w:pPr>
            <w:pStyle w:val="TOC3"/>
            <w:tabs>
              <w:tab w:val="right" w:leader="dot" w:pos="9062"/>
            </w:tabs>
            <w:spacing w:before="0"/>
            <w:ind w:left="284"/>
            <w:jc w:val="both"/>
            <w:rPr>
              <w:rFonts w:ascii="Times New Roman" w:eastAsiaTheme="minorEastAsia" w:hAnsi="Times New Roman" w:cs="Times New Roman"/>
              <w:b w:val="0"/>
              <w:bCs w:val="0"/>
              <w:noProof/>
              <w:sz w:val="24"/>
              <w:szCs w:val="24"/>
              <w:lang w:eastAsia="lv-LV"/>
            </w:rPr>
          </w:pPr>
          <w:hyperlink w:anchor="_Toc62650488" w:history="1">
            <w:r w:rsidR="0051040C" w:rsidRPr="00F66808">
              <w:rPr>
                <w:rStyle w:val="Hyperlink"/>
                <w:rFonts w:ascii="Times New Roman" w:hAnsi="Times New Roman" w:cs="Times New Roman"/>
                <w:b w:val="0"/>
                <w:bCs w:val="0"/>
                <w:noProof/>
                <w:color w:val="auto"/>
                <w:sz w:val="24"/>
                <w:szCs w:val="24"/>
              </w:rPr>
              <w:t>2. Kvalitatīvā analīze</w:t>
            </w:r>
            <w:r w:rsidR="0051040C" w:rsidRPr="00F66808">
              <w:rPr>
                <w:rFonts w:ascii="Times New Roman" w:hAnsi="Times New Roman" w:cs="Times New Roman"/>
                <w:b w:val="0"/>
                <w:bCs w:val="0"/>
                <w:noProof/>
                <w:webHidden/>
                <w:sz w:val="24"/>
                <w:szCs w:val="24"/>
              </w:rPr>
              <w:tab/>
            </w:r>
            <w:r w:rsidR="0051040C" w:rsidRPr="00F66808">
              <w:rPr>
                <w:rFonts w:ascii="Times New Roman" w:hAnsi="Times New Roman" w:cs="Times New Roman"/>
                <w:b w:val="0"/>
                <w:bCs w:val="0"/>
                <w:noProof/>
                <w:webHidden/>
                <w:sz w:val="24"/>
                <w:szCs w:val="24"/>
              </w:rPr>
              <w:fldChar w:fldCharType="begin"/>
            </w:r>
            <w:r w:rsidR="0051040C" w:rsidRPr="00F66808">
              <w:rPr>
                <w:rFonts w:ascii="Times New Roman" w:hAnsi="Times New Roman" w:cs="Times New Roman"/>
                <w:b w:val="0"/>
                <w:bCs w:val="0"/>
                <w:noProof/>
                <w:webHidden/>
                <w:sz w:val="24"/>
                <w:szCs w:val="24"/>
              </w:rPr>
              <w:instrText xml:space="preserve"> PAGEREF _Toc62650488 \h </w:instrText>
            </w:r>
            <w:r w:rsidR="0051040C" w:rsidRPr="00F66808">
              <w:rPr>
                <w:rFonts w:ascii="Times New Roman" w:hAnsi="Times New Roman" w:cs="Times New Roman"/>
                <w:b w:val="0"/>
                <w:bCs w:val="0"/>
                <w:noProof/>
                <w:webHidden/>
                <w:sz w:val="24"/>
                <w:szCs w:val="24"/>
              </w:rPr>
            </w:r>
            <w:r w:rsidR="0051040C" w:rsidRPr="00F66808">
              <w:rPr>
                <w:rFonts w:ascii="Times New Roman" w:hAnsi="Times New Roman" w:cs="Times New Roman"/>
                <w:b w:val="0"/>
                <w:bCs w:val="0"/>
                <w:noProof/>
                <w:webHidden/>
                <w:sz w:val="24"/>
                <w:szCs w:val="24"/>
              </w:rPr>
              <w:fldChar w:fldCharType="separate"/>
            </w:r>
            <w:r w:rsidR="0001248D">
              <w:rPr>
                <w:rFonts w:ascii="Times New Roman" w:hAnsi="Times New Roman" w:cs="Times New Roman"/>
                <w:b w:val="0"/>
                <w:bCs w:val="0"/>
                <w:noProof/>
                <w:webHidden/>
                <w:sz w:val="24"/>
                <w:szCs w:val="24"/>
              </w:rPr>
              <w:t>72</w:t>
            </w:r>
            <w:r w:rsidR="0051040C" w:rsidRPr="00F66808">
              <w:rPr>
                <w:rFonts w:ascii="Times New Roman" w:hAnsi="Times New Roman" w:cs="Times New Roman"/>
                <w:b w:val="0"/>
                <w:bCs w:val="0"/>
                <w:noProof/>
                <w:webHidden/>
                <w:sz w:val="24"/>
                <w:szCs w:val="24"/>
              </w:rPr>
              <w:fldChar w:fldCharType="end"/>
            </w:r>
          </w:hyperlink>
        </w:p>
        <w:p w14:paraId="1964BA43" w14:textId="153387D0" w:rsidR="0051040C" w:rsidRPr="00F66808" w:rsidRDefault="00051DD6" w:rsidP="005411E0">
          <w:pPr>
            <w:pStyle w:val="TOC3"/>
            <w:tabs>
              <w:tab w:val="right" w:leader="dot" w:pos="9062"/>
            </w:tabs>
            <w:spacing w:before="0"/>
            <w:ind w:left="284"/>
            <w:jc w:val="both"/>
            <w:rPr>
              <w:rFonts w:ascii="Times New Roman" w:eastAsiaTheme="minorEastAsia" w:hAnsi="Times New Roman" w:cs="Times New Roman"/>
              <w:b w:val="0"/>
              <w:bCs w:val="0"/>
              <w:noProof/>
              <w:sz w:val="24"/>
              <w:szCs w:val="24"/>
              <w:lang w:eastAsia="lv-LV"/>
            </w:rPr>
          </w:pPr>
          <w:hyperlink w:anchor="_Toc62650489" w:history="1">
            <w:r w:rsidR="0051040C" w:rsidRPr="00F66808">
              <w:rPr>
                <w:rStyle w:val="Hyperlink"/>
                <w:rFonts w:ascii="Times New Roman" w:hAnsi="Times New Roman" w:cs="Times New Roman"/>
                <w:b w:val="0"/>
                <w:bCs w:val="0"/>
                <w:noProof/>
                <w:color w:val="auto"/>
                <w:sz w:val="24"/>
                <w:szCs w:val="24"/>
              </w:rPr>
              <w:t>3. Kvantitatīvā analīze</w:t>
            </w:r>
            <w:r w:rsidR="0051040C" w:rsidRPr="00F66808">
              <w:rPr>
                <w:rFonts w:ascii="Times New Roman" w:hAnsi="Times New Roman" w:cs="Times New Roman"/>
                <w:b w:val="0"/>
                <w:bCs w:val="0"/>
                <w:noProof/>
                <w:webHidden/>
                <w:sz w:val="24"/>
                <w:szCs w:val="24"/>
              </w:rPr>
              <w:tab/>
            </w:r>
            <w:r w:rsidR="0051040C" w:rsidRPr="00F66808">
              <w:rPr>
                <w:rFonts w:ascii="Times New Roman" w:hAnsi="Times New Roman" w:cs="Times New Roman"/>
                <w:b w:val="0"/>
                <w:bCs w:val="0"/>
                <w:noProof/>
                <w:webHidden/>
                <w:sz w:val="24"/>
                <w:szCs w:val="24"/>
              </w:rPr>
              <w:fldChar w:fldCharType="begin"/>
            </w:r>
            <w:r w:rsidR="0051040C" w:rsidRPr="00F66808">
              <w:rPr>
                <w:rFonts w:ascii="Times New Roman" w:hAnsi="Times New Roman" w:cs="Times New Roman"/>
                <w:b w:val="0"/>
                <w:bCs w:val="0"/>
                <w:noProof/>
                <w:webHidden/>
                <w:sz w:val="24"/>
                <w:szCs w:val="24"/>
              </w:rPr>
              <w:instrText xml:space="preserve"> PAGEREF _Toc62650489 \h </w:instrText>
            </w:r>
            <w:r w:rsidR="0051040C" w:rsidRPr="00F66808">
              <w:rPr>
                <w:rFonts w:ascii="Times New Roman" w:hAnsi="Times New Roman" w:cs="Times New Roman"/>
                <w:b w:val="0"/>
                <w:bCs w:val="0"/>
                <w:noProof/>
                <w:webHidden/>
                <w:sz w:val="24"/>
                <w:szCs w:val="24"/>
              </w:rPr>
            </w:r>
            <w:r w:rsidR="0051040C" w:rsidRPr="00F66808">
              <w:rPr>
                <w:rFonts w:ascii="Times New Roman" w:hAnsi="Times New Roman" w:cs="Times New Roman"/>
                <w:b w:val="0"/>
                <w:bCs w:val="0"/>
                <w:noProof/>
                <w:webHidden/>
                <w:sz w:val="24"/>
                <w:szCs w:val="24"/>
              </w:rPr>
              <w:fldChar w:fldCharType="separate"/>
            </w:r>
            <w:r w:rsidR="0001248D">
              <w:rPr>
                <w:rFonts w:ascii="Times New Roman" w:hAnsi="Times New Roman" w:cs="Times New Roman"/>
                <w:b w:val="0"/>
                <w:bCs w:val="0"/>
                <w:noProof/>
                <w:webHidden/>
                <w:sz w:val="24"/>
                <w:szCs w:val="24"/>
              </w:rPr>
              <w:t>74</w:t>
            </w:r>
            <w:r w:rsidR="0051040C" w:rsidRPr="00F66808">
              <w:rPr>
                <w:rFonts w:ascii="Times New Roman" w:hAnsi="Times New Roman" w:cs="Times New Roman"/>
                <w:b w:val="0"/>
                <w:bCs w:val="0"/>
                <w:noProof/>
                <w:webHidden/>
                <w:sz w:val="24"/>
                <w:szCs w:val="24"/>
              </w:rPr>
              <w:fldChar w:fldCharType="end"/>
            </w:r>
          </w:hyperlink>
        </w:p>
        <w:p w14:paraId="12810E35" w14:textId="03DCDE24" w:rsidR="0051040C" w:rsidRDefault="00051DD6" w:rsidP="005411E0">
          <w:pPr>
            <w:pStyle w:val="TOC3"/>
            <w:tabs>
              <w:tab w:val="right" w:leader="dot" w:pos="9062"/>
            </w:tabs>
            <w:spacing w:before="0"/>
            <w:ind w:left="284"/>
            <w:jc w:val="both"/>
            <w:rPr>
              <w:rStyle w:val="Hyperlink"/>
              <w:rFonts w:ascii="Times New Roman" w:hAnsi="Times New Roman" w:cs="Times New Roman"/>
              <w:b w:val="0"/>
              <w:bCs w:val="0"/>
              <w:noProof/>
              <w:color w:val="auto"/>
              <w:sz w:val="24"/>
              <w:szCs w:val="24"/>
            </w:rPr>
          </w:pPr>
          <w:hyperlink w:anchor="_Toc62650490" w:history="1">
            <w:r w:rsidR="0051040C" w:rsidRPr="00F66808">
              <w:rPr>
                <w:rStyle w:val="Hyperlink"/>
                <w:rFonts w:ascii="Times New Roman" w:hAnsi="Times New Roman" w:cs="Times New Roman"/>
                <w:b w:val="0"/>
                <w:bCs w:val="0"/>
                <w:noProof/>
                <w:color w:val="auto"/>
                <w:sz w:val="24"/>
                <w:szCs w:val="24"/>
              </w:rPr>
              <w:t>4. Ieguvumu un izmaksu mērīšana</w:t>
            </w:r>
            <w:r w:rsidR="0051040C" w:rsidRPr="00F66808">
              <w:rPr>
                <w:rFonts w:ascii="Times New Roman" w:hAnsi="Times New Roman" w:cs="Times New Roman"/>
                <w:b w:val="0"/>
                <w:bCs w:val="0"/>
                <w:noProof/>
                <w:webHidden/>
                <w:sz w:val="24"/>
                <w:szCs w:val="24"/>
              </w:rPr>
              <w:tab/>
            </w:r>
            <w:r w:rsidR="0051040C" w:rsidRPr="00F66808">
              <w:rPr>
                <w:rFonts w:ascii="Times New Roman" w:hAnsi="Times New Roman" w:cs="Times New Roman"/>
                <w:b w:val="0"/>
                <w:bCs w:val="0"/>
                <w:noProof/>
                <w:webHidden/>
                <w:sz w:val="24"/>
                <w:szCs w:val="24"/>
              </w:rPr>
              <w:fldChar w:fldCharType="begin"/>
            </w:r>
            <w:r w:rsidR="0051040C" w:rsidRPr="00F66808">
              <w:rPr>
                <w:rFonts w:ascii="Times New Roman" w:hAnsi="Times New Roman" w:cs="Times New Roman"/>
                <w:b w:val="0"/>
                <w:bCs w:val="0"/>
                <w:noProof/>
                <w:webHidden/>
                <w:sz w:val="24"/>
                <w:szCs w:val="24"/>
              </w:rPr>
              <w:instrText xml:space="preserve"> PAGEREF _Toc62650490 \h </w:instrText>
            </w:r>
            <w:r w:rsidR="0051040C" w:rsidRPr="00F66808">
              <w:rPr>
                <w:rFonts w:ascii="Times New Roman" w:hAnsi="Times New Roman" w:cs="Times New Roman"/>
                <w:b w:val="0"/>
                <w:bCs w:val="0"/>
                <w:noProof/>
                <w:webHidden/>
                <w:sz w:val="24"/>
                <w:szCs w:val="24"/>
              </w:rPr>
            </w:r>
            <w:r w:rsidR="0051040C" w:rsidRPr="00F66808">
              <w:rPr>
                <w:rFonts w:ascii="Times New Roman" w:hAnsi="Times New Roman" w:cs="Times New Roman"/>
                <w:b w:val="0"/>
                <w:bCs w:val="0"/>
                <w:noProof/>
                <w:webHidden/>
                <w:sz w:val="24"/>
                <w:szCs w:val="24"/>
              </w:rPr>
              <w:fldChar w:fldCharType="separate"/>
            </w:r>
            <w:r w:rsidR="0001248D">
              <w:rPr>
                <w:rFonts w:ascii="Times New Roman" w:hAnsi="Times New Roman" w:cs="Times New Roman"/>
                <w:b w:val="0"/>
                <w:bCs w:val="0"/>
                <w:noProof/>
                <w:webHidden/>
                <w:sz w:val="24"/>
                <w:szCs w:val="24"/>
              </w:rPr>
              <w:t>76</w:t>
            </w:r>
            <w:r w:rsidR="0051040C" w:rsidRPr="00F66808">
              <w:rPr>
                <w:rFonts w:ascii="Times New Roman" w:hAnsi="Times New Roman" w:cs="Times New Roman"/>
                <w:b w:val="0"/>
                <w:bCs w:val="0"/>
                <w:noProof/>
                <w:webHidden/>
                <w:sz w:val="24"/>
                <w:szCs w:val="24"/>
              </w:rPr>
              <w:fldChar w:fldCharType="end"/>
            </w:r>
          </w:hyperlink>
        </w:p>
        <w:p w14:paraId="62DD85EA" w14:textId="77777777" w:rsidR="00F66808" w:rsidRPr="00F66808" w:rsidRDefault="00F66808" w:rsidP="00F66808">
          <w:pPr>
            <w:pStyle w:val="TOC3"/>
            <w:tabs>
              <w:tab w:val="right" w:leader="dot" w:pos="9062"/>
            </w:tabs>
            <w:spacing w:before="0"/>
            <w:ind w:left="0"/>
            <w:jc w:val="both"/>
            <w:rPr>
              <w:rFonts w:ascii="Times New Roman" w:eastAsiaTheme="minorEastAsia" w:hAnsi="Times New Roman" w:cs="Times New Roman"/>
              <w:b w:val="0"/>
              <w:bCs w:val="0"/>
              <w:noProof/>
              <w:sz w:val="24"/>
              <w:szCs w:val="24"/>
              <w:lang w:eastAsia="lv-LV"/>
            </w:rPr>
          </w:pPr>
        </w:p>
        <w:p w14:paraId="7C0AB329" w14:textId="6914ADC8" w:rsidR="0051040C" w:rsidRPr="005411E0" w:rsidRDefault="00051DD6" w:rsidP="00F66808">
          <w:pPr>
            <w:pStyle w:val="TOC1"/>
            <w:tabs>
              <w:tab w:val="right" w:leader="dot" w:pos="9062"/>
            </w:tabs>
            <w:spacing w:before="0"/>
            <w:ind w:left="0"/>
            <w:jc w:val="both"/>
            <w:rPr>
              <w:rFonts w:ascii="Times New Roman" w:eastAsiaTheme="minorEastAsia" w:hAnsi="Times New Roman" w:cs="Times New Roman"/>
              <w:b/>
              <w:bCs/>
              <w:noProof/>
              <w:lang w:eastAsia="lv-LV"/>
            </w:rPr>
          </w:pPr>
          <w:hyperlink w:anchor="_Toc62650493" w:history="1">
            <w:r w:rsidR="0051040C" w:rsidRPr="005411E0">
              <w:rPr>
                <w:rStyle w:val="Hyperlink"/>
                <w:rFonts w:ascii="Times New Roman" w:hAnsi="Times New Roman" w:cs="Times New Roman"/>
                <w:b/>
                <w:bCs/>
                <w:noProof/>
                <w:color w:val="auto"/>
              </w:rPr>
              <w:t>7. nodaļa</w:t>
            </w:r>
            <w:r w:rsidR="005411E0" w:rsidRPr="005411E0">
              <w:rPr>
                <w:rStyle w:val="Hyperlink"/>
                <w:rFonts w:ascii="Times New Roman" w:hAnsi="Times New Roman" w:cs="Times New Roman"/>
                <w:b/>
                <w:bCs/>
                <w:noProof/>
                <w:color w:val="auto"/>
              </w:rPr>
              <w:br/>
            </w:r>
            <w:r w:rsidR="0051040C" w:rsidRPr="005411E0">
              <w:rPr>
                <w:rStyle w:val="Hyperlink"/>
                <w:rFonts w:ascii="Times New Roman" w:hAnsi="Times New Roman" w:cs="Times New Roman"/>
                <w:noProof/>
                <w:color w:val="auto"/>
              </w:rPr>
              <w:t>Ieteikumi</w:t>
            </w:r>
            <w:r w:rsidR="0051040C" w:rsidRPr="005411E0">
              <w:rPr>
                <w:rFonts w:ascii="Times New Roman" w:hAnsi="Times New Roman" w:cs="Times New Roman"/>
                <w:noProof/>
                <w:webHidden/>
              </w:rPr>
              <w:tab/>
            </w:r>
            <w:r w:rsidR="0051040C" w:rsidRPr="005411E0">
              <w:rPr>
                <w:rFonts w:ascii="Times New Roman" w:hAnsi="Times New Roman" w:cs="Times New Roman"/>
                <w:noProof/>
                <w:webHidden/>
              </w:rPr>
              <w:fldChar w:fldCharType="begin"/>
            </w:r>
            <w:r w:rsidR="0051040C" w:rsidRPr="005411E0">
              <w:rPr>
                <w:rFonts w:ascii="Times New Roman" w:hAnsi="Times New Roman" w:cs="Times New Roman"/>
                <w:noProof/>
                <w:webHidden/>
              </w:rPr>
              <w:instrText xml:space="preserve"> PAGEREF _Toc62650493 \h </w:instrText>
            </w:r>
            <w:r w:rsidR="0051040C" w:rsidRPr="005411E0">
              <w:rPr>
                <w:rFonts w:ascii="Times New Roman" w:hAnsi="Times New Roman" w:cs="Times New Roman"/>
                <w:noProof/>
                <w:webHidden/>
              </w:rPr>
            </w:r>
            <w:r w:rsidR="0051040C" w:rsidRPr="005411E0">
              <w:rPr>
                <w:rFonts w:ascii="Times New Roman" w:hAnsi="Times New Roman" w:cs="Times New Roman"/>
                <w:noProof/>
                <w:webHidden/>
              </w:rPr>
              <w:fldChar w:fldCharType="separate"/>
            </w:r>
            <w:r w:rsidR="0001248D">
              <w:rPr>
                <w:rFonts w:ascii="Times New Roman" w:hAnsi="Times New Roman" w:cs="Times New Roman"/>
                <w:noProof/>
                <w:webHidden/>
              </w:rPr>
              <w:t>96</w:t>
            </w:r>
            <w:r w:rsidR="0051040C" w:rsidRPr="005411E0">
              <w:rPr>
                <w:rFonts w:ascii="Times New Roman" w:hAnsi="Times New Roman" w:cs="Times New Roman"/>
                <w:noProof/>
                <w:webHidden/>
              </w:rPr>
              <w:fldChar w:fldCharType="end"/>
            </w:r>
          </w:hyperlink>
        </w:p>
        <w:p w14:paraId="418816AB" w14:textId="4047CCA8" w:rsidR="0051040C" w:rsidRPr="00F66808" w:rsidRDefault="00051DD6" w:rsidP="005411E0">
          <w:pPr>
            <w:pStyle w:val="TOC3"/>
            <w:tabs>
              <w:tab w:val="right" w:leader="dot" w:pos="9062"/>
            </w:tabs>
            <w:spacing w:before="0"/>
            <w:ind w:left="284"/>
            <w:jc w:val="both"/>
            <w:rPr>
              <w:rFonts w:ascii="Times New Roman" w:eastAsiaTheme="minorEastAsia" w:hAnsi="Times New Roman" w:cs="Times New Roman"/>
              <w:b w:val="0"/>
              <w:bCs w:val="0"/>
              <w:noProof/>
              <w:sz w:val="24"/>
              <w:szCs w:val="24"/>
              <w:lang w:eastAsia="lv-LV"/>
            </w:rPr>
          </w:pPr>
          <w:hyperlink w:anchor="_Toc62650494" w:history="1">
            <w:r w:rsidR="0051040C" w:rsidRPr="00F66808">
              <w:rPr>
                <w:rStyle w:val="Hyperlink"/>
                <w:rFonts w:ascii="Times New Roman" w:hAnsi="Times New Roman" w:cs="Times New Roman"/>
                <w:b w:val="0"/>
                <w:bCs w:val="0"/>
                <w:noProof/>
                <w:color w:val="auto"/>
                <w:sz w:val="24"/>
                <w:szCs w:val="24"/>
              </w:rPr>
              <w:t>1. Labākā iespējamā risinājuma izraudzīšanās</w:t>
            </w:r>
            <w:r w:rsidR="0051040C" w:rsidRPr="00F66808">
              <w:rPr>
                <w:rFonts w:ascii="Times New Roman" w:hAnsi="Times New Roman" w:cs="Times New Roman"/>
                <w:b w:val="0"/>
                <w:bCs w:val="0"/>
                <w:noProof/>
                <w:webHidden/>
                <w:sz w:val="24"/>
                <w:szCs w:val="24"/>
              </w:rPr>
              <w:tab/>
            </w:r>
            <w:r w:rsidR="0051040C" w:rsidRPr="00F66808">
              <w:rPr>
                <w:rFonts w:ascii="Times New Roman" w:hAnsi="Times New Roman" w:cs="Times New Roman"/>
                <w:b w:val="0"/>
                <w:bCs w:val="0"/>
                <w:noProof/>
                <w:webHidden/>
                <w:sz w:val="24"/>
                <w:szCs w:val="24"/>
              </w:rPr>
              <w:fldChar w:fldCharType="begin"/>
            </w:r>
            <w:r w:rsidR="0051040C" w:rsidRPr="00F66808">
              <w:rPr>
                <w:rFonts w:ascii="Times New Roman" w:hAnsi="Times New Roman" w:cs="Times New Roman"/>
                <w:b w:val="0"/>
                <w:bCs w:val="0"/>
                <w:noProof/>
                <w:webHidden/>
                <w:sz w:val="24"/>
                <w:szCs w:val="24"/>
              </w:rPr>
              <w:instrText xml:space="preserve"> PAGEREF _Toc62650494 \h </w:instrText>
            </w:r>
            <w:r w:rsidR="0051040C" w:rsidRPr="00F66808">
              <w:rPr>
                <w:rFonts w:ascii="Times New Roman" w:hAnsi="Times New Roman" w:cs="Times New Roman"/>
                <w:b w:val="0"/>
                <w:bCs w:val="0"/>
                <w:noProof/>
                <w:webHidden/>
                <w:sz w:val="24"/>
                <w:szCs w:val="24"/>
              </w:rPr>
            </w:r>
            <w:r w:rsidR="0051040C" w:rsidRPr="00F66808">
              <w:rPr>
                <w:rFonts w:ascii="Times New Roman" w:hAnsi="Times New Roman" w:cs="Times New Roman"/>
                <w:b w:val="0"/>
                <w:bCs w:val="0"/>
                <w:noProof/>
                <w:webHidden/>
                <w:sz w:val="24"/>
                <w:szCs w:val="24"/>
              </w:rPr>
              <w:fldChar w:fldCharType="separate"/>
            </w:r>
            <w:r w:rsidR="0001248D">
              <w:rPr>
                <w:rFonts w:ascii="Times New Roman" w:hAnsi="Times New Roman" w:cs="Times New Roman"/>
                <w:b w:val="0"/>
                <w:bCs w:val="0"/>
                <w:noProof/>
                <w:webHidden/>
                <w:sz w:val="24"/>
                <w:szCs w:val="24"/>
              </w:rPr>
              <w:t>96</w:t>
            </w:r>
            <w:r w:rsidR="0051040C" w:rsidRPr="00F66808">
              <w:rPr>
                <w:rFonts w:ascii="Times New Roman" w:hAnsi="Times New Roman" w:cs="Times New Roman"/>
                <w:b w:val="0"/>
                <w:bCs w:val="0"/>
                <w:noProof/>
                <w:webHidden/>
                <w:sz w:val="24"/>
                <w:szCs w:val="24"/>
              </w:rPr>
              <w:fldChar w:fldCharType="end"/>
            </w:r>
          </w:hyperlink>
        </w:p>
        <w:p w14:paraId="1CDA71D2" w14:textId="19FFDA3D" w:rsidR="0051040C" w:rsidRPr="00F66808" w:rsidRDefault="00051DD6" w:rsidP="005411E0">
          <w:pPr>
            <w:pStyle w:val="TOC3"/>
            <w:tabs>
              <w:tab w:val="right" w:leader="dot" w:pos="9062"/>
            </w:tabs>
            <w:spacing w:before="0"/>
            <w:ind w:left="284"/>
            <w:jc w:val="both"/>
            <w:rPr>
              <w:rFonts w:ascii="Times New Roman" w:eastAsiaTheme="minorEastAsia" w:hAnsi="Times New Roman" w:cs="Times New Roman"/>
              <w:b w:val="0"/>
              <w:bCs w:val="0"/>
              <w:noProof/>
              <w:sz w:val="24"/>
              <w:szCs w:val="24"/>
              <w:lang w:eastAsia="lv-LV"/>
            </w:rPr>
          </w:pPr>
          <w:hyperlink w:anchor="_Toc62650495" w:history="1">
            <w:r w:rsidR="0051040C" w:rsidRPr="00F66808">
              <w:rPr>
                <w:rStyle w:val="Hyperlink"/>
                <w:rFonts w:ascii="Times New Roman" w:hAnsi="Times New Roman" w:cs="Times New Roman"/>
                <w:b w:val="0"/>
                <w:bCs w:val="0"/>
                <w:noProof/>
                <w:color w:val="auto"/>
                <w:sz w:val="24"/>
                <w:szCs w:val="24"/>
              </w:rPr>
              <w:t>2. Iepazīstināšana ar ieteikumu</w:t>
            </w:r>
            <w:r w:rsidR="0051040C" w:rsidRPr="00F66808">
              <w:rPr>
                <w:rFonts w:ascii="Times New Roman" w:hAnsi="Times New Roman" w:cs="Times New Roman"/>
                <w:b w:val="0"/>
                <w:bCs w:val="0"/>
                <w:noProof/>
                <w:webHidden/>
                <w:sz w:val="24"/>
                <w:szCs w:val="24"/>
              </w:rPr>
              <w:tab/>
            </w:r>
            <w:r w:rsidR="0051040C" w:rsidRPr="00F66808">
              <w:rPr>
                <w:rFonts w:ascii="Times New Roman" w:hAnsi="Times New Roman" w:cs="Times New Roman"/>
                <w:b w:val="0"/>
                <w:bCs w:val="0"/>
                <w:noProof/>
                <w:webHidden/>
                <w:sz w:val="24"/>
                <w:szCs w:val="24"/>
              </w:rPr>
              <w:fldChar w:fldCharType="begin"/>
            </w:r>
            <w:r w:rsidR="0051040C" w:rsidRPr="00F66808">
              <w:rPr>
                <w:rFonts w:ascii="Times New Roman" w:hAnsi="Times New Roman" w:cs="Times New Roman"/>
                <w:b w:val="0"/>
                <w:bCs w:val="0"/>
                <w:noProof/>
                <w:webHidden/>
                <w:sz w:val="24"/>
                <w:szCs w:val="24"/>
              </w:rPr>
              <w:instrText xml:space="preserve"> PAGEREF _Toc62650495 \h </w:instrText>
            </w:r>
            <w:r w:rsidR="0051040C" w:rsidRPr="00F66808">
              <w:rPr>
                <w:rFonts w:ascii="Times New Roman" w:hAnsi="Times New Roman" w:cs="Times New Roman"/>
                <w:b w:val="0"/>
                <w:bCs w:val="0"/>
                <w:noProof/>
                <w:webHidden/>
                <w:sz w:val="24"/>
                <w:szCs w:val="24"/>
              </w:rPr>
            </w:r>
            <w:r w:rsidR="0051040C" w:rsidRPr="00F66808">
              <w:rPr>
                <w:rFonts w:ascii="Times New Roman" w:hAnsi="Times New Roman" w:cs="Times New Roman"/>
                <w:b w:val="0"/>
                <w:bCs w:val="0"/>
                <w:noProof/>
                <w:webHidden/>
                <w:sz w:val="24"/>
                <w:szCs w:val="24"/>
              </w:rPr>
              <w:fldChar w:fldCharType="separate"/>
            </w:r>
            <w:r w:rsidR="0001248D">
              <w:rPr>
                <w:rFonts w:ascii="Times New Roman" w:hAnsi="Times New Roman" w:cs="Times New Roman"/>
                <w:b w:val="0"/>
                <w:bCs w:val="0"/>
                <w:noProof/>
                <w:webHidden/>
                <w:sz w:val="24"/>
                <w:szCs w:val="24"/>
              </w:rPr>
              <w:t>96</w:t>
            </w:r>
            <w:r w:rsidR="0051040C" w:rsidRPr="00F66808">
              <w:rPr>
                <w:rFonts w:ascii="Times New Roman" w:hAnsi="Times New Roman" w:cs="Times New Roman"/>
                <w:b w:val="0"/>
                <w:bCs w:val="0"/>
                <w:noProof/>
                <w:webHidden/>
                <w:sz w:val="24"/>
                <w:szCs w:val="24"/>
              </w:rPr>
              <w:fldChar w:fldCharType="end"/>
            </w:r>
          </w:hyperlink>
        </w:p>
        <w:p w14:paraId="034D34A6" w14:textId="150EFE24" w:rsidR="0051040C" w:rsidRPr="00F66808" w:rsidRDefault="00051DD6" w:rsidP="005411E0">
          <w:pPr>
            <w:pStyle w:val="TOC3"/>
            <w:tabs>
              <w:tab w:val="right" w:leader="dot" w:pos="9062"/>
            </w:tabs>
            <w:spacing w:before="0"/>
            <w:ind w:left="284"/>
            <w:jc w:val="both"/>
            <w:rPr>
              <w:rFonts w:ascii="Times New Roman" w:eastAsiaTheme="minorEastAsia" w:hAnsi="Times New Roman" w:cs="Times New Roman"/>
              <w:b w:val="0"/>
              <w:bCs w:val="0"/>
              <w:noProof/>
              <w:sz w:val="24"/>
              <w:szCs w:val="24"/>
              <w:lang w:eastAsia="lv-LV"/>
            </w:rPr>
          </w:pPr>
          <w:hyperlink w:anchor="_Toc62650496" w:history="1">
            <w:r w:rsidR="0051040C" w:rsidRPr="00F66808">
              <w:rPr>
                <w:rStyle w:val="Hyperlink"/>
                <w:rFonts w:ascii="Times New Roman" w:hAnsi="Times New Roman" w:cs="Times New Roman"/>
                <w:b w:val="0"/>
                <w:bCs w:val="0"/>
                <w:noProof/>
                <w:color w:val="auto"/>
                <w:sz w:val="24"/>
                <w:szCs w:val="24"/>
              </w:rPr>
              <w:t>3. Jaunā regulējuma sagatavošana</w:t>
            </w:r>
            <w:r w:rsidR="0051040C" w:rsidRPr="00F66808">
              <w:rPr>
                <w:rFonts w:ascii="Times New Roman" w:hAnsi="Times New Roman" w:cs="Times New Roman"/>
                <w:b w:val="0"/>
                <w:bCs w:val="0"/>
                <w:noProof/>
                <w:webHidden/>
                <w:sz w:val="24"/>
                <w:szCs w:val="24"/>
              </w:rPr>
              <w:tab/>
            </w:r>
            <w:r w:rsidR="0051040C" w:rsidRPr="00F66808">
              <w:rPr>
                <w:rFonts w:ascii="Times New Roman" w:hAnsi="Times New Roman" w:cs="Times New Roman"/>
                <w:b w:val="0"/>
                <w:bCs w:val="0"/>
                <w:noProof/>
                <w:webHidden/>
                <w:sz w:val="24"/>
                <w:szCs w:val="24"/>
              </w:rPr>
              <w:fldChar w:fldCharType="begin"/>
            </w:r>
            <w:r w:rsidR="0051040C" w:rsidRPr="00F66808">
              <w:rPr>
                <w:rFonts w:ascii="Times New Roman" w:hAnsi="Times New Roman" w:cs="Times New Roman"/>
                <w:b w:val="0"/>
                <w:bCs w:val="0"/>
                <w:noProof/>
                <w:webHidden/>
                <w:sz w:val="24"/>
                <w:szCs w:val="24"/>
              </w:rPr>
              <w:instrText xml:space="preserve"> PAGEREF _Toc62650496 \h </w:instrText>
            </w:r>
            <w:r w:rsidR="0051040C" w:rsidRPr="00F66808">
              <w:rPr>
                <w:rFonts w:ascii="Times New Roman" w:hAnsi="Times New Roman" w:cs="Times New Roman"/>
                <w:b w:val="0"/>
                <w:bCs w:val="0"/>
                <w:noProof/>
                <w:webHidden/>
                <w:sz w:val="24"/>
                <w:szCs w:val="24"/>
              </w:rPr>
            </w:r>
            <w:r w:rsidR="0051040C" w:rsidRPr="00F66808">
              <w:rPr>
                <w:rFonts w:ascii="Times New Roman" w:hAnsi="Times New Roman" w:cs="Times New Roman"/>
                <w:b w:val="0"/>
                <w:bCs w:val="0"/>
                <w:noProof/>
                <w:webHidden/>
                <w:sz w:val="24"/>
                <w:szCs w:val="24"/>
              </w:rPr>
              <w:fldChar w:fldCharType="separate"/>
            </w:r>
            <w:r w:rsidR="0001248D">
              <w:rPr>
                <w:rFonts w:ascii="Times New Roman" w:hAnsi="Times New Roman" w:cs="Times New Roman"/>
                <w:b w:val="0"/>
                <w:bCs w:val="0"/>
                <w:noProof/>
                <w:webHidden/>
                <w:sz w:val="24"/>
                <w:szCs w:val="24"/>
              </w:rPr>
              <w:t>97</w:t>
            </w:r>
            <w:r w:rsidR="0051040C" w:rsidRPr="00F66808">
              <w:rPr>
                <w:rFonts w:ascii="Times New Roman" w:hAnsi="Times New Roman" w:cs="Times New Roman"/>
                <w:b w:val="0"/>
                <w:bCs w:val="0"/>
                <w:noProof/>
                <w:webHidden/>
                <w:sz w:val="24"/>
                <w:szCs w:val="24"/>
              </w:rPr>
              <w:fldChar w:fldCharType="end"/>
            </w:r>
          </w:hyperlink>
        </w:p>
        <w:p w14:paraId="43E96FFD" w14:textId="52FC31D0" w:rsidR="0051040C" w:rsidRPr="00F66808" w:rsidRDefault="00051DD6" w:rsidP="005411E0">
          <w:pPr>
            <w:pStyle w:val="TOC3"/>
            <w:tabs>
              <w:tab w:val="right" w:leader="dot" w:pos="9062"/>
            </w:tabs>
            <w:spacing w:before="0"/>
            <w:ind w:left="284"/>
            <w:jc w:val="both"/>
            <w:rPr>
              <w:rFonts w:ascii="Times New Roman" w:eastAsiaTheme="minorEastAsia" w:hAnsi="Times New Roman" w:cs="Times New Roman"/>
              <w:b w:val="0"/>
              <w:bCs w:val="0"/>
              <w:noProof/>
              <w:sz w:val="24"/>
              <w:szCs w:val="24"/>
              <w:lang w:eastAsia="lv-LV"/>
            </w:rPr>
          </w:pPr>
          <w:hyperlink w:anchor="_Toc62650497" w:history="1">
            <w:r w:rsidR="0051040C" w:rsidRPr="00F66808">
              <w:rPr>
                <w:rStyle w:val="Hyperlink"/>
                <w:rFonts w:ascii="Times New Roman" w:hAnsi="Times New Roman" w:cs="Times New Roman"/>
                <w:b w:val="0"/>
                <w:bCs w:val="0"/>
                <w:noProof/>
                <w:color w:val="auto"/>
                <w:sz w:val="24"/>
                <w:szCs w:val="24"/>
              </w:rPr>
              <w:t>4. Galīgā apstiprināšana</w:t>
            </w:r>
            <w:r w:rsidR="0051040C" w:rsidRPr="00F66808">
              <w:rPr>
                <w:rFonts w:ascii="Times New Roman" w:hAnsi="Times New Roman" w:cs="Times New Roman"/>
                <w:b w:val="0"/>
                <w:bCs w:val="0"/>
                <w:noProof/>
                <w:webHidden/>
                <w:sz w:val="24"/>
                <w:szCs w:val="24"/>
              </w:rPr>
              <w:tab/>
            </w:r>
            <w:r w:rsidR="0051040C" w:rsidRPr="00F66808">
              <w:rPr>
                <w:rFonts w:ascii="Times New Roman" w:hAnsi="Times New Roman" w:cs="Times New Roman"/>
                <w:b w:val="0"/>
                <w:bCs w:val="0"/>
                <w:noProof/>
                <w:webHidden/>
                <w:sz w:val="24"/>
                <w:szCs w:val="24"/>
              </w:rPr>
              <w:fldChar w:fldCharType="begin"/>
            </w:r>
            <w:r w:rsidR="0051040C" w:rsidRPr="00F66808">
              <w:rPr>
                <w:rFonts w:ascii="Times New Roman" w:hAnsi="Times New Roman" w:cs="Times New Roman"/>
                <w:b w:val="0"/>
                <w:bCs w:val="0"/>
                <w:noProof/>
                <w:webHidden/>
                <w:sz w:val="24"/>
                <w:szCs w:val="24"/>
              </w:rPr>
              <w:instrText xml:space="preserve"> PAGEREF _Toc62650497 \h </w:instrText>
            </w:r>
            <w:r w:rsidR="0051040C" w:rsidRPr="00F66808">
              <w:rPr>
                <w:rFonts w:ascii="Times New Roman" w:hAnsi="Times New Roman" w:cs="Times New Roman"/>
                <w:b w:val="0"/>
                <w:bCs w:val="0"/>
                <w:noProof/>
                <w:webHidden/>
                <w:sz w:val="24"/>
                <w:szCs w:val="24"/>
              </w:rPr>
            </w:r>
            <w:r w:rsidR="0051040C" w:rsidRPr="00F66808">
              <w:rPr>
                <w:rFonts w:ascii="Times New Roman" w:hAnsi="Times New Roman" w:cs="Times New Roman"/>
                <w:b w:val="0"/>
                <w:bCs w:val="0"/>
                <w:noProof/>
                <w:webHidden/>
                <w:sz w:val="24"/>
                <w:szCs w:val="24"/>
              </w:rPr>
              <w:fldChar w:fldCharType="separate"/>
            </w:r>
            <w:r w:rsidR="0001248D">
              <w:rPr>
                <w:rFonts w:ascii="Times New Roman" w:hAnsi="Times New Roman" w:cs="Times New Roman"/>
                <w:b w:val="0"/>
                <w:bCs w:val="0"/>
                <w:noProof/>
                <w:webHidden/>
                <w:sz w:val="24"/>
                <w:szCs w:val="24"/>
              </w:rPr>
              <w:t>97</w:t>
            </w:r>
            <w:r w:rsidR="0051040C" w:rsidRPr="00F66808">
              <w:rPr>
                <w:rFonts w:ascii="Times New Roman" w:hAnsi="Times New Roman" w:cs="Times New Roman"/>
                <w:b w:val="0"/>
                <w:bCs w:val="0"/>
                <w:noProof/>
                <w:webHidden/>
                <w:sz w:val="24"/>
                <w:szCs w:val="24"/>
              </w:rPr>
              <w:fldChar w:fldCharType="end"/>
            </w:r>
          </w:hyperlink>
        </w:p>
        <w:p w14:paraId="6D7A12C7" w14:textId="699DA453" w:rsidR="0051040C" w:rsidRDefault="00051DD6" w:rsidP="005411E0">
          <w:pPr>
            <w:pStyle w:val="TOC3"/>
            <w:tabs>
              <w:tab w:val="right" w:leader="dot" w:pos="9062"/>
            </w:tabs>
            <w:spacing w:before="0"/>
            <w:ind w:left="284"/>
            <w:jc w:val="both"/>
            <w:rPr>
              <w:rStyle w:val="Hyperlink"/>
              <w:rFonts w:ascii="Times New Roman" w:hAnsi="Times New Roman" w:cs="Times New Roman"/>
              <w:b w:val="0"/>
              <w:bCs w:val="0"/>
              <w:noProof/>
              <w:color w:val="auto"/>
              <w:sz w:val="24"/>
              <w:szCs w:val="24"/>
            </w:rPr>
          </w:pPr>
          <w:hyperlink w:anchor="_Toc62650498" w:history="1">
            <w:r w:rsidR="0051040C" w:rsidRPr="00F66808">
              <w:rPr>
                <w:rStyle w:val="Hyperlink"/>
                <w:rFonts w:ascii="Times New Roman" w:hAnsi="Times New Roman" w:cs="Times New Roman"/>
                <w:b w:val="0"/>
                <w:bCs w:val="0"/>
                <w:noProof/>
                <w:color w:val="auto"/>
                <w:sz w:val="24"/>
                <w:szCs w:val="24"/>
              </w:rPr>
              <w:t>5. Ieviešana</w:t>
            </w:r>
            <w:r w:rsidR="0051040C" w:rsidRPr="00F66808">
              <w:rPr>
                <w:rFonts w:ascii="Times New Roman" w:hAnsi="Times New Roman" w:cs="Times New Roman"/>
                <w:b w:val="0"/>
                <w:bCs w:val="0"/>
                <w:noProof/>
                <w:webHidden/>
                <w:sz w:val="24"/>
                <w:szCs w:val="24"/>
              </w:rPr>
              <w:tab/>
            </w:r>
            <w:r w:rsidR="0051040C" w:rsidRPr="00F66808">
              <w:rPr>
                <w:rFonts w:ascii="Times New Roman" w:hAnsi="Times New Roman" w:cs="Times New Roman"/>
                <w:b w:val="0"/>
                <w:bCs w:val="0"/>
                <w:noProof/>
                <w:webHidden/>
                <w:sz w:val="24"/>
                <w:szCs w:val="24"/>
              </w:rPr>
              <w:fldChar w:fldCharType="begin"/>
            </w:r>
            <w:r w:rsidR="0051040C" w:rsidRPr="00F66808">
              <w:rPr>
                <w:rFonts w:ascii="Times New Roman" w:hAnsi="Times New Roman" w:cs="Times New Roman"/>
                <w:b w:val="0"/>
                <w:bCs w:val="0"/>
                <w:noProof/>
                <w:webHidden/>
                <w:sz w:val="24"/>
                <w:szCs w:val="24"/>
              </w:rPr>
              <w:instrText xml:space="preserve"> PAGEREF _Toc62650498 \h </w:instrText>
            </w:r>
            <w:r w:rsidR="0051040C" w:rsidRPr="00F66808">
              <w:rPr>
                <w:rFonts w:ascii="Times New Roman" w:hAnsi="Times New Roman" w:cs="Times New Roman"/>
                <w:b w:val="0"/>
                <w:bCs w:val="0"/>
                <w:noProof/>
                <w:webHidden/>
                <w:sz w:val="24"/>
                <w:szCs w:val="24"/>
              </w:rPr>
            </w:r>
            <w:r w:rsidR="0051040C" w:rsidRPr="00F66808">
              <w:rPr>
                <w:rFonts w:ascii="Times New Roman" w:hAnsi="Times New Roman" w:cs="Times New Roman"/>
                <w:b w:val="0"/>
                <w:bCs w:val="0"/>
                <w:noProof/>
                <w:webHidden/>
                <w:sz w:val="24"/>
                <w:szCs w:val="24"/>
              </w:rPr>
              <w:fldChar w:fldCharType="separate"/>
            </w:r>
            <w:r w:rsidR="0001248D">
              <w:rPr>
                <w:rFonts w:ascii="Times New Roman" w:hAnsi="Times New Roman" w:cs="Times New Roman"/>
                <w:b w:val="0"/>
                <w:bCs w:val="0"/>
                <w:noProof/>
                <w:webHidden/>
                <w:sz w:val="24"/>
                <w:szCs w:val="24"/>
              </w:rPr>
              <w:t>97</w:t>
            </w:r>
            <w:r w:rsidR="0051040C" w:rsidRPr="00F66808">
              <w:rPr>
                <w:rFonts w:ascii="Times New Roman" w:hAnsi="Times New Roman" w:cs="Times New Roman"/>
                <w:b w:val="0"/>
                <w:bCs w:val="0"/>
                <w:noProof/>
                <w:webHidden/>
                <w:sz w:val="24"/>
                <w:szCs w:val="24"/>
              </w:rPr>
              <w:fldChar w:fldCharType="end"/>
            </w:r>
          </w:hyperlink>
        </w:p>
        <w:p w14:paraId="0019325E" w14:textId="77777777" w:rsidR="00F66808" w:rsidRPr="00F66808" w:rsidRDefault="00F66808" w:rsidP="00F66808">
          <w:pPr>
            <w:pStyle w:val="TOC3"/>
            <w:tabs>
              <w:tab w:val="right" w:leader="dot" w:pos="9062"/>
            </w:tabs>
            <w:spacing w:before="0"/>
            <w:ind w:left="0"/>
            <w:jc w:val="both"/>
            <w:rPr>
              <w:rFonts w:ascii="Times New Roman" w:eastAsiaTheme="minorEastAsia" w:hAnsi="Times New Roman" w:cs="Times New Roman"/>
              <w:b w:val="0"/>
              <w:bCs w:val="0"/>
              <w:noProof/>
              <w:sz w:val="24"/>
              <w:szCs w:val="24"/>
              <w:lang w:eastAsia="lv-LV"/>
            </w:rPr>
          </w:pPr>
        </w:p>
        <w:p w14:paraId="7F2F5347" w14:textId="46D655F0" w:rsidR="0051040C" w:rsidRPr="005411E0" w:rsidRDefault="00051DD6" w:rsidP="00051DD6">
          <w:pPr>
            <w:pStyle w:val="TOC1"/>
            <w:keepNext/>
            <w:keepLines/>
            <w:tabs>
              <w:tab w:val="right" w:leader="dot" w:pos="9062"/>
            </w:tabs>
            <w:spacing w:before="0"/>
            <w:ind w:left="0"/>
            <w:jc w:val="both"/>
            <w:rPr>
              <w:rStyle w:val="Hyperlink"/>
              <w:rFonts w:ascii="Times New Roman" w:hAnsi="Times New Roman" w:cs="Times New Roman"/>
              <w:b/>
              <w:bCs/>
              <w:noProof/>
              <w:color w:val="auto"/>
            </w:rPr>
          </w:pPr>
          <w:hyperlink w:anchor="_Toc62650499" w:history="1">
            <w:r w:rsidR="0051040C" w:rsidRPr="005411E0">
              <w:rPr>
                <w:rStyle w:val="Hyperlink"/>
                <w:rFonts w:ascii="Times New Roman" w:hAnsi="Times New Roman" w:cs="Times New Roman"/>
                <w:b/>
                <w:bCs/>
                <w:noProof/>
                <w:color w:val="auto"/>
              </w:rPr>
              <w:t>8. nodaļa</w:t>
            </w:r>
            <w:r w:rsidR="005411E0" w:rsidRPr="005411E0">
              <w:rPr>
                <w:rStyle w:val="Hyperlink"/>
                <w:rFonts w:ascii="Times New Roman" w:hAnsi="Times New Roman" w:cs="Times New Roman"/>
                <w:b/>
                <w:bCs/>
                <w:noProof/>
                <w:color w:val="auto"/>
              </w:rPr>
              <w:br/>
            </w:r>
            <w:r w:rsidR="0051040C" w:rsidRPr="005411E0">
              <w:rPr>
                <w:rStyle w:val="Hyperlink"/>
                <w:rFonts w:ascii="Times New Roman" w:hAnsi="Times New Roman" w:cs="Times New Roman"/>
                <w:noProof/>
                <w:color w:val="auto"/>
              </w:rPr>
              <w:t>Retrospektīva novērtēšana</w:t>
            </w:r>
            <w:r w:rsidR="0051040C" w:rsidRPr="005411E0">
              <w:rPr>
                <w:rFonts w:ascii="Times New Roman" w:hAnsi="Times New Roman" w:cs="Times New Roman"/>
                <w:noProof/>
                <w:webHidden/>
              </w:rPr>
              <w:tab/>
            </w:r>
            <w:r w:rsidR="0051040C" w:rsidRPr="005411E0">
              <w:rPr>
                <w:rFonts w:ascii="Times New Roman" w:hAnsi="Times New Roman" w:cs="Times New Roman"/>
                <w:noProof/>
                <w:webHidden/>
              </w:rPr>
              <w:fldChar w:fldCharType="begin"/>
            </w:r>
            <w:r w:rsidR="0051040C" w:rsidRPr="005411E0">
              <w:rPr>
                <w:rFonts w:ascii="Times New Roman" w:hAnsi="Times New Roman" w:cs="Times New Roman"/>
                <w:noProof/>
                <w:webHidden/>
              </w:rPr>
              <w:instrText xml:space="preserve"> PAGEREF _Toc62650499 \h </w:instrText>
            </w:r>
            <w:r w:rsidR="0051040C" w:rsidRPr="005411E0">
              <w:rPr>
                <w:rFonts w:ascii="Times New Roman" w:hAnsi="Times New Roman" w:cs="Times New Roman"/>
                <w:noProof/>
                <w:webHidden/>
              </w:rPr>
            </w:r>
            <w:r w:rsidR="0051040C" w:rsidRPr="005411E0">
              <w:rPr>
                <w:rFonts w:ascii="Times New Roman" w:hAnsi="Times New Roman" w:cs="Times New Roman"/>
                <w:noProof/>
                <w:webHidden/>
              </w:rPr>
              <w:fldChar w:fldCharType="separate"/>
            </w:r>
            <w:r w:rsidR="0001248D">
              <w:rPr>
                <w:rFonts w:ascii="Times New Roman" w:hAnsi="Times New Roman" w:cs="Times New Roman"/>
                <w:noProof/>
                <w:webHidden/>
              </w:rPr>
              <w:t>103</w:t>
            </w:r>
            <w:r w:rsidR="0051040C" w:rsidRPr="005411E0">
              <w:rPr>
                <w:rFonts w:ascii="Times New Roman" w:hAnsi="Times New Roman" w:cs="Times New Roman"/>
                <w:noProof/>
                <w:webHidden/>
              </w:rPr>
              <w:fldChar w:fldCharType="end"/>
            </w:r>
          </w:hyperlink>
        </w:p>
        <w:p w14:paraId="69EC4CD9" w14:textId="77777777" w:rsidR="00F66808" w:rsidRPr="00F66808" w:rsidRDefault="00F66808" w:rsidP="00F66808">
          <w:pPr>
            <w:pStyle w:val="TOC1"/>
            <w:tabs>
              <w:tab w:val="right" w:leader="dot" w:pos="9062"/>
            </w:tabs>
            <w:spacing w:before="0"/>
            <w:ind w:left="0"/>
            <w:jc w:val="both"/>
            <w:rPr>
              <w:rFonts w:ascii="Times New Roman" w:eastAsiaTheme="minorEastAsia" w:hAnsi="Times New Roman" w:cs="Times New Roman"/>
              <w:noProof/>
              <w:lang w:eastAsia="lv-LV"/>
            </w:rPr>
          </w:pPr>
        </w:p>
        <w:p w14:paraId="2B3A0F1D" w14:textId="0511A374" w:rsidR="0051040C" w:rsidRPr="005411E0" w:rsidRDefault="00051DD6" w:rsidP="00F66808">
          <w:pPr>
            <w:pStyle w:val="TOC1"/>
            <w:tabs>
              <w:tab w:val="right" w:leader="dot" w:pos="9062"/>
            </w:tabs>
            <w:spacing w:before="0"/>
            <w:ind w:left="0"/>
            <w:jc w:val="both"/>
            <w:rPr>
              <w:rStyle w:val="Hyperlink"/>
              <w:rFonts w:ascii="Times New Roman" w:hAnsi="Times New Roman" w:cs="Times New Roman"/>
              <w:b/>
              <w:bCs/>
              <w:noProof/>
              <w:color w:val="auto"/>
            </w:rPr>
          </w:pPr>
          <w:hyperlink w:anchor="_Toc62650500" w:history="1">
            <w:r w:rsidR="0051040C" w:rsidRPr="005411E0">
              <w:rPr>
                <w:rStyle w:val="Hyperlink"/>
                <w:rFonts w:ascii="Times New Roman" w:hAnsi="Times New Roman" w:cs="Times New Roman"/>
                <w:b/>
                <w:bCs/>
                <w:noProof/>
                <w:color w:val="auto"/>
              </w:rPr>
              <w:t>Atsauces</w:t>
            </w:r>
            <w:r w:rsidR="0051040C" w:rsidRPr="005411E0">
              <w:rPr>
                <w:rFonts w:ascii="Times New Roman" w:hAnsi="Times New Roman" w:cs="Times New Roman"/>
                <w:b/>
                <w:bCs/>
                <w:noProof/>
                <w:webHidden/>
              </w:rPr>
              <w:tab/>
            </w:r>
            <w:r w:rsidR="0051040C" w:rsidRPr="005411E0">
              <w:rPr>
                <w:rFonts w:ascii="Times New Roman" w:hAnsi="Times New Roman" w:cs="Times New Roman"/>
                <w:b/>
                <w:bCs/>
                <w:noProof/>
                <w:webHidden/>
              </w:rPr>
              <w:fldChar w:fldCharType="begin"/>
            </w:r>
            <w:r w:rsidR="0051040C" w:rsidRPr="005411E0">
              <w:rPr>
                <w:rFonts w:ascii="Times New Roman" w:hAnsi="Times New Roman" w:cs="Times New Roman"/>
                <w:b/>
                <w:bCs/>
                <w:noProof/>
                <w:webHidden/>
              </w:rPr>
              <w:instrText xml:space="preserve"> PAGEREF _Toc62650500 \h </w:instrText>
            </w:r>
            <w:r w:rsidR="0051040C" w:rsidRPr="005411E0">
              <w:rPr>
                <w:rFonts w:ascii="Times New Roman" w:hAnsi="Times New Roman" w:cs="Times New Roman"/>
                <w:b/>
                <w:bCs/>
                <w:noProof/>
                <w:webHidden/>
              </w:rPr>
            </w:r>
            <w:r w:rsidR="0051040C" w:rsidRPr="005411E0">
              <w:rPr>
                <w:rFonts w:ascii="Times New Roman" w:hAnsi="Times New Roman" w:cs="Times New Roman"/>
                <w:b/>
                <w:bCs/>
                <w:noProof/>
                <w:webHidden/>
              </w:rPr>
              <w:fldChar w:fldCharType="separate"/>
            </w:r>
            <w:r w:rsidR="0001248D">
              <w:rPr>
                <w:rFonts w:ascii="Times New Roman" w:hAnsi="Times New Roman" w:cs="Times New Roman"/>
                <w:b/>
                <w:bCs/>
                <w:noProof/>
                <w:webHidden/>
              </w:rPr>
              <w:t>107</w:t>
            </w:r>
            <w:r w:rsidR="0051040C" w:rsidRPr="005411E0">
              <w:rPr>
                <w:rFonts w:ascii="Times New Roman" w:hAnsi="Times New Roman" w:cs="Times New Roman"/>
                <w:b/>
                <w:bCs/>
                <w:noProof/>
                <w:webHidden/>
              </w:rPr>
              <w:fldChar w:fldCharType="end"/>
            </w:r>
          </w:hyperlink>
        </w:p>
        <w:p w14:paraId="0B898F85" w14:textId="77777777" w:rsidR="00F66808" w:rsidRPr="00F66808" w:rsidRDefault="00F66808" w:rsidP="00F66808">
          <w:pPr>
            <w:pStyle w:val="TOC1"/>
            <w:tabs>
              <w:tab w:val="right" w:leader="dot" w:pos="9062"/>
            </w:tabs>
            <w:spacing w:before="0"/>
            <w:ind w:left="0"/>
            <w:jc w:val="both"/>
            <w:rPr>
              <w:rFonts w:ascii="Times New Roman" w:eastAsiaTheme="minorEastAsia" w:hAnsi="Times New Roman" w:cs="Times New Roman"/>
              <w:noProof/>
              <w:lang w:eastAsia="lv-LV"/>
            </w:rPr>
          </w:pPr>
        </w:p>
        <w:p w14:paraId="7A94DAE2" w14:textId="17F1006D" w:rsidR="0051040C" w:rsidRPr="005411E0" w:rsidRDefault="00051DD6" w:rsidP="00F66808">
          <w:pPr>
            <w:pStyle w:val="TOC1"/>
            <w:tabs>
              <w:tab w:val="right" w:leader="dot" w:pos="9062"/>
            </w:tabs>
            <w:spacing w:before="0"/>
            <w:ind w:left="0"/>
            <w:jc w:val="both"/>
            <w:rPr>
              <w:rStyle w:val="Hyperlink"/>
              <w:rFonts w:ascii="Times New Roman" w:hAnsi="Times New Roman" w:cs="Times New Roman"/>
              <w:b/>
              <w:bCs/>
              <w:noProof/>
              <w:color w:val="auto"/>
            </w:rPr>
          </w:pPr>
          <w:hyperlink w:anchor="_Toc62650502" w:history="1">
            <w:r w:rsidR="0051040C" w:rsidRPr="005411E0">
              <w:rPr>
                <w:rStyle w:val="Hyperlink"/>
                <w:rFonts w:ascii="Times New Roman" w:hAnsi="Times New Roman" w:cs="Times New Roman"/>
                <w:b/>
                <w:bCs/>
                <w:noProof/>
                <w:color w:val="auto"/>
              </w:rPr>
              <w:t>1. pielikums.</w:t>
            </w:r>
            <w:r w:rsidR="005411E0" w:rsidRPr="005411E0">
              <w:rPr>
                <w:rStyle w:val="Hyperlink"/>
                <w:rFonts w:ascii="Times New Roman" w:hAnsi="Times New Roman" w:cs="Times New Roman"/>
                <w:b/>
                <w:bCs/>
                <w:noProof/>
                <w:color w:val="auto"/>
              </w:rPr>
              <w:br/>
            </w:r>
            <w:r w:rsidR="0051040C" w:rsidRPr="005411E0">
              <w:rPr>
                <w:rStyle w:val="Hyperlink"/>
                <w:rFonts w:ascii="Times New Roman" w:hAnsi="Times New Roman" w:cs="Times New Roman"/>
                <w:noProof/>
                <w:color w:val="auto"/>
              </w:rPr>
              <w:t>Līdzsvara maiņas radītu ieguvumu atvasināšana</w:t>
            </w:r>
            <w:r w:rsidR="0051040C" w:rsidRPr="005411E0">
              <w:rPr>
                <w:rFonts w:ascii="Times New Roman" w:hAnsi="Times New Roman" w:cs="Times New Roman"/>
                <w:noProof/>
                <w:webHidden/>
              </w:rPr>
              <w:tab/>
            </w:r>
            <w:r w:rsidR="0051040C" w:rsidRPr="005411E0">
              <w:rPr>
                <w:rFonts w:ascii="Times New Roman" w:hAnsi="Times New Roman" w:cs="Times New Roman"/>
                <w:noProof/>
                <w:webHidden/>
              </w:rPr>
              <w:fldChar w:fldCharType="begin"/>
            </w:r>
            <w:r w:rsidR="0051040C" w:rsidRPr="005411E0">
              <w:rPr>
                <w:rFonts w:ascii="Times New Roman" w:hAnsi="Times New Roman" w:cs="Times New Roman"/>
                <w:noProof/>
                <w:webHidden/>
              </w:rPr>
              <w:instrText xml:space="preserve"> PAGEREF _Toc62650502 \h </w:instrText>
            </w:r>
            <w:r w:rsidR="0051040C" w:rsidRPr="005411E0">
              <w:rPr>
                <w:rFonts w:ascii="Times New Roman" w:hAnsi="Times New Roman" w:cs="Times New Roman"/>
                <w:noProof/>
                <w:webHidden/>
              </w:rPr>
            </w:r>
            <w:r w:rsidR="0051040C" w:rsidRPr="005411E0">
              <w:rPr>
                <w:rFonts w:ascii="Times New Roman" w:hAnsi="Times New Roman" w:cs="Times New Roman"/>
                <w:noProof/>
                <w:webHidden/>
              </w:rPr>
              <w:fldChar w:fldCharType="separate"/>
            </w:r>
            <w:r w:rsidR="0001248D">
              <w:rPr>
                <w:rFonts w:ascii="Times New Roman" w:hAnsi="Times New Roman" w:cs="Times New Roman"/>
                <w:noProof/>
                <w:webHidden/>
              </w:rPr>
              <w:t>110</w:t>
            </w:r>
            <w:r w:rsidR="0051040C" w:rsidRPr="005411E0">
              <w:rPr>
                <w:rFonts w:ascii="Times New Roman" w:hAnsi="Times New Roman" w:cs="Times New Roman"/>
                <w:noProof/>
                <w:webHidden/>
              </w:rPr>
              <w:fldChar w:fldCharType="end"/>
            </w:r>
          </w:hyperlink>
        </w:p>
        <w:p w14:paraId="1BB10ABB" w14:textId="77777777" w:rsidR="00F66808" w:rsidRPr="00F66808" w:rsidRDefault="00F66808" w:rsidP="00F66808">
          <w:pPr>
            <w:pStyle w:val="TOC1"/>
            <w:tabs>
              <w:tab w:val="right" w:leader="dot" w:pos="9062"/>
            </w:tabs>
            <w:spacing w:before="0"/>
            <w:ind w:left="0"/>
            <w:jc w:val="both"/>
            <w:rPr>
              <w:rFonts w:ascii="Times New Roman" w:eastAsiaTheme="minorEastAsia" w:hAnsi="Times New Roman" w:cs="Times New Roman"/>
              <w:noProof/>
              <w:lang w:eastAsia="lv-LV"/>
            </w:rPr>
          </w:pPr>
        </w:p>
        <w:p w14:paraId="3B9E055D" w14:textId="5F016F5C" w:rsidR="0051040C" w:rsidRPr="005411E0" w:rsidRDefault="00051DD6" w:rsidP="00F66808">
          <w:pPr>
            <w:pStyle w:val="TOC1"/>
            <w:tabs>
              <w:tab w:val="right" w:leader="dot" w:pos="9062"/>
            </w:tabs>
            <w:spacing w:before="0"/>
            <w:ind w:left="0"/>
            <w:jc w:val="both"/>
            <w:rPr>
              <w:rFonts w:ascii="Times New Roman" w:eastAsiaTheme="minorEastAsia" w:hAnsi="Times New Roman" w:cs="Times New Roman"/>
              <w:b/>
              <w:bCs/>
              <w:noProof/>
              <w:lang w:eastAsia="lv-LV"/>
            </w:rPr>
          </w:pPr>
          <w:hyperlink w:anchor="_Toc62650504" w:history="1">
            <w:r w:rsidR="0051040C" w:rsidRPr="005411E0">
              <w:rPr>
                <w:rStyle w:val="Hyperlink"/>
                <w:rFonts w:ascii="Times New Roman" w:hAnsi="Times New Roman" w:cs="Times New Roman"/>
                <w:b/>
                <w:bCs/>
                <w:noProof/>
                <w:color w:val="auto"/>
              </w:rPr>
              <w:t>2. pielikums.</w:t>
            </w:r>
            <w:r w:rsidR="005411E0" w:rsidRPr="005411E0">
              <w:rPr>
                <w:rStyle w:val="Hyperlink"/>
                <w:rFonts w:ascii="Times New Roman" w:hAnsi="Times New Roman" w:cs="Times New Roman"/>
                <w:b/>
                <w:bCs/>
                <w:noProof/>
                <w:color w:val="auto"/>
              </w:rPr>
              <w:br/>
            </w:r>
            <w:r w:rsidR="0051040C" w:rsidRPr="005411E0">
              <w:rPr>
                <w:rStyle w:val="Hyperlink"/>
                <w:rFonts w:ascii="Times New Roman" w:hAnsi="Times New Roman" w:cs="Times New Roman"/>
                <w:noProof/>
                <w:color w:val="auto"/>
              </w:rPr>
              <w:t>Konkurences ierobežojuma likvidēšanas ietekme atbilstoši konkurences ierobežojuma veidam</w:t>
            </w:r>
            <w:r w:rsidR="0051040C" w:rsidRPr="005411E0">
              <w:rPr>
                <w:rFonts w:ascii="Times New Roman" w:hAnsi="Times New Roman" w:cs="Times New Roman"/>
                <w:noProof/>
                <w:webHidden/>
              </w:rPr>
              <w:tab/>
            </w:r>
            <w:r w:rsidR="0051040C" w:rsidRPr="005411E0">
              <w:rPr>
                <w:rFonts w:ascii="Times New Roman" w:hAnsi="Times New Roman" w:cs="Times New Roman"/>
                <w:noProof/>
                <w:webHidden/>
              </w:rPr>
              <w:fldChar w:fldCharType="begin"/>
            </w:r>
            <w:r w:rsidR="0051040C" w:rsidRPr="005411E0">
              <w:rPr>
                <w:rFonts w:ascii="Times New Roman" w:hAnsi="Times New Roman" w:cs="Times New Roman"/>
                <w:noProof/>
                <w:webHidden/>
              </w:rPr>
              <w:instrText xml:space="preserve"> PAGEREF _Toc62650504 \h </w:instrText>
            </w:r>
            <w:r w:rsidR="0051040C" w:rsidRPr="005411E0">
              <w:rPr>
                <w:rFonts w:ascii="Times New Roman" w:hAnsi="Times New Roman" w:cs="Times New Roman"/>
                <w:noProof/>
                <w:webHidden/>
              </w:rPr>
            </w:r>
            <w:r w:rsidR="0051040C" w:rsidRPr="005411E0">
              <w:rPr>
                <w:rFonts w:ascii="Times New Roman" w:hAnsi="Times New Roman" w:cs="Times New Roman"/>
                <w:noProof/>
                <w:webHidden/>
              </w:rPr>
              <w:fldChar w:fldCharType="separate"/>
            </w:r>
            <w:r w:rsidR="0001248D">
              <w:rPr>
                <w:rFonts w:ascii="Times New Roman" w:hAnsi="Times New Roman" w:cs="Times New Roman"/>
                <w:noProof/>
                <w:webHidden/>
              </w:rPr>
              <w:t>114</w:t>
            </w:r>
            <w:r w:rsidR="0051040C" w:rsidRPr="005411E0">
              <w:rPr>
                <w:rFonts w:ascii="Times New Roman" w:hAnsi="Times New Roman" w:cs="Times New Roman"/>
                <w:noProof/>
                <w:webHidden/>
              </w:rPr>
              <w:fldChar w:fldCharType="end"/>
            </w:r>
          </w:hyperlink>
        </w:p>
        <w:p w14:paraId="21407CB6" w14:textId="287406AB" w:rsidR="0051040C" w:rsidRPr="00F66808" w:rsidRDefault="0051040C" w:rsidP="00F66808">
          <w:pPr>
            <w:pStyle w:val="TOC3"/>
            <w:tabs>
              <w:tab w:val="right" w:leader="dot" w:pos="9062"/>
            </w:tabs>
            <w:spacing w:before="0"/>
            <w:ind w:left="0"/>
            <w:jc w:val="both"/>
            <w:rPr>
              <w:rFonts w:ascii="Times New Roman" w:eastAsiaTheme="minorEastAsia" w:hAnsi="Times New Roman" w:cs="Times New Roman"/>
              <w:b w:val="0"/>
              <w:bCs w:val="0"/>
              <w:noProof/>
              <w:sz w:val="24"/>
              <w:szCs w:val="24"/>
              <w:lang w:eastAsia="lv-LV"/>
            </w:rPr>
          </w:pPr>
        </w:p>
        <w:p w14:paraId="5805E5A3" w14:textId="41FD043F" w:rsidR="00F4401E" w:rsidRPr="00F66808" w:rsidRDefault="00F4401E" w:rsidP="00F66808">
          <w:pPr>
            <w:jc w:val="both"/>
            <w:rPr>
              <w:rFonts w:ascii="Times New Roman" w:hAnsi="Times New Roman" w:cs="Times New Roman"/>
              <w:sz w:val="24"/>
              <w:szCs w:val="24"/>
            </w:rPr>
          </w:pPr>
          <w:r w:rsidRPr="00F66808">
            <w:rPr>
              <w:rFonts w:ascii="Times New Roman" w:hAnsi="Times New Roman" w:cs="Times New Roman"/>
              <w:b/>
              <w:bCs/>
              <w:noProof/>
              <w:sz w:val="24"/>
              <w:szCs w:val="24"/>
            </w:rPr>
            <w:fldChar w:fldCharType="end"/>
          </w:r>
        </w:p>
      </w:sdtContent>
    </w:sdt>
    <w:p w14:paraId="5D8723F1" w14:textId="77777777" w:rsidR="00F4401E" w:rsidRPr="004D11C9" w:rsidRDefault="00F4401E" w:rsidP="004D11C9">
      <w:pPr>
        <w:jc w:val="both"/>
        <w:rPr>
          <w:rFonts w:ascii="Times New Roman" w:eastAsia="Arial" w:hAnsi="Times New Roman" w:cs="Arial"/>
          <w:noProof/>
          <w:sz w:val="24"/>
          <w:szCs w:val="32"/>
        </w:rPr>
      </w:pPr>
    </w:p>
    <w:p w14:paraId="4B665FA3" w14:textId="503865A4" w:rsidR="000A6469" w:rsidRDefault="000A6469" w:rsidP="004D11C9">
      <w:pPr>
        <w:jc w:val="both"/>
        <w:rPr>
          <w:rFonts w:ascii="Times New Roman" w:hAnsi="Times New Roman"/>
          <w:b/>
          <w:sz w:val="24"/>
        </w:rPr>
      </w:pPr>
      <w:r>
        <w:rPr>
          <w:rFonts w:ascii="Times New Roman" w:hAnsi="Times New Roman"/>
          <w:b/>
          <w:sz w:val="24"/>
        </w:rPr>
        <w:t>Ierāmējumi</w:t>
      </w:r>
    </w:p>
    <w:p w14:paraId="1EA03798" w14:textId="03819518" w:rsidR="005411E0" w:rsidRPr="005411E0" w:rsidRDefault="005411E0" w:rsidP="004D11C9">
      <w:pPr>
        <w:jc w:val="both"/>
        <w:rPr>
          <w:rFonts w:ascii="Times New Roman" w:hAnsi="Times New Roman"/>
          <w:bCs/>
          <w:sz w:val="24"/>
        </w:rPr>
      </w:pPr>
    </w:p>
    <w:p w14:paraId="1D416927" w14:textId="3A277647" w:rsidR="005411E0" w:rsidRPr="007348EE" w:rsidRDefault="005411E0" w:rsidP="00CC1B8C">
      <w:pPr>
        <w:tabs>
          <w:tab w:val="left" w:leader="dot" w:pos="8789"/>
        </w:tabs>
        <w:jc w:val="both"/>
        <w:rPr>
          <w:rFonts w:ascii="Times New Roman" w:hAnsi="Times New Roman"/>
          <w:bCs/>
          <w:sz w:val="24"/>
        </w:rPr>
      </w:pPr>
      <w:r w:rsidRPr="007348EE">
        <w:rPr>
          <w:rFonts w:ascii="Times New Roman" w:hAnsi="Times New Roman"/>
          <w:bCs/>
          <w:sz w:val="24"/>
        </w:rPr>
        <w:t>1. ierāmējums. Jaunu noteikumu pārskatīšanas sistēmu piemēri</w:t>
      </w:r>
      <w:r w:rsidR="00CC1B8C">
        <w:rPr>
          <w:rFonts w:ascii="Times New Roman" w:hAnsi="Times New Roman"/>
          <w:bCs/>
          <w:sz w:val="24"/>
        </w:rPr>
        <w:tab/>
      </w:r>
      <w:r w:rsidR="007348EE">
        <w:rPr>
          <w:rFonts w:ascii="Times New Roman" w:hAnsi="Times New Roman"/>
          <w:bCs/>
          <w:sz w:val="24"/>
        </w:rPr>
        <w:t>11</w:t>
      </w:r>
    </w:p>
    <w:p w14:paraId="4B44DD09" w14:textId="774A9816" w:rsidR="005411E0" w:rsidRPr="007348EE" w:rsidRDefault="005411E0" w:rsidP="00CC1B8C">
      <w:pPr>
        <w:tabs>
          <w:tab w:val="left" w:leader="dot" w:pos="8789"/>
          <w:tab w:val="left" w:leader="dot" w:pos="9072"/>
        </w:tabs>
        <w:jc w:val="both"/>
        <w:rPr>
          <w:rFonts w:ascii="Times New Roman" w:hAnsi="Times New Roman"/>
          <w:bCs/>
          <w:sz w:val="24"/>
        </w:rPr>
      </w:pPr>
      <w:r w:rsidRPr="007348EE">
        <w:rPr>
          <w:rFonts w:ascii="Times New Roman" w:hAnsi="Times New Roman"/>
          <w:bCs/>
          <w:sz w:val="24"/>
        </w:rPr>
        <w:t>2. ierāmējums. Tirgus pētījumi un nozaru pētījumi</w:t>
      </w:r>
      <w:r w:rsidR="00CC1B8C">
        <w:rPr>
          <w:rFonts w:ascii="Times New Roman" w:hAnsi="Times New Roman"/>
          <w:bCs/>
          <w:sz w:val="24"/>
        </w:rPr>
        <w:tab/>
      </w:r>
      <w:r w:rsidR="007348EE">
        <w:rPr>
          <w:rFonts w:ascii="Times New Roman" w:hAnsi="Times New Roman"/>
          <w:bCs/>
          <w:sz w:val="24"/>
        </w:rPr>
        <w:t>12</w:t>
      </w:r>
    </w:p>
    <w:p w14:paraId="5F030476" w14:textId="03B9724A" w:rsidR="005411E0" w:rsidRPr="007348EE" w:rsidRDefault="009C7D03" w:rsidP="00CC1B8C">
      <w:pPr>
        <w:tabs>
          <w:tab w:val="left" w:leader="dot" w:pos="8789"/>
          <w:tab w:val="left" w:leader="dot" w:pos="9072"/>
        </w:tabs>
        <w:jc w:val="both"/>
        <w:rPr>
          <w:rFonts w:ascii="Times New Roman" w:hAnsi="Times New Roman"/>
          <w:bCs/>
          <w:sz w:val="24"/>
        </w:rPr>
      </w:pPr>
      <w:r w:rsidRPr="007348EE">
        <w:rPr>
          <w:rFonts w:ascii="Times New Roman" w:hAnsi="Times New Roman"/>
          <w:bCs/>
          <w:sz w:val="24"/>
        </w:rPr>
        <w:t>3. ierāmējums. Grieķijas 2013. gada konkurences novērtēšanas pārskats</w:t>
      </w:r>
      <w:r w:rsidR="00CC1B8C">
        <w:rPr>
          <w:rFonts w:ascii="Times New Roman" w:hAnsi="Times New Roman"/>
          <w:bCs/>
          <w:sz w:val="24"/>
        </w:rPr>
        <w:tab/>
      </w:r>
      <w:r w:rsidR="007348EE">
        <w:rPr>
          <w:rFonts w:ascii="Times New Roman" w:hAnsi="Times New Roman"/>
          <w:bCs/>
          <w:sz w:val="24"/>
        </w:rPr>
        <w:t>13</w:t>
      </w:r>
    </w:p>
    <w:p w14:paraId="4FD519FD" w14:textId="7C6242BE" w:rsidR="005411E0" w:rsidRPr="007348EE" w:rsidRDefault="009C7D03" w:rsidP="00CC1B8C">
      <w:pPr>
        <w:tabs>
          <w:tab w:val="left" w:leader="dot" w:pos="8789"/>
          <w:tab w:val="left" w:leader="dot" w:pos="9072"/>
        </w:tabs>
        <w:jc w:val="both"/>
        <w:rPr>
          <w:rFonts w:ascii="Times New Roman" w:hAnsi="Times New Roman"/>
          <w:bCs/>
          <w:noProof/>
          <w:sz w:val="24"/>
        </w:rPr>
      </w:pPr>
      <w:r w:rsidRPr="007348EE">
        <w:rPr>
          <w:rFonts w:ascii="Times New Roman" w:hAnsi="Times New Roman"/>
          <w:bCs/>
          <w:sz w:val="24"/>
        </w:rPr>
        <w:t>4. ierāmējums. Spēkā esošo normatīvo aktu izskatīšana Meksikā</w:t>
      </w:r>
      <w:r w:rsidR="00CC1B8C">
        <w:rPr>
          <w:rFonts w:ascii="Times New Roman" w:hAnsi="Times New Roman"/>
          <w:bCs/>
          <w:sz w:val="24"/>
        </w:rPr>
        <w:tab/>
      </w:r>
      <w:r w:rsidR="007348EE">
        <w:rPr>
          <w:rFonts w:ascii="Times New Roman" w:hAnsi="Times New Roman"/>
          <w:bCs/>
          <w:sz w:val="24"/>
        </w:rPr>
        <w:t>17</w:t>
      </w:r>
    </w:p>
    <w:p w14:paraId="292885D6" w14:textId="60A76643" w:rsidR="009C7D03" w:rsidRPr="007348EE" w:rsidRDefault="009C7D03" w:rsidP="00CC1B8C">
      <w:pPr>
        <w:tabs>
          <w:tab w:val="left" w:leader="dot" w:pos="8789"/>
          <w:tab w:val="left" w:leader="dot" w:pos="9072"/>
        </w:tabs>
        <w:jc w:val="both"/>
        <w:rPr>
          <w:rFonts w:ascii="Times New Roman" w:hAnsi="Times New Roman"/>
          <w:bCs/>
          <w:noProof/>
          <w:sz w:val="24"/>
        </w:rPr>
      </w:pPr>
      <w:r w:rsidRPr="007348EE">
        <w:rPr>
          <w:rFonts w:ascii="Times New Roman" w:hAnsi="Times New Roman"/>
          <w:bCs/>
          <w:sz w:val="24"/>
        </w:rPr>
        <w:t>5. ierāmējums. Standartizētās nozaru klasifikācijas sistēmas</w:t>
      </w:r>
      <w:r w:rsidR="00CC1B8C">
        <w:rPr>
          <w:rFonts w:ascii="Times New Roman" w:hAnsi="Times New Roman"/>
          <w:bCs/>
          <w:sz w:val="24"/>
        </w:rPr>
        <w:tab/>
      </w:r>
      <w:r w:rsidR="007348EE">
        <w:rPr>
          <w:rFonts w:ascii="Times New Roman" w:hAnsi="Times New Roman"/>
          <w:bCs/>
          <w:sz w:val="24"/>
        </w:rPr>
        <w:t>18</w:t>
      </w:r>
    </w:p>
    <w:p w14:paraId="1969880C" w14:textId="110B0045" w:rsidR="009C7D03" w:rsidRPr="007348EE" w:rsidRDefault="009C7D03" w:rsidP="00CC1B8C">
      <w:pPr>
        <w:tabs>
          <w:tab w:val="left" w:leader="dot" w:pos="8789"/>
          <w:tab w:val="left" w:leader="dot" w:pos="9072"/>
        </w:tabs>
        <w:jc w:val="both"/>
        <w:rPr>
          <w:rFonts w:ascii="Times New Roman" w:hAnsi="Times New Roman"/>
          <w:bCs/>
          <w:noProof/>
          <w:sz w:val="24"/>
        </w:rPr>
      </w:pPr>
      <w:r w:rsidRPr="007348EE">
        <w:rPr>
          <w:rFonts w:ascii="Times New Roman" w:hAnsi="Times New Roman"/>
          <w:bCs/>
          <w:sz w:val="24"/>
        </w:rPr>
        <w:t>6. ierāmējums. Būtiskā tiesiskā regulējuma atrašanas sarežģītība</w:t>
      </w:r>
      <w:r w:rsidR="00CC1B8C">
        <w:rPr>
          <w:rFonts w:ascii="Times New Roman" w:hAnsi="Times New Roman"/>
          <w:bCs/>
          <w:sz w:val="24"/>
        </w:rPr>
        <w:tab/>
      </w:r>
      <w:r w:rsidR="007348EE">
        <w:rPr>
          <w:rFonts w:ascii="Times New Roman" w:hAnsi="Times New Roman"/>
          <w:bCs/>
          <w:sz w:val="24"/>
        </w:rPr>
        <w:t>20</w:t>
      </w:r>
    </w:p>
    <w:p w14:paraId="14B7C49F" w14:textId="6E160811" w:rsidR="009C7D03" w:rsidRPr="007348EE" w:rsidRDefault="009C7D03" w:rsidP="00CC1B8C">
      <w:pPr>
        <w:tabs>
          <w:tab w:val="left" w:leader="dot" w:pos="8789"/>
          <w:tab w:val="left" w:leader="dot" w:pos="9072"/>
        </w:tabs>
        <w:jc w:val="both"/>
        <w:rPr>
          <w:rFonts w:ascii="Times New Roman" w:hAnsi="Times New Roman"/>
          <w:bCs/>
          <w:noProof/>
          <w:sz w:val="24"/>
        </w:rPr>
      </w:pPr>
      <w:r w:rsidRPr="007348EE">
        <w:rPr>
          <w:rFonts w:ascii="Times New Roman" w:hAnsi="Times New Roman"/>
          <w:bCs/>
          <w:sz w:val="24"/>
        </w:rPr>
        <w:t>7. ierāmējums. Tūrisma nozares kartēšana Grieķijā</w:t>
      </w:r>
      <w:r w:rsidR="00CC1B8C">
        <w:rPr>
          <w:rFonts w:ascii="Times New Roman" w:hAnsi="Times New Roman"/>
          <w:bCs/>
          <w:sz w:val="24"/>
        </w:rPr>
        <w:tab/>
      </w:r>
      <w:r w:rsidR="007348EE">
        <w:rPr>
          <w:rFonts w:ascii="Times New Roman" w:hAnsi="Times New Roman"/>
          <w:bCs/>
          <w:sz w:val="24"/>
        </w:rPr>
        <w:t>21</w:t>
      </w:r>
    </w:p>
    <w:p w14:paraId="4BA0F22F" w14:textId="77777777" w:rsidR="009C7D03" w:rsidRDefault="009C7D03" w:rsidP="00CC1B8C">
      <w:pPr>
        <w:tabs>
          <w:tab w:val="left" w:leader="dot" w:pos="8789"/>
          <w:tab w:val="left" w:leader="dot" w:pos="9072"/>
        </w:tabs>
        <w:jc w:val="both"/>
        <w:rPr>
          <w:rFonts w:ascii="Times New Roman" w:hAnsi="Times New Roman"/>
          <w:b/>
          <w:sz w:val="24"/>
        </w:rPr>
      </w:pPr>
    </w:p>
    <w:p w14:paraId="2521D183" w14:textId="5E406C6F" w:rsidR="009C7D03" w:rsidRDefault="009C7D03" w:rsidP="00CC1B8C">
      <w:pPr>
        <w:tabs>
          <w:tab w:val="left" w:leader="dot" w:pos="8789"/>
          <w:tab w:val="left" w:leader="dot" w:pos="9072"/>
        </w:tabs>
        <w:jc w:val="both"/>
        <w:rPr>
          <w:rFonts w:ascii="Times New Roman" w:hAnsi="Times New Roman"/>
          <w:b/>
          <w:sz w:val="24"/>
        </w:rPr>
      </w:pPr>
      <w:r>
        <w:rPr>
          <w:rFonts w:ascii="Times New Roman" w:hAnsi="Times New Roman"/>
          <w:b/>
          <w:sz w:val="24"/>
        </w:rPr>
        <w:t>Detalizēts piemērs. Ieteikumi par konkurenci farmaceitisko līdzekļu nozarē</w:t>
      </w:r>
      <w:r w:rsidR="00CC1B8C">
        <w:rPr>
          <w:rFonts w:ascii="Times New Roman" w:hAnsi="Times New Roman"/>
          <w:b/>
          <w:sz w:val="24"/>
        </w:rPr>
        <w:tab/>
      </w:r>
      <w:r w:rsidR="005932ED">
        <w:rPr>
          <w:rFonts w:ascii="Times New Roman" w:hAnsi="Times New Roman"/>
          <w:b/>
          <w:sz w:val="24"/>
        </w:rPr>
        <w:t>21</w:t>
      </w:r>
    </w:p>
    <w:p w14:paraId="53D2AEFB" w14:textId="77777777" w:rsidR="009C7D03" w:rsidRDefault="009C7D03" w:rsidP="00CC1B8C">
      <w:pPr>
        <w:tabs>
          <w:tab w:val="left" w:leader="dot" w:pos="8789"/>
          <w:tab w:val="left" w:leader="dot" w:pos="9072"/>
        </w:tabs>
        <w:jc w:val="both"/>
        <w:rPr>
          <w:rFonts w:ascii="Times New Roman" w:hAnsi="Times New Roman"/>
          <w:b/>
          <w:sz w:val="24"/>
        </w:rPr>
      </w:pPr>
    </w:p>
    <w:p w14:paraId="0E36F249" w14:textId="688CCCB1" w:rsidR="009C7D03" w:rsidRPr="007348EE" w:rsidRDefault="009C7D03" w:rsidP="00CC1B8C">
      <w:pPr>
        <w:tabs>
          <w:tab w:val="left" w:leader="dot" w:pos="8789"/>
          <w:tab w:val="left" w:leader="dot" w:pos="9072"/>
        </w:tabs>
        <w:jc w:val="both"/>
        <w:rPr>
          <w:rFonts w:ascii="Times New Roman" w:hAnsi="Times New Roman"/>
          <w:bCs/>
          <w:noProof/>
          <w:sz w:val="24"/>
        </w:rPr>
      </w:pPr>
      <w:r w:rsidRPr="007348EE">
        <w:rPr>
          <w:rFonts w:ascii="Times New Roman" w:hAnsi="Times New Roman"/>
          <w:bCs/>
          <w:sz w:val="24"/>
        </w:rPr>
        <w:t>8. ierāmējums. Koncesijas ūdensapgādes tirgū</w:t>
      </w:r>
      <w:r w:rsidR="00CC1B8C">
        <w:rPr>
          <w:rFonts w:ascii="Times New Roman" w:hAnsi="Times New Roman"/>
          <w:bCs/>
          <w:sz w:val="24"/>
        </w:rPr>
        <w:tab/>
      </w:r>
      <w:r w:rsidR="005932ED">
        <w:rPr>
          <w:rFonts w:ascii="Times New Roman" w:hAnsi="Times New Roman"/>
          <w:bCs/>
          <w:sz w:val="24"/>
        </w:rPr>
        <w:t>26</w:t>
      </w:r>
    </w:p>
    <w:p w14:paraId="3DB4F6B4" w14:textId="7C95917E" w:rsidR="009C7D03" w:rsidRPr="007348EE" w:rsidRDefault="009C7D03" w:rsidP="00CC1B8C">
      <w:pPr>
        <w:tabs>
          <w:tab w:val="left" w:leader="dot" w:pos="8789"/>
          <w:tab w:val="left" w:leader="dot" w:pos="9072"/>
        </w:tabs>
        <w:jc w:val="both"/>
        <w:rPr>
          <w:rFonts w:ascii="Times New Roman" w:hAnsi="Times New Roman"/>
          <w:bCs/>
          <w:noProof/>
          <w:sz w:val="24"/>
        </w:rPr>
      </w:pPr>
      <w:r w:rsidRPr="007348EE">
        <w:rPr>
          <w:rFonts w:ascii="Times New Roman" w:hAnsi="Times New Roman"/>
          <w:bCs/>
          <w:sz w:val="24"/>
        </w:rPr>
        <w:t>9. ierāmējums. Lidostas koncesija</w:t>
      </w:r>
      <w:r w:rsidR="00CC1B8C">
        <w:rPr>
          <w:rFonts w:ascii="Times New Roman" w:hAnsi="Times New Roman"/>
          <w:bCs/>
          <w:sz w:val="24"/>
        </w:rPr>
        <w:tab/>
      </w:r>
      <w:r w:rsidR="005932ED">
        <w:rPr>
          <w:rFonts w:ascii="Times New Roman" w:hAnsi="Times New Roman"/>
          <w:bCs/>
          <w:sz w:val="24"/>
        </w:rPr>
        <w:t>26</w:t>
      </w:r>
    </w:p>
    <w:p w14:paraId="6E3AEFA2" w14:textId="10FB7DE5" w:rsidR="009C7D03" w:rsidRPr="007348EE" w:rsidRDefault="009C7D03" w:rsidP="00CC1B8C">
      <w:pPr>
        <w:tabs>
          <w:tab w:val="left" w:leader="dot" w:pos="8789"/>
          <w:tab w:val="left" w:leader="dot" w:pos="9072"/>
        </w:tabs>
        <w:jc w:val="both"/>
        <w:rPr>
          <w:rFonts w:ascii="Times New Roman" w:hAnsi="Times New Roman"/>
          <w:bCs/>
          <w:noProof/>
          <w:sz w:val="24"/>
        </w:rPr>
      </w:pPr>
      <w:r w:rsidRPr="007348EE">
        <w:rPr>
          <w:rFonts w:ascii="Times New Roman" w:hAnsi="Times New Roman"/>
          <w:bCs/>
          <w:sz w:val="24"/>
        </w:rPr>
        <w:t>10. ierāmējums. Taksometru licencēšana</w:t>
      </w:r>
      <w:r w:rsidR="00CC1B8C">
        <w:rPr>
          <w:rFonts w:ascii="Times New Roman" w:hAnsi="Times New Roman"/>
          <w:bCs/>
          <w:sz w:val="24"/>
        </w:rPr>
        <w:tab/>
      </w:r>
      <w:r w:rsidR="005932ED">
        <w:rPr>
          <w:rFonts w:ascii="Times New Roman" w:hAnsi="Times New Roman"/>
          <w:bCs/>
          <w:sz w:val="24"/>
        </w:rPr>
        <w:t>26</w:t>
      </w:r>
    </w:p>
    <w:p w14:paraId="5C898EA7" w14:textId="1B197C0E" w:rsidR="009C7D03" w:rsidRPr="007348EE" w:rsidRDefault="009846D8" w:rsidP="00CC1B8C">
      <w:pPr>
        <w:tabs>
          <w:tab w:val="left" w:leader="dot" w:pos="8789"/>
          <w:tab w:val="left" w:leader="dot" w:pos="9072"/>
        </w:tabs>
        <w:jc w:val="both"/>
        <w:rPr>
          <w:rFonts w:ascii="Times New Roman" w:hAnsi="Times New Roman"/>
          <w:bCs/>
          <w:noProof/>
          <w:sz w:val="24"/>
        </w:rPr>
      </w:pPr>
      <w:r w:rsidRPr="007348EE">
        <w:rPr>
          <w:rFonts w:ascii="Times New Roman" w:hAnsi="Times New Roman"/>
          <w:bCs/>
          <w:sz w:val="24"/>
        </w:rPr>
        <w:t>11. ierāmējums. Licences, atļaujas un pilnvarojumi digitalizētu pakalpojumu sniegšanai</w:t>
      </w:r>
      <w:r w:rsidR="00CC1B8C">
        <w:rPr>
          <w:rFonts w:ascii="Times New Roman" w:hAnsi="Times New Roman"/>
          <w:bCs/>
          <w:sz w:val="24"/>
        </w:rPr>
        <w:tab/>
      </w:r>
      <w:r w:rsidR="005932ED">
        <w:rPr>
          <w:rFonts w:ascii="Times New Roman" w:hAnsi="Times New Roman"/>
          <w:bCs/>
          <w:sz w:val="24"/>
        </w:rPr>
        <w:t>27</w:t>
      </w:r>
    </w:p>
    <w:p w14:paraId="3EA00EE8" w14:textId="3BB8F1F7" w:rsidR="009C7D03" w:rsidRPr="007348EE" w:rsidRDefault="009846D8" w:rsidP="00CC1B8C">
      <w:pPr>
        <w:tabs>
          <w:tab w:val="left" w:leader="dot" w:pos="8789"/>
          <w:tab w:val="left" w:leader="dot" w:pos="9072"/>
        </w:tabs>
        <w:jc w:val="both"/>
        <w:rPr>
          <w:rFonts w:ascii="Times New Roman" w:hAnsi="Times New Roman"/>
          <w:bCs/>
          <w:noProof/>
          <w:sz w:val="24"/>
        </w:rPr>
      </w:pPr>
      <w:r w:rsidRPr="007348EE">
        <w:rPr>
          <w:rFonts w:ascii="Times New Roman" w:hAnsi="Times New Roman"/>
          <w:bCs/>
          <w:sz w:val="24"/>
        </w:rPr>
        <w:t>12. ierāmējums. Mēslošanas līdzekļu atbalsta programma. Minimālais darbības laiks</w:t>
      </w:r>
      <w:r w:rsidR="00CC1B8C">
        <w:rPr>
          <w:rFonts w:ascii="Times New Roman" w:hAnsi="Times New Roman"/>
          <w:bCs/>
          <w:sz w:val="24"/>
        </w:rPr>
        <w:tab/>
      </w:r>
      <w:r w:rsidR="005932ED">
        <w:rPr>
          <w:rFonts w:ascii="Times New Roman" w:hAnsi="Times New Roman"/>
          <w:bCs/>
          <w:sz w:val="24"/>
        </w:rPr>
        <w:t>28</w:t>
      </w:r>
    </w:p>
    <w:p w14:paraId="56A765DA" w14:textId="41275225" w:rsidR="009C7D03" w:rsidRPr="007348EE" w:rsidRDefault="009846D8" w:rsidP="00CC1B8C">
      <w:pPr>
        <w:tabs>
          <w:tab w:val="left" w:leader="dot" w:pos="8789"/>
          <w:tab w:val="left" w:leader="dot" w:pos="9072"/>
        </w:tabs>
        <w:jc w:val="both"/>
        <w:rPr>
          <w:rFonts w:ascii="Times New Roman" w:hAnsi="Times New Roman"/>
          <w:bCs/>
          <w:noProof/>
          <w:sz w:val="24"/>
        </w:rPr>
      </w:pPr>
      <w:r w:rsidRPr="007348EE">
        <w:rPr>
          <w:rFonts w:ascii="Times New Roman" w:hAnsi="Times New Roman"/>
          <w:bCs/>
          <w:sz w:val="24"/>
        </w:rPr>
        <w:t>13. ierāmējums. Latvija. Vietējo ierobežojumu piemērs</w:t>
      </w:r>
      <w:r w:rsidR="00CC1B8C">
        <w:rPr>
          <w:rFonts w:ascii="Times New Roman" w:hAnsi="Times New Roman"/>
          <w:bCs/>
          <w:sz w:val="24"/>
        </w:rPr>
        <w:tab/>
      </w:r>
      <w:r w:rsidR="005932ED">
        <w:rPr>
          <w:rFonts w:ascii="Times New Roman" w:hAnsi="Times New Roman"/>
          <w:bCs/>
          <w:sz w:val="24"/>
        </w:rPr>
        <w:t>28</w:t>
      </w:r>
    </w:p>
    <w:p w14:paraId="31826AB2" w14:textId="1C871EE0" w:rsidR="005411E0" w:rsidRPr="007348EE" w:rsidRDefault="009846D8" w:rsidP="00CC1B8C">
      <w:pPr>
        <w:tabs>
          <w:tab w:val="left" w:leader="dot" w:pos="8789"/>
          <w:tab w:val="left" w:leader="dot" w:pos="9072"/>
        </w:tabs>
        <w:jc w:val="both"/>
        <w:rPr>
          <w:rFonts w:ascii="Times New Roman" w:hAnsi="Times New Roman"/>
          <w:bCs/>
          <w:noProof/>
          <w:sz w:val="24"/>
        </w:rPr>
      </w:pPr>
      <w:r w:rsidRPr="007348EE">
        <w:rPr>
          <w:rFonts w:ascii="Times New Roman" w:hAnsi="Times New Roman"/>
          <w:bCs/>
          <w:sz w:val="24"/>
        </w:rPr>
        <w:t>14. ierāmējums. Ierobežojumi attiecībā uz digitalizētiem piegādātājiem</w:t>
      </w:r>
      <w:r w:rsidR="00CC1B8C">
        <w:rPr>
          <w:rFonts w:ascii="Times New Roman" w:hAnsi="Times New Roman"/>
          <w:bCs/>
          <w:sz w:val="24"/>
        </w:rPr>
        <w:tab/>
      </w:r>
      <w:r w:rsidR="005932ED">
        <w:rPr>
          <w:rFonts w:ascii="Times New Roman" w:hAnsi="Times New Roman"/>
          <w:bCs/>
          <w:sz w:val="24"/>
        </w:rPr>
        <w:t>28</w:t>
      </w:r>
    </w:p>
    <w:p w14:paraId="1727BC02" w14:textId="06B82B27" w:rsidR="009846D8" w:rsidRPr="007348EE" w:rsidRDefault="009846D8" w:rsidP="00CC1B8C">
      <w:pPr>
        <w:tabs>
          <w:tab w:val="left" w:leader="dot" w:pos="8789"/>
          <w:tab w:val="left" w:leader="dot" w:pos="9072"/>
        </w:tabs>
        <w:jc w:val="both"/>
        <w:rPr>
          <w:rFonts w:ascii="Times New Roman" w:hAnsi="Times New Roman"/>
          <w:bCs/>
          <w:noProof/>
          <w:sz w:val="24"/>
        </w:rPr>
      </w:pPr>
      <w:r w:rsidRPr="007348EE">
        <w:rPr>
          <w:rFonts w:ascii="Times New Roman" w:hAnsi="Times New Roman"/>
          <w:bCs/>
          <w:sz w:val="24"/>
        </w:rPr>
        <w:t>15. ierāmējums. Eksperimentu atkārtošanas prasība</w:t>
      </w:r>
      <w:r w:rsidR="00CC1B8C">
        <w:rPr>
          <w:rFonts w:ascii="Times New Roman" w:hAnsi="Times New Roman"/>
          <w:bCs/>
          <w:sz w:val="24"/>
        </w:rPr>
        <w:tab/>
      </w:r>
      <w:r w:rsidR="005932ED">
        <w:rPr>
          <w:rFonts w:ascii="Times New Roman" w:hAnsi="Times New Roman"/>
          <w:bCs/>
          <w:sz w:val="24"/>
        </w:rPr>
        <w:t>30</w:t>
      </w:r>
    </w:p>
    <w:p w14:paraId="098EEEF2" w14:textId="625C3E59" w:rsidR="009846D8" w:rsidRPr="007348EE" w:rsidRDefault="009846D8" w:rsidP="00CC1B8C">
      <w:pPr>
        <w:tabs>
          <w:tab w:val="left" w:leader="dot" w:pos="8789"/>
          <w:tab w:val="left" w:leader="dot" w:pos="9072"/>
        </w:tabs>
        <w:jc w:val="both"/>
        <w:rPr>
          <w:rFonts w:ascii="Times New Roman" w:hAnsi="Times New Roman"/>
          <w:bCs/>
          <w:noProof/>
          <w:sz w:val="24"/>
        </w:rPr>
      </w:pPr>
      <w:r w:rsidRPr="007348EE">
        <w:rPr>
          <w:rFonts w:ascii="Times New Roman" w:hAnsi="Times New Roman"/>
          <w:bCs/>
          <w:sz w:val="24"/>
        </w:rPr>
        <w:t>16. ierāmējums. Revīzijas prasības uzņēmumiem, kas izbeidz darbību</w:t>
      </w:r>
      <w:r w:rsidR="00CC1B8C">
        <w:rPr>
          <w:rFonts w:ascii="Times New Roman" w:hAnsi="Times New Roman"/>
          <w:bCs/>
          <w:sz w:val="24"/>
        </w:rPr>
        <w:tab/>
      </w:r>
      <w:r w:rsidR="005932ED">
        <w:rPr>
          <w:rFonts w:ascii="Times New Roman" w:hAnsi="Times New Roman"/>
          <w:bCs/>
          <w:sz w:val="24"/>
        </w:rPr>
        <w:t>30</w:t>
      </w:r>
    </w:p>
    <w:p w14:paraId="57E3597E" w14:textId="07D0CB9B" w:rsidR="009846D8" w:rsidRPr="007348EE" w:rsidRDefault="009846D8" w:rsidP="00CC1B8C">
      <w:pPr>
        <w:tabs>
          <w:tab w:val="left" w:leader="dot" w:pos="8789"/>
          <w:tab w:val="left" w:leader="dot" w:pos="9072"/>
        </w:tabs>
        <w:jc w:val="both"/>
        <w:rPr>
          <w:rFonts w:ascii="Times New Roman" w:hAnsi="Times New Roman"/>
          <w:bCs/>
          <w:noProof/>
          <w:sz w:val="24"/>
        </w:rPr>
      </w:pPr>
      <w:r w:rsidRPr="007348EE">
        <w:rPr>
          <w:rFonts w:ascii="Times New Roman" w:hAnsi="Times New Roman"/>
          <w:bCs/>
          <w:sz w:val="24"/>
        </w:rPr>
        <w:t>17. ierāmējums. Fiziskas klātbūtnes un minimālā apjoma prasības</w:t>
      </w:r>
      <w:r w:rsidR="00CC1B8C">
        <w:rPr>
          <w:rFonts w:ascii="Times New Roman" w:hAnsi="Times New Roman"/>
          <w:bCs/>
          <w:sz w:val="24"/>
        </w:rPr>
        <w:tab/>
      </w:r>
      <w:r w:rsidR="005932ED">
        <w:rPr>
          <w:rFonts w:ascii="Times New Roman" w:hAnsi="Times New Roman"/>
          <w:bCs/>
          <w:sz w:val="24"/>
        </w:rPr>
        <w:t>30</w:t>
      </w:r>
    </w:p>
    <w:p w14:paraId="7E72AF7A" w14:textId="701FA2AB" w:rsidR="009846D8" w:rsidRPr="007348EE" w:rsidRDefault="009846D8" w:rsidP="00CC1B8C">
      <w:pPr>
        <w:tabs>
          <w:tab w:val="left" w:leader="dot" w:pos="8789"/>
          <w:tab w:val="left" w:leader="dot" w:pos="9072"/>
        </w:tabs>
        <w:jc w:val="both"/>
        <w:rPr>
          <w:rFonts w:ascii="Times New Roman" w:hAnsi="Times New Roman"/>
          <w:bCs/>
          <w:sz w:val="24"/>
        </w:rPr>
      </w:pPr>
      <w:r w:rsidRPr="007348EE">
        <w:rPr>
          <w:rFonts w:ascii="Times New Roman" w:hAnsi="Times New Roman"/>
          <w:bCs/>
          <w:sz w:val="24"/>
        </w:rPr>
        <w:t>18. ierāmējums. Ģeogrāfiskas apkalpošanas zonas</w:t>
      </w:r>
      <w:r w:rsidR="00CC1B8C">
        <w:rPr>
          <w:rFonts w:ascii="Times New Roman" w:hAnsi="Times New Roman"/>
          <w:bCs/>
          <w:sz w:val="24"/>
        </w:rPr>
        <w:tab/>
      </w:r>
      <w:r w:rsidR="005932ED">
        <w:rPr>
          <w:rFonts w:ascii="Times New Roman" w:hAnsi="Times New Roman"/>
          <w:bCs/>
          <w:sz w:val="24"/>
        </w:rPr>
        <w:t>30</w:t>
      </w:r>
    </w:p>
    <w:p w14:paraId="42B00BF5" w14:textId="08B05E27" w:rsidR="009846D8" w:rsidRPr="007348EE" w:rsidRDefault="009846D8" w:rsidP="00CC1B8C">
      <w:pPr>
        <w:tabs>
          <w:tab w:val="left" w:leader="dot" w:pos="8789"/>
          <w:tab w:val="left" w:leader="dot" w:pos="9072"/>
        </w:tabs>
        <w:jc w:val="both"/>
        <w:rPr>
          <w:rFonts w:ascii="Times New Roman" w:hAnsi="Times New Roman"/>
          <w:bCs/>
          <w:sz w:val="24"/>
        </w:rPr>
      </w:pPr>
      <w:r w:rsidRPr="007348EE">
        <w:rPr>
          <w:rFonts w:ascii="Times New Roman" w:hAnsi="Times New Roman"/>
          <w:bCs/>
          <w:sz w:val="24"/>
        </w:rPr>
        <w:t>19. ierāmējums. Marķēšanas prasības</w:t>
      </w:r>
      <w:r w:rsidR="00CC1B8C">
        <w:rPr>
          <w:rFonts w:ascii="Times New Roman" w:hAnsi="Times New Roman"/>
          <w:bCs/>
          <w:sz w:val="24"/>
        </w:rPr>
        <w:tab/>
      </w:r>
      <w:r w:rsidR="005932ED">
        <w:rPr>
          <w:rFonts w:ascii="Times New Roman" w:hAnsi="Times New Roman"/>
          <w:bCs/>
          <w:sz w:val="24"/>
        </w:rPr>
        <w:t>31</w:t>
      </w:r>
    </w:p>
    <w:p w14:paraId="5E5C805E" w14:textId="7118C486" w:rsidR="009846D8" w:rsidRPr="007348EE" w:rsidRDefault="009846D8" w:rsidP="00CC1B8C">
      <w:pPr>
        <w:tabs>
          <w:tab w:val="left" w:leader="dot" w:pos="8789"/>
          <w:tab w:val="left" w:leader="dot" w:pos="9072"/>
        </w:tabs>
        <w:jc w:val="both"/>
        <w:rPr>
          <w:rFonts w:ascii="Times New Roman" w:hAnsi="Times New Roman"/>
          <w:bCs/>
          <w:sz w:val="24"/>
        </w:rPr>
      </w:pPr>
      <w:r w:rsidRPr="007348EE">
        <w:rPr>
          <w:rFonts w:ascii="Times New Roman" w:hAnsi="Times New Roman"/>
          <w:bCs/>
          <w:sz w:val="24"/>
        </w:rPr>
        <w:t>20. ierāmējums. Maksimālais uzcenojums</w:t>
      </w:r>
      <w:r w:rsidR="00CC1B8C">
        <w:rPr>
          <w:rFonts w:ascii="Times New Roman" w:hAnsi="Times New Roman"/>
          <w:bCs/>
          <w:sz w:val="24"/>
        </w:rPr>
        <w:tab/>
      </w:r>
      <w:r w:rsidR="005932ED">
        <w:rPr>
          <w:rFonts w:ascii="Times New Roman" w:hAnsi="Times New Roman"/>
          <w:bCs/>
          <w:sz w:val="24"/>
        </w:rPr>
        <w:t>32</w:t>
      </w:r>
    </w:p>
    <w:p w14:paraId="561CFCFE" w14:textId="5E383806" w:rsidR="009846D8" w:rsidRPr="007348EE" w:rsidRDefault="009846D8" w:rsidP="00CC1B8C">
      <w:pPr>
        <w:tabs>
          <w:tab w:val="left" w:leader="dot" w:pos="8789"/>
          <w:tab w:val="left" w:leader="dot" w:pos="9072"/>
        </w:tabs>
        <w:jc w:val="both"/>
        <w:rPr>
          <w:rFonts w:ascii="Times New Roman" w:hAnsi="Times New Roman"/>
          <w:bCs/>
          <w:sz w:val="24"/>
        </w:rPr>
      </w:pPr>
      <w:r w:rsidRPr="007348EE">
        <w:rPr>
          <w:rFonts w:ascii="Times New Roman" w:hAnsi="Times New Roman"/>
          <w:bCs/>
          <w:sz w:val="24"/>
        </w:rPr>
        <w:t>21. ierāmējums. Reklamēšanas ierobežojumi optiķiem</w:t>
      </w:r>
      <w:r w:rsidR="00CC1B8C">
        <w:rPr>
          <w:rFonts w:ascii="Times New Roman" w:hAnsi="Times New Roman"/>
          <w:bCs/>
          <w:sz w:val="24"/>
        </w:rPr>
        <w:tab/>
      </w:r>
      <w:r w:rsidR="005932ED">
        <w:rPr>
          <w:rFonts w:ascii="Times New Roman" w:hAnsi="Times New Roman"/>
          <w:bCs/>
          <w:sz w:val="24"/>
        </w:rPr>
        <w:t>32</w:t>
      </w:r>
    </w:p>
    <w:p w14:paraId="1447AF1F" w14:textId="2DCA1506" w:rsidR="009846D8" w:rsidRPr="007348EE" w:rsidRDefault="009846D8" w:rsidP="00CC1B8C">
      <w:pPr>
        <w:tabs>
          <w:tab w:val="left" w:leader="dot" w:pos="8789"/>
          <w:tab w:val="left" w:leader="dot" w:pos="9072"/>
        </w:tabs>
        <w:jc w:val="both"/>
        <w:rPr>
          <w:rFonts w:ascii="Times New Roman" w:hAnsi="Times New Roman"/>
          <w:bCs/>
          <w:sz w:val="24"/>
        </w:rPr>
      </w:pPr>
      <w:r w:rsidRPr="007348EE">
        <w:rPr>
          <w:rFonts w:ascii="Times New Roman" w:hAnsi="Times New Roman"/>
          <w:bCs/>
          <w:sz w:val="24"/>
        </w:rPr>
        <w:t>22. ierāmējums. Reklamēšanas nodokļi</w:t>
      </w:r>
      <w:r w:rsidR="00CC1B8C">
        <w:rPr>
          <w:rFonts w:ascii="Times New Roman" w:hAnsi="Times New Roman"/>
          <w:bCs/>
          <w:sz w:val="24"/>
        </w:rPr>
        <w:tab/>
      </w:r>
      <w:r w:rsidR="005932ED">
        <w:rPr>
          <w:rFonts w:ascii="Times New Roman" w:hAnsi="Times New Roman"/>
          <w:bCs/>
          <w:sz w:val="24"/>
        </w:rPr>
        <w:t>33</w:t>
      </w:r>
    </w:p>
    <w:p w14:paraId="10D5F519" w14:textId="3C954EA9" w:rsidR="009846D8" w:rsidRPr="007348EE" w:rsidRDefault="009846D8" w:rsidP="00CC1B8C">
      <w:pPr>
        <w:tabs>
          <w:tab w:val="left" w:leader="dot" w:pos="8789"/>
          <w:tab w:val="left" w:leader="dot" w:pos="9072"/>
        </w:tabs>
        <w:jc w:val="both"/>
        <w:rPr>
          <w:rFonts w:ascii="Times New Roman" w:hAnsi="Times New Roman"/>
          <w:bCs/>
          <w:noProof/>
          <w:sz w:val="24"/>
        </w:rPr>
      </w:pPr>
      <w:r w:rsidRPr="007348EE">
        <w:rPr>
          <w:rFonts w:ascii="Times New Roman" w:hAnsi="Times New Roman"/>
          <w:bCs/>
          <w:sz w:val="24"/>
        </w:rPr>
        <w:t>23. ierāmējums. Plaša profesionālā licencēšana</w:t>
      </w:r>
      <w:r w:rsidR="00CC1B8C">
        <w:rPr>
          <w:rFonts w:ascii="Times New Roman" w:hAnsi="Times New Roman"/>
          <w:bCs/>
          <w:sz w:val="24"/>
        </w:rPr>
        <w:tab/>
      </w:r>
      <w:r w:rsidR="005932ED">
        <w:rPr>
          <w:rFonts w:ascii="Times New Roman" w:hAnsi="Times New Roman"/>
          <w:bCs/>
          <w:sz w:val="24"/>
        </w:rPr>
        <w:t>33</w:t>
      </w:r>
    </w:p>
    <w:p w14:paraId="1F18EDAB" w14:textId="46F78E2C" w:rsidR="009846D8" w:rsidRPr="007348EE" w:rsidRDefault="009846D8" w:rsidP="00CC1B8C">
      <w:pPr>
        <w:tabs>
          <w:tab w:val="left" w:leader="dot" w:pos="8789"/>
          <w:tab w:val="left" w:leader="dot" w:pos="9072"/>
        </w:tabs>
        <w:jc w:val="both"/>
        <w:rPr>
          <w:rFonts w:ascii="Times New Roman" w:hAnsi="Times New Roman"/>
          <w:bCs/>
          <w:noProof/>
          <w:sz w:val="24"/>
        </w:rPr>
      </w:pPr>
      <w:r w:rsidRPr="007348EE">
        <w:rPr>
          <w:rFonts w:ascii="Times New Roman" w:hAnsi="Times New Roman"/>
          <w:bCs/>
          <w:sz w:val="24"/>
        </w:rPr>
        <w:t>24. ierāmējums. Digitālie pakalpojumi un tradicionālie pakalpojumi</w:t>
      </w:r>
      <w:r w:rsidR="00CC1B8C">
        <w:rPr>
          <w:rFonts w:ascii="Times New Roman" w:hAnsi="Times New Roman"/>
          <w:bCs/>
          <w:sz w:val="24"/>
        </w:rPr>
        <w:tab/>
      </w:r>
      <w:r w:rsidR="005932ED">
        <w:rPr>
          <w:rFonts w:ascii="Times New Roman" w:hAnsi="Times New Roman"/>
          <w:bCs/>
          <w:sz w:val="24"/>
        </w:rPr>
        <w:t>34</w:t>
      </w:r>
    </w:p>
    <w:p w14:paraId="51176B46" w14:textId="22161397" w:rsidR="009846D8" w:rsidRPr="007348EE" w:rsidRDefault="009846D8" w:rsidP="00CC1B8C">
      <w:pPr>
        <w:tabs>
          <w:tab w:val="left" w:leader="dot" w:pos="8789"/>
          <w:tab w:val="left" w:leader="dot" w:pos="9072"/>
        </w:tabs>
        <w:jc w:val="both"/>
        <w:rPr>
          <w:rFonts w:ascii="Times New Roman" w:hAnsi="Times New Roman"/>
          <w:bCs/>
          <w:noProof/>
          <w:sz w:val="24"/>
        </w:rPr>
      </w:pPr>
      <w:r w:rsidRPr="007348EE">
        <w:rPr>
          <w:rFonts w:ascii="Times New Roman" w:hAnsi="Times New Roman"/>
          <w:bCs/>
          <w:sz w:val="24"/>
        </w:rPr>
        <w:t>25. ierāmējums. Subsīdijas uzņēmuma ilgtermiņa dzīvotspējas nodrošināšanai</w:t>
      </w:r>
      <w:r w:rsidR="00CC1B8C">
        <w:rPr>
          <w:rFonts w:ascii="Times New Roman" w:hAnsi="Times New Roman"/>
          <w:bCs/>
          <w:sz w:val="24"/>
        </w:rPr>
        <w:tab/>
      </w:r>
      <w:r w:rsidR="005932ED">
        <w:rPr>
          <w:rFonts w:ascii="Times New Roman" w:hAnsi="Times New Roman"/>
          <w:bCs/>
          <w:sz w:val="24"/>
        </w:rPr>
        <w:t>34</w:t>
      </w:r>
    </w:p>
    <w:p w14:paraId="34A41DD1" w14:textId="43FA4705" w:rsidR="009846D8" w:rsidRPr="007348EE" w:rsidRDefault="009846D8" w:rsidP="00CC1B8C">
      <w:pPr>
        <w:tabs>
          <w:tab w:val="left" w:leader="dot" w:pos="8789"/>
          <w:tab w:val="left" w:leader="dot" w:pos="9072"/>
        </w:tabs>
        <w:jc w:val="both"/>
        <w:rPr>
          <w:rFonts w:ascii="Times New Roman" w:hAnsi="Times New Roman"/>
          <w:bCs/>
          <w:noProof/>
          <w:sz w:val="24"/>
        </w:rPr>
      </w:pPr>
      <w:r w:rsidRPr="007348EE">
        <w:rPr>
          <w:rFonts w:ascii="Times New Roman" w:hAnsi="Times New Roman"/>
          <w:bCs/>
          <w:sz w:val="24"/>
        </w:rPr>
        <w:t>26. ierāmējums. Pašregulācija un minimālās cenas</w:t>
      </w:r>
      <w:r w:rsidR="00CC1B8C">
        <w:rPr>
          <w:rFonts w:ascii="Times New Roman" w:hAnsi="Times New Roman"/>
          <w:bCs/>
          <w:sz w:val="24"/>
        </w:rPr>
        <w:tab/>
      </w:r>
      <w:r w:rsidR="005932ED">
        <w:rPr>
          <w:rFonts w:ascii="Times New Roman" w:hAnsi="Times New Roman"/>
          <w:bCs/>
          <w:sz w:val="24"/>
        </w:rPr>
        <w:t>36</w:t>
      </w:r>
    </w:p>
    <w:p w14:paraId="6EA5B18E" w14:textId="73836960" w:rsidR="009846D8" w:rsidRPr="007348EE" w:rsidRDefault="009846D8" w:rsidP="00CC1B8C">
      <w:pPr>
        <w:tabs>
          <w:tab w:val="left" w:leader="dot" w:pos="8789"/>
          <w:tab w:val="left" w:leader="dot" w:pos="9072"/>
        </w:tabs>
        <w:jc w:val="both"/>
        <w:rPr>
          <w:rFonts w:ascii="Times New Roman" w:hAnsi="Times New Roman"/>
          <w:bCs/>
          <w:noProof/>
          <w:sz w:val="24"/>
        </w:rPr>
      </w:pPr>
      <w:r w:rsidRPr="007348EE">
        <w:rPr>
          <w:rFonts w:ascii="Times New Roman" w:hAnsi="Times New Roman"/>
          <w:bCs/>
          <w:sz w:val="24"/>
        </w:rPr>
        <w:t>27. ierāmējums. Pārredzamība cementa tirgū</w:t>
      </w:r>
      <w:r w:rsidR="00CC1B8C">
        <w:rPr>
          <w:rFonts w:ascii="Times New Roman" w:hAnsi="Times New Roman"/>
          <w:bCs/>
          <w:sz w:val="24"/>
        </w:rPr>
        <w:tab/>
      </w:r>
      <w:r w:rsidR="005932ED">
        <w:rPr>
          <w:rFonts w:ascii="Times New Roman" w:hAnsi="Times New Roman"/>
          <w:bCs/>
          <w:sz w:val="24"/>
        </w:rPr>
        <w:t>37</w:t>
      </w:r>
    </w:p>
    <w:p w14:paraId="4E8C4AF6" w14:textId="136E6A8F" w:rsidR="009846D8" w:rsidRPr="007348EE" w:rsidRDefault="009846D8" w:rsidP="00CC1B8C">
      <w:pPr>
        <w:tabs>
          <w:tab w:val="left" w:leader="dot" w:pos="8789"/>
          <w:tab w:val="left" w:leader="dot" w:pos="9072"/>
        </w:tabs>
        <w:jc w:val="both"/>
        <w:rPr>
          <w:rFonts w:ascii="Times New Roman" w:hAnsi="Times New Roman"/>
          <w:bCs/>
          <w:noProof/>
          <w:sz w:val="24"/>
        </w:rPr>
      </w:pPr>
      <w:r w:rsidRPr="007348EE">
        <w:rPr>
          <w:rFonts w:ascii="Times New Roman" w:hAnsi="Times New Roman"/>
          <w:bCs/>
          <w:sz w:val="24"/>
        </w:rPr>
        <w:t>28. ierāmējums. Lauksaimniecības kooperatīvi un atbrīvojums no konkurences tiesību piemērošanas</w:t>
      </w:r>
      <w:r w:rsidR="00CC1B8C">
        <w:rPr>
          <w:rFonts w:ascii="Times New Roman" w:hAnsi="Times New Roman"/>
          <w:bCs/>
          <w:sz w:val="24"/>
        </w:rPr>
        <w:tab/>
      </w:r>
      <w:r w:rsidR="005932ED">
        <w:rPr>
          <w:rFonts w:ascii="Times New Roman" w:hAnsi="Times New Roman"/>
          <w:bCs/>
          <w:sz w:val="24"/>
        </w:rPr>
        <w:t>37</w:t>
      </w:r>
    </w:p>
    <w:p w14:paraId="29416539" w14:textId="0DFAABF8" w:rsidR="009846D8" w:rsidRPr="007348EE" w:rsidRDefault="009846D8" w:rsidP="00CC1B8C">
      <w:pPr>
        <w:tabs>
          <w:tab w:val="left" w:leader="dot" w:pos="8789"/>
          <w:tab w:val="left" w:leader="dot" w:pos="9072"/>
        </w:tabs>
        <w:jc w:val="both"/>
        <w:rPr>
          <w:rFonts w:ascii="Times New Roman" w:hAnsi="Times New Roman"/>
          <w:bCs/>
          <w:noProof/>
          <w:sz w:val="24"/>
        </w:rPr>
      </w:pPr>
      <w:r w:rsidRPr="007348EE">
        <w:rPr>
          <w:rFonts w:ascii="Times New Roman" w:hAnsi="Times New Roman"/>
          <w:bCs/>
          <w:sz w:val="24"/>
        </w:rPr>
        <w:t>29. ierāmējums. Elektronisko cigarešu regulējums</w:t>
      </w:r>
      <w:r w:rsidR="00CC1B8C">
        <w:rPr>
          <w:rFonts w:ascii="Times New Roman" w:hAnsi="Times New Roman"/>
          <w:bCs/>
          <w:sz w:val="24"/>
        </w:rPr>
        <w:tab/>
      </w:r>
      <w:r w:rsidR="005932ED">
        <w:rPr>
          <w:rFonts w:ascii="Times New Roman" w:hAnsi="Times New Roman"/>
          <w:bCs/>
          <w:sz w:val="24"/>
        </w:rPr>
        <w:t>38</w:t>
      </w:r>
    </w:p>
    <w:p w14:paraId="21DFB91E" w14:textId="64A40F86" w:rsidR="009846D8" w:rsidRPr="007348EE" w:rsidRDefault="009846D8" w:rsidP="00CC1B8C">
      <w:pPr>
        <w:tabs>
          <w:tab w:val="left" w:leader="dot" w:pos="8789"/>
          <w:tab w:val="left" w:leader="dot" w:pos="9072"/>
        </w:tabs>
        <w:jc w:val="both"/>
        <w:rPr>
          <w:rFonts w:ascii="Times New Roman" w:hAnsi="Times New Roman"/>
          <w:bCs/>
          <w:noProof/>
          <w:sz w:val="24"/>
        </w:rPr>
      </w:pPr>
      <w:r w:rsidRPr="007348EE">
        <w:rPr>
          <w:rFonts w:ascii="Times New Roman" w:hAnsi="Times New Roman"/>
          <w:bCs/>
          <w:sz w:val="24"/>
        </w:rPr>
        <w:t>30. ierāmējums. Maksa par konta slēgšanu bankās</w:t>
      </w:r>
      <w:r w:rsidR="00CC1B8C">
        <w:rPr>
          <w:rFonts w:ascii="Times New Roman" w:hAnsi="Times New Roman"/>
          <w:bCs/>
          <w:sz w:val="24"/>
        </w:rPr>
        <w:tab/>
      </w:r>
      <w:r w:rsidR="005932ED">
        <w:rPr>
          <w:rFonts w:ascii="Times New Roman" w:hAnsi="Times New Roman"/>
          <w:bCs/>
          <w:sz w:val="24"/>
        </w:rPr>
        <w:t>39</w:t>
      </w:r>
    </w:p>
    <w:p w14:paraId="110A70F0" w14:textId="04F47DFF" w:rsidR="005411E0" w:rsidRPr="007348EE" w:rsidRDefault="009846D8" w:rsidP="00CC1B8C">
      <w:pPr>
        <w:tabs>
          <w:tab w:val="left" w:leader="dot" w:pos="8789"/>
          <w:tab w:val="left" w:leader="dot" w:pos="9072"/>
        </w:tabs>
        <w:jc w:val="both"/>
        <w:rPr>
          <w:rFonts w:ascii="Times New Roman" w:hAnsi="Times New Roman"/>
          <w:bCs/>
          <w:noProof/>
          <w:sz w:val="24"/>
        </w:rPr>
      </w:pPr>
      <w:r w:rsidRPr="007348EE">
        <w:rPr>
          <w:rFonts w:ascii="Times New Roman" w:hAnsi="Times New Roman"/>
          <w:bCs/>
          <w:sz w:val="24"/>
        </w:rPr>
        <w:t>31. ierāmējums. Standartizētas informācijas paziņošana</w:t>
      </w:r>
      <w:r w:rsidR="00CC1B8C">
        <w:rPr>
          <w:rFonts w:ascii="Times New Roman" w:hAnsi="Times New Roman"/>
          <w:bCs/>
          <w:sz w:val="24"/>
        </w:rPr>
        <w:tab/>
      </w:r>
      <w:r w:rsidR="005932ED">
        <w:rPr>
          <w:rFonts w:ascii="Times New Roman" w:hAnsi="Times New Roman"/>
          <w:bCs/>
          <w:sz w:val="24"/>
        </w:rPr>
        <w:t>40</w:t>
      </w:r>
    </w:p>
    <w:p w14:paraId="440FA38B" w14:textId="77777777" w:rsidR="009846D8" w:rsidRDefault="009846D8" w:rsidP="00CC1B8C">
      <w:pPr>
        <w:tabs>
          <w:tab w:val="left" w:leader="dot" w:pos="8789"/>
          <w:tab w:val="left" w:leader="dot" w:pos="9072"/>
        </w:tabs>
        <w:jc w:val="both"/>
        <w:rPr>
          <w:rFonts w:ascii="Times New Roman" w:hAnsi="Times New Roman"/>
          <w:b/>
          <w:sz w:val="24"/>
        </w:rPr>
      </w:pPr>
    </w:p>
    <w:p w14:paraId="0B69C4BA" w14:textId="32924BD8" w:rsidR="009846D8" w:rsidRPr="004D11C9" w:rsidRDefault="009846D8" w:rsidP="00CC1B8C">
      <w:pPr>
        <w:tabs>
          <w:tab w:val="left" w:leader="dot" w:pos="8789"/>
          <w:tab w:val="left" w:leader="dot" w:pos="9072"/>
        </w:tabs>
        <w:jc w:val="both"/>
        <w:rPr>
          <w:rFonts w:ascii="Times New Roman" w:hAnsi="Times New Roman"/>
          <w:b/>
          <w:noProof/>
          <w:sz w:val="24"/>
        </w:rPr>
      </w:pPr>
      <w:r>
        <w:rPr>
          <w:rFonts w:ascii="Times New Roman" w:hAnsi="Times New Roman"/>
          <w:b/>
          <w:sz w:val="24"/>
        </w:rPr>
        <w:t>Detalizēts piemērs. Iespējamo konkurences ierobežojumu identificēšana</w:t>
      </w:r>
      <w:r w:rsidR="00CC1B8C">
        <w:rPr>
          <w:rFonts w:ascii="Times New Roman" w:hAnsi="Times New Roman"/>
          <w:b/>
          <w:sz w:val="24"/>
        </w:rPr>
        <w:tab/>
      </w:r>
      <w:r w:rsidR="005932ED">
        <w:rPr>
          <w:rFonts w:ascii="Times New Roman" w:hAnsi="Times New Roman"/>
          <w:b/>
          <w:sz w:val="24"/>
        </w:rPr>
        <w:t>41</w:t>
      </w:r>
    </w:p>
    <w:p w14:paraId="7859CA34" w14:textId="27AF27DA" w:rsidR="009846D8" w:rsidRDefault="009846D8" w:rsidP="00CC1B8C">
      <w:pPr>
        <w:tabs>
          <w:tab w:val="left" w:leader="dot" w:pos="8789"/>
          <w:tab w:val="left" w:leader="dot" w:pos="9072"/>
        </w:tabs>
        <w:jc w:val="both"/>
        <w:rPr>
          <w:rFonts w:ascii="Times New Roman" w:hAnsi="Times New Roman"/>
          <w:bCs/>
          <w:noProof/>
          <w:sz w:val="24"/>
        </w:rPr>
      </w:pPr>
    </w:p>
    <w:p w14:paraId="05988C86" w14:textId="31747DC1" w:rsidR="009846D8" w:rsidRDefault="009846D8" w:rsidP="00CC1B8C">
      <w:pPr>
        <w:tabs>
          <w:tab w:val="left" w:leader="dot" w:pos="8789"/>
          <w:tab w:val="left" w:leader="dot" w:pos="9072"/>
        </w:tabs>
        <w:jc w:val="both"/>
        <w:rPr>
          <w:rFonts w:ascii="Times New Roman" w:hAnsi="Times New Roman"/>
          <w:bCs/>
          <w:noProof/>
          <w:sz w:val="24"/>
        </w:rPr>
      </w:pPr>
      <w:r>
        <w:rPr>
          <w:rFonts w:ascii="Times New Roman" w:hAnsi="Times New Roman"/>
          <w:b/>
          <w:sz w:val="24"/>
        </w:rPr>
        <w:t>Detalizēts piemērs. Konkurences analīze</w:t>
      </w:r>
      <w:r w:rsidR="00CC1B8C">
        <w:rPr>
          <w:rFonts w:ascii="Times New Roman" w:hAnsi="Times New Roman"/>
          <w:b/>
          <w:sz w:val="24"/>
        </w:rPr>
        <w:tab/>
      </w:r>
      <w:r w:rsidR="005932ED">
        <w:rPr>
          <w:rFonts w:ascii="Times New Roman" w:hAnsi="Times New Roman"/>
          <w:b/>
          <w:sz w:val="24"/>
        </w:rPr>
        <w:t>49</w:t>
      </w:r>
    </w:p>
    <w:p w14:paraId="4A0458C4" w14:textId="23CE33AB" w:rsidR="009846D8" w:rsidRDefault="009846D8" w:rsidP="00CC1B8C">
      <w:pPr>
        <w:tabs>
          <w:tab w:val="left" w:leader="dot" w:pos="8789"/>
          <w:tab w:val="left" w:leader="dot" w:pos="9072"/>
        </w:tabs>
        <w:jc w:val="both"/>
        <w:rPr>
          <w:rFonts w:ascii="Times New Roman" w:hAnsi="Times New Roman"/>
          <w:bCs/>
          <w:noProof/>
          <w:sz w:val="24"/>
        </w:rPr>
      </w:pPr>
    </w:p>
    <w:p w14:paraId="38A0E024" w14:textId="5D09183F" w:rsidR="009846D8" w:rsidRPr="007348EE" w:rsidRDefault="009846D8" w:rsidP="00CC1B8C">
      <w:pPr>
        <w:tabs>
          <w:tab w:val="left" w:leader="dot" w:pos="8789"/>
          <w:tab w:val="left" w:leader="dot" w:pos="9072"/>
        </w:tabs>
        <w:jc w:val="both"/>
        <w:rPr>
          <w:rFonts w:ascii="Times New Roman" w:hAnsi="Times New Roman"/>
          <w:bCs/>
          <w:noProof/>
          <w:sz w:val="24"/>
        </w:rPr>
      </w:pPr>
      <w:r w:rsidRPr="007348EE">
        <w:rPr>
          <w:rFonts w:ascii="Times New Roman" w:hAnsi="Times New Roman"/>
          <w:bCs/>
          <w:sz w:val="24"/>
        </w:rPr>
        <w:t>32. ierāmējums. Piesārņojuma atļauju tirgus</w:t>
      </w:r>
      <w:r w:rsidR="00CC1B8C">
        <w:rPr>
          <w:rFonts w:ascii="Times New Roman" w:hAnsi="Times New Roman"/>
          <w:bCs/>
          <w:sz w:val="24"/>
        </w:rPr>
        <w:tab/>
      </w:r>
      <w:r w:rsidR="005932ED">
        <w:rPr>
          <w:rFonts w:ascii="Times New Roman" w:hAnsi="Times New Roman"/>
          <w:bCs/>
          <w:sz w:val="24"/>
        </w:rPr>
        <w:t>57</w:t>
      </w:r>
    </w:p>
    <w:p w14:paraId="0304BFEA" w14:textId="40F41F80" w:rsidR="009846D8" w:rsidRPr="007348EE" w:rsidRDefault="009846D8" w:rsidP="00CC1B8C">
      <w:pPr>
        <w:tabs>
          <w:tab w:val="left" w:leader="dot" w:pos="8789"/>
          <w:tab w:val="left" w:leader="dot" w:pos="9072"/>
        </w:tabs>
        <w:jc w:val="both"/>
        <w:rPr>
          <w:rFonts w:ascii="Times New Roman" w:hAnsi="Times New Roman"/>
          <w:bCs/>
          <w:noProof/>
          <w:sz w:val="24"/>
        </w:rPr>
      </w:pPr>
      <w:r w:rsidRPr="007348EE">
        <w:rPr>
          <w:rFonts w:ascii="Times New Roman" w:hAnsi="Times New Roman"/>
          <w:bCs/>
          <w:sz w:val="24"/>
        </w:rPr>
        <w:t>33. ierāmējums. Stingrs un detalizēts regulējums</w:t>
      </w:r>
      <w:r w:rsidR="00CC1B8C">
        <w:rPr>
          <w:rFonts w:ascii="Times New Roman" w:hAnsi="Times New Roman"/>
          <w:bCs/>
          <w:sz w:val="24"/>
        </w:rPr>
        <w:tab/>
      </w:r>
      <w:r w:rsidR="005932ED">
        <w:rPr>
          <w:rFonts w:ascii="Times New Roman" w:hAnsi="Times New Roman"/>
          <w:bCs/>
          <w:sz w:val="24"/>
        </w:rPr>
        <w:t>57</w:t>
      </w:r>
    </w:p>
    <w:p w14:paraId="7FB546B6" w14:textId="70693994" w:rsidR="009846D8" w:rsidRPr="007348EE" w:rsidRDefault="009846D8" w:rsidP="00CC1B8C">
      <w:pPr>
        <w:tabs>
          <w:tab w:val="left" w:leader="dot" w:pos="8789"/>
          <w:tab w:val="left" w:leader="dot" w:pos="9072"/>
        </w:tabs>
        <w:jc w:val="both"/>
        <w:rPr>
          <w:rFonts w:ascii="Times New Roman" w:hAnsi="Times New Roman"/>
          <w:bCs/>
          <w:noProof/>
          <w:sz w:val="24"/>
        </w:rPr>
      </w:pPr>
      <w:r w:rsidRPr="007348EE">
        <w:rPr>
          <w:rFonts w:ascii="Times New Roman" w:hAnsi="Times New Roman"/>
          <w:bCs/>
          <w:sz w:val="24"/>
        </w:rPr>
        <w:t>34. ierāmējums. Tirgus nepilnību izpratne, iznākuma noteikšana un alternatīvu izstrāde</w:t>
      </w:r>
      <w:r w:rsidR="00CC1B8C">
        <w:rPr>
          <w:rFonts w:ascii="Times New Roman" w:hAnsi="Times New Roman"/>
          <w:bCs/>
          <w:sz w:val="24"/>
        </w:rPr>
        <w:tab/>
      </w:r>
      <w:r w:rsidR="005932ED">
        <w:rPr>
          <w:rFonts w:ascii="Times New Roman" w:hAnsi="Times New Roman"/>
          <w:bCs/>
          <w:sz w:val="24"/>
        </w:rPr>
        <w:t>58</w:t>
      </w:r>
    </w:p>
    <w:p w14:paraId="44ED18E2" w14:textId="0FD2D8EE" w:rsidR="009846D8" w:rsidRPr="007348EE" w:rsidRDefault="009846D8" w:rsidP="00CC1B8C">
      <w:pPr>
        <w:tabs>
          <w:tab w:val="left" w:leader="dot" w:pos="8789"/>
          <w:tab w:val="left" w:leader="dot" w:pos="9072"/>
        </w:tabs>
        <w:jc w:val="both"/>
        <w:rPr>
          <w:rFonts w:ascii="Times New Roman" w:hAnsi="Times New Roman"/>
          <w:bCs/>
          <w:noProof/>
          <w:sz w:val="24"/>
        </w:rPr>
      </w:pPr>
      <w:r w:rsidRPr="007348EE">
        <w:rPr>
          <w:rFonts w:ascii="Times New Roman" w:hAnsi="Times New Roman"/>
          <w:bCs/>
          <w:sz w:val="24"/>
        </w:rPr>
        <w:t>35. ierāmējums. Daudzveidīga ekspertīze</w:t>
      </w:r>
      <w:r w:rsidR="00CC1B8C">
        <w:rPr>
          <w:rFonts w:ascii="Times New Roman" w:hAnsi="Times New Roman"/>
          <w:bCs/>
          <w:sz w:val="24"/>
        </w:rPr>
        <w:tab/>
      </w:r>
      <w:r w:rsidR="005932ED">
        <w:rPr>
          <w:rFonts w:ascii="Times New Roman" w:hAnsi="Times New Roman"/>
          <w:bCs/>
          <w:sz w:val="24"/>
        </w:rPr>
        <w:t>59</w:t>
      </w:r>
    </w:p>
    <w:p w14:paraId="7C7DD359" w14:textId="3B567BD5" w:rsidR="009846D8" w:rsidRPr="007348EE" w:rsidRDefault="009846D8" w:rsidP="00CC1B8C">
      <w:pPr>
        <w:tabs>
          <w:tab w:val="left" w:leader="dot" w:pos="8789"/>
          <w:tab w:val="left" w:leader="dot" w:pos="9072"/>
        </w:tabs>
        <w:jc w:val="both"/>
        <w:rPr>
          <w:rFonts w:ascii="Times New Roman" w:hAnsi="Times New Roman"/>
          <w:bCs/>
          <w:noProof/>
          <w:sz w:val="24"/>
        </w:rPr>
      </w:pPr>
      <w:r w:rsidRPr="007348EE">
        <w:rPr>
          <w:rFonts w:ascii="Times New Roman" w:hAnsi="Times New Roman"/>
          <w:bCs/>
          <w:sz w:val="24"/>
        </w:rPr>
        <w:t xml:space="preserve">36. ierāmējums. Dzirdes aparātu pārdošanas </w:t>
      </w:r>
      <w:r w:rsidR="00F1566E">
        <w:rPr>
          <w:rFonts w:ascii="Times New Roman" w:hAnsi="Times New Roman"/>
          <w:bCs/>
          <w:sz w:val="24"/>
        </w:rPr>
        <w:t>regula</w:t>
      </w:r>
      <w:r w:rsidRPr="007348EE">
        <w:rPr>
          <w:rFonts w:ascii="Times New Roman" w:hAnsi="Times New Roman"/>
          <w:bCs/>
          <w:sz w:val="24"/>
        </w:rPr>
        <w:t>tīvā vide</w:t>
      </w:r>
      <w:r w:rsidR="00CC1B8C">
        <w:rPr>
          <w:rFonts w:ascii="Times New Roman" w:hAnsi="Times New Roman"/>
          <w:bCs/>
          <w:sz w:val="24"/>
        </w:rPr>
        <w:tab/>
      </w:r>
      <w:r w:rsidR="005932ED">
        <w:rPr>
          <w:rFonts w:ascii="Times New Roman" w:hAnsi="Times New Roman"/>
          <w:bCs/>
          <w:sz w:val="24"/>
        </w:rPr>
        <w:t>59</w:t>
      </w:r>
    </w:p>
    <w:p w14:paraId="10D6B6C2" w14:textId="6A294C1D" w:rsidR="009846D8" w:rsidRPr="007348EE" w:rsidRDefault="00CB57D4" w:rsidP="00CC1B8C">
      <w:pPr>
        <w:tabs>
          <w:tab w:val="left" w:leader="dot" w:pos="8789"/>
          <w:tab w:val="left" w:leader="dot" w:pos="9072"/>
        </w:tabs>
        <w:jc w:val="both"/>
        <w:rPr>
          <w:rFonts w:ascii="Times New Roman" w:hAnsi="Times New Roman"/>
          <w:bCs/>
          <w:noProof/>
          <w:sz w:val="24"/>
        </w:rPr>
      </w:pPr>
      <w:r w:rsidRPr="007348EE">
        <w:rPr>
          <w:rFonts w:ascii="Times New Roman" w:hAnsi="Times New Roman"/>
          <w:bCs/>
          <w:sz w:val="24"/>
        </w:rPr>
        <w:t>38. ierāmējums. Taksometru darbību reglamentējoši normatīvie akti</w:t>
      </w:r>
      <w:r w:rsidR="00CC1B8C">
        <w:rPr>
          <w:rFonts w:ascii="Times New Roman" w:hAnsi="Times New Roman"/>
          <w:bCs/>
          <w:sz w:val="24"/>
        </w:rPr>
        <w:tab/>
      </w:r>
      <w:r w:rsidR="005932ED">
        <w:rPr>
          <w:rFonts w:ascii="Times New Roman" w:hAnsi="Times New Roman"/>
          <w:bCs/>
          <w:sz w:val="24"/>
        </w:rPr>
        <w:t>60</w:t>
      </w:r>
    </w:p>
    <w:p w14:paraId="3709F139" w14:textId="4D59D92A" w:rsidR="009846D8" w:rsidRPr="007348EE" w:rsidRDefault="00CB57D4" w:rsidP="00CC1B8C">
      <w:pPr>
        <w:tabs>
          <w:tab w:val="left" w:leader="dot" w:pos="8789"/>
          <w:tab w:val="left" w:leader="dot" w:pos="9072"/>
        </w:tabs>
        <w:jc w:val="both"/>
        <w:rPr>
          <w:rFonts w:ascii="Times New Roman" w:hAnsi="Times New Roman"/>
          <w:bCs/>
          <w:noProof/>
          <w:sz w:val="24"/>
        </w:rPr>
      </w:pPr>
      <w:r w:rsidRPr="007348EE">
        <w:rPr>
          <w:rFonts w:ascii="Times New Roman" w:hAnsi="Times New Roman"/>
          <w:bCs/>
          <w:sz w:val="24"/>
        </w:rPr>
        <w:t>39. ierāmējums. Grāmatu mazumtirdzniecības cenu atlaides</w:t>
      </w:r>
      <w:r w:rsidR="00CC1B8C">
        <w:rPr>
          <w:rFonts w:ascii="Times New Roman" w:hAnsi="Times New Roman"/>
          <w:bCs/>
          <w:sz w:val="24"/>
        </w:rPr>
        <w:tab/>
      </w:r>
      <w:r w:rsidR="005932ED">
        <w:rPr>
          <w:rFonts w:ascii="Times New Roman" w:hAnsi="Times New Roman"/>
          <w:bCs/>
          <w:sz w:val="24"/>
        </w:rPr>
        <w:t>60</w:t>
      </w:r>
    </w:p>
    <w:p w14:paraId="5F975C89" w14:textId="0AECF7ED" w:rsidR="009846D8" w:rsidRPr="007348EE" w:rsidRDefault="00F82D09" w:rsidP="00CC1B8C">
      <w:pPr>
        <w:tabs>
          <w:tab w:val="left" w:leader="dot" w:pos="8789"/>
          <w:tab w:val="left" w:leader="dot" w:pos="9072"/>
        </w:tabs>
        <w:jc w:val="both"/>
        <w:rPr>
          <w:rFonts w:ascii="Times New Roman" w:hAnsi="Times New Roman"/>
          <w:bCs/>
          <w:noProof/>
          <w:sz w:val="24"/>
        </w:rPr>
      </w:pPr>
      <w:r w:rsidRPr="007348EE">
        <w:rPr>
          <w:rFonts w:ascii="Times New Roman" w:hAnsi="Times New Roman"/>
          <w:bCs/>
          <w:sz w:val="24"/>
        </w:rPr>
        <w:t>40. ierāmējums. Naftas regulējuma starptautiskais salīdzinājums</w:t>
      </w:r>
      <w:r w:rsidR="00CC1B8C">
        <w:rPr>
          <w:rFonts w:ascii="Times New Roman" w:hAnsi="Times New Roman"/>
          <w:bCs/>
          <w:sz w:val="24"/>
        </w:rPr>
        <w:tab/>
      </w:r>
      <w:r w:rsidR="005932ED">
        <w:rPr>
          <w:rFonts w:ascii="Times New Roman" w:hAnsi="Times New Roman"/>
          <w:bCs/>
          <w:sz w:val="24"/>
        </w:rPr>
        <w:t>62</w:t>
      </w:r>
    </w:p>
    <w:p w14:paraId="5FB7B9F1" w14:textId="3FF00681" w:rsidR="009846D8" w:rsidRPr="007348EE" w:rsidRDefault="00F82D09" w:rsidP="00CC1B8C">
      <w:pPr>
        <w:tabs>
          <w:tab w:val="left" w:leader="dot" w:pos="8789"/>
          <w:tab w:val="left" w:leader="dot" w:pos="9072"/>
        </w:tabs>
        <w:jc w:val="both"/>
        <w:rPr>
          <w:rFonts w:ascii="Times New Roman" w:hAnsi="Times New Roman"/>
          <w:bCs/>
          <w:noProof/>
          <w:sz w:val="24"/>
        </w:rPr>
      </w:pPr>
      <w:r w:rsidRPr="007348EE">
        <w:rPr>
          <w:rFonts w:ascii="Times New Roman" w:hAnsi="Times New Roman"/>
          <w:bCs/>
          <w:sz w:val="24"/>
        </w:rPr>
        <w:t>41. ierāmējums. Pamatmērķa izpratne, iznākuma noteikšana un alternatīvu izstrāde</w:t>
      </w:r>
      <w:r w:rsidR="00CC1B8C">
        <w:rPr>
          <w:rFonts w:ascii="Times New Roman" w:hAnsi="Times New Roman"/>
          <w:bCs/>
          <w:sz w:val="24"/>
        </w:rPr>
        <w:tab/>
      </w:r>
      <w:r w:rsidR="005932ED">
        <w:rPr>
          <w:rFonts w:ascii="Times New Roman" w:hAnsi="Times New Roman"/>
          <w:bCs/>
          <w:sz w:val="24"/>
        </w:rPr>
        <w:t>63</w:t>
      </w:r>
    </w:p>
    <w:p w14:paraId="121FCD1B" w14:textId="763660AC" w:rsidR="009846D8" w:rsidRPr="007348EE" w:rsidRDefault="00F82D09" w:rsidP="00CC1B8C">
      <w:pPr>
        <w:tabs>
          <w:tab w:val="left" w:leader="dot" w:pos="8789"/>
          <w:tab w:val="left" w:leader="dot" w:pos="9072"/>
        </w:tabs>
        <w:jc w:val="both"/>
        <w:rPr>
          <w:rFonts w:ascii="Times New Roman" w:hAnsi="Times New Roman"/>
          <w:bCs/>
          <w:noProof/>
          <w:sz w:val="24"/>
        </w:rPr>
      </w:pPr>
      <w:r w:rsidRPr="007348EE">
        <w:rPr>
          <w:rFonts w:ascii="Times New Roman" w:hAnsi="Times New Roman"/>
          <w:bCs/>
          <w:sz w:val="24"/>
        </w:rPr>
        <w:t>42. ierāmējums. Obligātais svaiga piena standarts Grieķijā</w:t>
      </w:r>
      <w:r w:rsidR="00CC1B8C">
        <w:rPr>
          <w:rFonts w:ascii="Times New Roman" w:hAnsi="Times New Roman"/>
          <w:bCs/>
          <w:sz w:val="24"/>
        </w:rPr>
        <w:tab/>
      </w:r>
      <w:r w:rsidR="005932ED">
        <w:rPr>
          <w:rFonts w:ascii="Times New Roman" w:hAnsi="Times New Roman"/>
          <w:bCs/>
          <w:sz w:val="24"/>
        </w:rPr>
        <w:t>64</w:t>
      </w:r>
    </w:p>
    <w:p w14:paraId="79AE6E38" w14:textId="1F279036" w:rsidR="009846D8" w:rsidRPr="007348EE" w:rsidRDefault="00F82D09" w:rsidP="00CC1B8C">
      <w:pPr>
        <w:tabs>
          <w:tab w:val="left" w:leader="dot" w:pos="8789"/>
          <w:tab w:val="left" w:leader="dot" w:pos="9072"/>
        </w:tabs>
        <w:jc w:val="both"/>
        <w:rPr>
          <w:rFonts w:ascii="Times New Roman" w:hAnsi="Times New Roman"/>
          <w:bCs/>
          <w:noProof/>
          <w:sz w:val="24"/>
        </w:rPr>
      </w:pPr>
      <w:r w:rsidRPr="007348EE">
        <w:rPr>
          <w:rFonts w:ascii="Times New Roman" w:hAnsi="Times New Roman"/>
          <w:bCs/>
          <w:sz w:val="24"/>
        </w:rPr>
        <w:t>43. ierāmējums. Nav saprātīgas alternatīvas</w:t>
      </w:r>
      <w:r w:rsidR="00CC1B8C">
        <w:rPr>
          <w:rFonts w:ascii="Times New Roman" w:hAnsi="Times New Roman"/>
          <w:bCs/>
          <w:sz w:val="24"/>
        </w:rPr>
        <w:tab/>
      </w:r>
      <w:r w:rsidR="005932ED">
        <w:rPr>
          <w:rFonts w:ascii="Times New Roman" w:hAnsi="Times New Roman"/>
          <w:bCs/>
          <w:sz w:val="24"/>
        </w:rPr>
        <w:t>65</w:t>
      </w:r>
    </w:p>
    <w:p w14:paraId="02EC32F9" w14:textId="3A6C1AD4" w:rsidR="009846D8" w:rsidRDefault="009846D8" w:rsidP="00CC1B8C">
      <w:pPr>
        <w:tabs>
          <w:tab w:val="left" w:leader="dot" w:pos="8789"/>
          <w:tab w:val="left" w:leader="dot" w:pos="9072"/>
        </w:tabs>
        <w:jc w:val="both"/>
        <w:rPr>
          <w:rFonts w:ascii="Times New Roman" w:hAnsi="Times New Roman"/>
          <w:bCs/>
          <w:noProof/>
          <w:sz w:val="24"/>
        </w:rPr>
      </w:pPr>
    </w:p>
    <w:p w14:paraId="604DFC7A" w14:textId="4BD4267B" w:rsidR="009846D8" w:rsidRDefault="00F82D09" w:rsidP="00CC1B8C">
      <w:pPr>
        <w:tabs>
          <w:tab w:val="left" w:leader="dot" w:pos="8789"/>
          <w:tab w:val="left" w:leader="dot" w:pos="9072"/>
        </w:tabs>
        <w:jc w:val="both"/>
        <w:rPr>
          <w:rFonts w:ascii="Times New Roman" w:hAnsi="Times New Roman"/>
          <w:bCs/>
          <w:noProof/>
          <w:sz w:val="24"/>
        </w:rPr>
      </w:pPr>
      <w:r>
        <w:rPr>
          <w:rFonts w:ascii="Times New Roman" w:hAnsi="Times New Roman"/>
          <w:b/>
          <w:sz w:val="24"/>
        </w:rPr>
        <w:t>Detalizēts piemērs. Reformas iespējas</w:t>
      </w:r>
      <w:r w:rsidR="00CC1B8C">
        <w:rPr>
          <w:rFonts w:ascii="Times New Roman" w:hAnsi="Times New Roman"/>
          <w:b/>
          <w:sz w:val="24"/>
        </w:rPr>
        <w:tab/>
      </w:r>
      <w:r w:rsidR="005932ED">
        <w:rPr>
          <w:rFonts w:ascii="Times New Roman" w:hAnsi="Times New Roman"/>
          <w:b/>
          <w:sz w:val="24"/>
        </w:rPr>
        <w:t>67</w:t>
      </w:r>
    </w:p>
    <w:p w14:paraId="2D24AC9C" w14:textId="72FEA31A" w:rsidR="00F82D09" w:rsidRDefault="00F82D09" w:rsidP="00CC1B8C">
      <w:pPr>
        <w:tabs>
          <w:tab w:val="left" w:leader="dot" w:pos="8789"/>
          <w:tab w:val="left" w:leader="dot" w:pos="9072"/>
        </w:tabs>
        <w:jc w:val="both"/>
        <w:rPr>
          <w:rFonts w:ascii="Times New Roman" w:hAnsi="Times New Roman"/>
          <w:bCs/>
          <w:noProof/>
          <w:sz w:val="24"/>
        </w:rPr>
      </w:pPr>
    </w:p>
    <w:p w14:paraId="2DC412C2" w14:textId="24D525BC" w:rsidR="00F82D09" w:rsidRPr="007348EE" w:rsidRDefault="00933004" w:rsidP="00CC1B8C">
      <w:pPr>
        <w:tabs>
          <w:tab w:val="left" w:leader="dot" w:pos="8789"/>
          <w:tab w:val="left" w:leader="dot" w:pos="9072"/>
        </w:tabs>
        <w:jc w:val="both"/>
        <w:rPr>
          <w:rFonts w:ascii="Times New Roman" w:hAnsi="Times New Roman"/>
          <w:bCs/>
          <w:noProof/>
          <w:sz w:val="24"/>
        </w:rPr>
      </w:pPr>
      <w:r w:rsidRPr="007348EE">
        <w:rPr>
          <w:rFonts w:ascii="Times New Roman" w:hAnsi="Times New Roman"/>
          <w:bCs/>
          <w:sz w:val="24"/>
        </w:rPr>
        <w:t>44. ierāmējums. Veidi, kā bāzes scenāriji nonāk iespējamo politikas risinājumu analīzē</w:t>
      </w:r>
      <w:r w:rsidR="00CC1B8C">
        <w:rPr>
          <w:rFonts w:ascii="Times New Roman" w:hAnsi="Times New Roman"/>
          <w:bCs/>
          <w:sz w:val="24"/>
        </w:rPr>
        <w:tab/>
      </w:r>
      <w:r w:rsidR="005932ED">
        <w:rPr>
          <w:rFonts w:ascii="Times New Roman" w:hAnsi="Times New Roman"/>
          <w:bCs/>
          <w:sz w:val="24"/>
        </w:rPr>
        <w:t>69</w:t>
      </w:r>
    </w:p>
    <w:p w14:paraId="093E3438" w14:textId="20156A1A" w:rsidR="00F82D09" w:rsidRPr="007348EE" w:rsidRDefault="00933004" w:rsidP="00CC1B8C">
      <w:pPr>
        <w:tabs>
          <w:tab w:val="left" w:leader="dot" w:pos="8789"/>
          <w:tab w:val="left" w:leader="dot" w:pos="9072"/>
        </w:tabs>
        <w:jc w:val="both"/>
        <w:rPr>
          <w:rFonts w:ascii="Times New Roman" w:hAnsi="Times New Roman"/>
          <w:bCs/>
          <w:noProof/>
          <w:sz w:val="24"/>
        </w:rPr>
      </w:pPr>
      <w:r w:rsidRPr="007348EE">
        <w:rPr>
          <w:rFonts w:ascii="Times New Roman" w:hAnsi="Times New Roman"/>
          <w:bCs/>
          <w:sz w:val="24"/>
        </w:rPr>
        <w:t>45. ierāmējums. Relatīvās ietekmes salīdzināšana, lai noteiktu ieteicamo risinājumu</w:t>
      </w:r>
      <w:r w:rsidR="00CC1B8C">
        <w:rPr>
          <w:rFonts w:ascii="Times New Roman" w:hAnsi="Times New Roman"/>
          <w:bCs/>
          <w:sz w:val="24"/>
        </w:rPr>
        <w:tab/>
      </w:r>
      <w:r w:rsidR="005932ED">
        <w:rPr>
          <w:rFonts w:ascii="Times New Roman" w:hAnsi="Times New Roman"/>
          <w:bCs/>
          <w:sz w:val="24"/>
        </w:rPr>
        <w:t>69</w:t>
      </w:r>
    </w:p>
    <w:p w14:paraId="0DFBD325" w14:textId="709421E3" w:rsidR="00F82D09" w:rsidRPr="007348EE" w:rsidRDefault="00933004" w:rsidP="00CC1B8C">
      <w:pPr>
        <w:tabs>
          <w:tab w:val="left" w:leader="dot" w:pos="8789"/>
          <w:tab w:val="left" w:leader="dot" w:pos="9072"/>
        </w:tabs>
        <w:jc w:val="both"/>
        <w:rPr>
          <w:rFonts w:ascii="Times New Roman" w:hAnsi="Times New Roman"/>
          <w:bCs/>
          <w:noProof/>
          <w:sz w:val="24"/>
        </w:rPr>
      </w:pPr>
      <w:r w:rsidRPr="007348EE">
        <w:rPr>
          <w:rFonts w:ascii="Times New Roman" w:hAnsi="Times New Roman"/>
          <w:bCs/>
          <w:sz w:val="24"/>
        </w:rPr>
        <w:t>46. ierāmējums. Noklusēti regulējuma iemesli</w:t>
      </w:r>
      <w:r w:rsidR="00CC1B8C">
        <w:rPr>
          <w:rFonts w:ascii="Times New Roman" w:hAnsi="Times New Roman"/>
          <w:bCs/>
          <w:sz w:val="24"/>
        </w:rPr>
        <w:tab/>
      </w:r>
      <w:r w:rsidR="005932ED">
        <w:rPr>
          <w:rFonts w:ascii="Times New Roman" w:hAnsi="Times New Roman"/>
          <w:bCs/>
          <w:sz w:val="24"/>
        </w:rPr>
        <w:t>69</w:t>
      </w:r>
    </w:p>
    <w:p w14:paraId="26414D1E" w14:textId="7DE4F560" w:rsidR="00933004" w:rsidRPr="007348EE" w:rsidRDefault="00933004" w:rsidP="00CC1B8C">
      <w:pPr>
        <w:tabs>
          <w:tab w:val="left" w:leader="dot" w:pos="8789"/>
          <w:tab w:val="left" w:leader="dot" w:pos="9072"/>
        </w:tabs>
        <w:jc w:val="both"/>
        <w:rPr>
          <w:rFonts w:ascii="Times New Roman" w:hAnsi="Times New Roman"/>
          <w:bCs/>
          <w:noProof/>
          <w:sz w:val="24"/>
        </w:rPr>
      </w:pPr>
      <w:r w:rsidRPr="007348EE">
        <w:rPr>
          <w:rFonts w:ascii="Times New Roman" w:hAnsi="Times New Roman"/>
          <w:bCs/>
          <w:sz w:val="24"/>
        </w:rPr>
        <w:t>47. ierāmējums. Ieinteresēto personu likumdošanas iniciatīvas</w:t>
      </w:r>
      <w:r w:rsidR="00CC1B8C">
        <w:rPr>
          <w:rFonts w:ascii="Times New Roman" w:hAnsi="Times New Roman"/>
          <w:bCs/>
          <w:sz w:val="24"/>
        </w:rPr>
        <w:tab/>
      </w:r>
      <w:r w:rsidR="005932ED">
        <w:rPr>
          <w:rFonts w:ascii="Times New Roman" w:hAnsi="Times New Roman"/>
          <w:bCs/>
          <w:sz w:val="24"/>
        </w:rPr>
        <w:t>70</w:t>
      </w:r>
    </w:p>
    <w:p w14:paraId="34A4BCD8" w14:textId="53A66414" w:rsidR="00933004" w:rsidRPr="007348EE" w:rsidRDefault="00933004" w:rsidP="00CC1B8C">
      <w:pPr>
        <w:tabs>
          <w:tab w:val="left" w:leader="dot" w:pos="8789"/>
          <w:tab w:val="left" w:leader="dot" w:pos="9072"/>
        </w:tabs>
        <w:jc w:val="both"/>
        <w:rPr>
          <w:rFonts w:ascii="Times New Roman" w:hAnsi="Times New Roman"/>
          <w:bCs/>
          <w:noProof/>
          <w:sz w:val="24"/>
        </w:rPr>
      </w:pPr>
      <w:r w:rsidRPr="007348EE">
        <w:rPr>
          <w:rFonts w:ascii="Times New Roman" w:hAnsi="Times New Roman"/>
          <w:bCs/>
          <w:sz w:val="24"/>
        </w:rPr>
        <w:t>48. ierāmējums. Netiešo ieguvumu vērtība</w:t>
      </w:r>
      <w:r w:rsidR="00CC1B8C">
        <w:rPr>
          <w:rFonts w:ascii="Times New Roman" w:hAnsi="Times New Roman"/>
          <w:bCs/>
          <w:sz w:val="24"/>
        </w:rPr>
        <w:tab/>
      </w:r>
      <w:r w:rsidR="005932ED">
        <w:rPr>
          <w:rFonts w:ascii="Times New Roman" w:hAnsi="Times New Roman"/>
          <w:bCs/>
          <w:sz w:val="24"/>
        </w:rPr>
        <w:t>70</w:t>
      </w:r>
    </w:p>
    <w:p w14:paraId="66619A3E" w14:textId="315A2503" w:rsidR="00933004" w:rsidRPr="007348EE" w:rsidRDefault="009C39FB" w:rsidP="00CC1B8C">
      <w:pPr>
        <w:tabs>
          <w:tab w:val="left" w:leader="dot" w:pos="8789"/>
          <w:tab w:val="left" w:leader="dot" w:pos="9072"/>
        </w:tabs>
        <w:jc w:val="both"/>
        <w:rPr>
          <w:rFonts w:ascii="Times New Roman" w:hAnsi="Times New Roman"/>
          <w:bCs/>
          <w:noProof/>
          <w:sz w:val="24"/>
        </w:rPr>
      </w:pPr>
      <w:r w:rsidRPr="007348EE">
        <w:rPr>
          <w:rFonts w:ascii="Times New Roman" w:hAnsi="Times New Roman"/>
          <w:bCs/>
          <w:sz w:val="24"/>
        </w:rPr>
        <w:t>49. ierāmējums. Liftu regulējumā noteikts gala termiņš rada piegādes deficītu</w:t>
      </w:r>
      <w:r w:rsidR="00CC1B8C">
        <w:rPr>
          <w:rFonts w:ascii="Times New Roman" w:hAnsi="Times New Roman"/>
          <w:bCs/>
          <w:sz w:val="24"/>
        </w:rPr>
        <w:tab/>
      </w:r>
      <w:r w:rsidR="005932ED">
        <w:rPr>
          <w:rFonts w:ascii="Times New Roman" w:hAnsi="Times New Roman"/>
          <w:bCs/>
          <w:sz w:val="24"/>
        </w:rPr>
        <w:t>71</w:t>
      </w:r>
    </w:p>
    <w:p w14:paraId="72140D65" w14:textId="6A4AC472" w:rsidR="00933004" w:rsidRPr="007348EE" w:rsidRDefault="009C39FB" w:rsidP="00CC1B8C">
      <w:pPr>
        <w:tabs>
          <w:tab w:val="left" w:leader="dot" w:pos="8789"/>
          <w:tab w:val="left" w:leader="dot" w:pos="9072"/>
        </w:tabs>
        <w:jc w:val="both"/>
        <w:rPr>
          <w:rFonts w:ascii="Times New Roman" w:hAnsi="Times New Roman"/>
          <w:bCs/>
          <w:noProof/>
          <w:sz w:val="24"/>
        </w:rPr>
      </w:pPr>
      <w:r w:rsidRPr="007348EE">
        <w:rPr>
          <w:rFonts w:ascii="Times New Roman" w:hAnsi="Times New Roman"/>
          <w:bCs/>
          <w:sz w:val="24"/>
        </w:rPr>
        <w:t>50. ierāmējums. Priekšrocību un trūkumu izsvēršana. Asfalta rūpnīcas piemērs</w:t>
      </w:r>
      <w:r w:rsidR="00CC1B8C">
        <w:rPr>
          <w:rFonts w:ascii="Times New Roman" w:hAnsi="Times New Roman"/>
          <w:bCs/>
          <w:sz w:val="24"/>
        </w:rPr>
        <w:tab/>
      </w:r>
      <w:r w:rsidR="005932ED">
        <w:rPr>
          <w:rFonts w:ascii="Times New Roman" w:hAnsi="Times New Roman"/>
          <w:bCs/>
          <w:sz w:val="24"/>
        </w:rPr>
        <w:t>73</w:t>
      </w:r>
    </w:p>
    <w:p w14:paraId="301EBC27" w14:textId="515F39E1" w:rsidR="00933004" w:rsidRPr="007348EE" w:rsidRDefault="009C39FB" w:rsidP="00CC1B8C">
      <w:pPr>
        <w:tabs>
          <w:tab w:val="left" w:leader="dot" w:pos="8789"/>
          <w:tab w:val="left" w:leader="dot" w:pos="9072"/>
        </w:tabs>
        <w:jc w:val="both"/>
        <w:rPr>
          <w:rFonts w:ascii="Times New Roman" w:hAnsi="Times New Roman"/>
          <w:bCs/>
          <w:noProof/>
          <w:sz w:val="24"/>
        </w:rPr>
      </w:pPr>
      <w:r w:rsidRPr="007348EE">
        <w:rPr>
          <w:rFonts w:ascii="Times New Roman" w:hAnsi="Times New Roman"/>
          <w:bCs/>
          <w:sz w:val="24"/>
        </w:rPr>
        <w:t>51. ierāmējums. Analīze, pamatojoties uz punktu sistēmu. Atkritumu sadedzināšanas iekārtu ietekme</w:t>
      </w:r>
      <w:r w:rsidR="00CC1B8C">
        <w:rPr>
          <w:rFonts w:ascii="Times New Roman" w:hAnsi="Times New Roman"/>
          <w:bCs/>
          <w:sz w:val="24"/>
        </w:rPr>
        <w:tab/>
      </w:r>
      <w:r w:rsidR="005932ED">
        <w:rPr>
          <w:rFonts w:ascii="Times New Roman" w:hAnsi="Times New Roman"/>
          <w:bCs/>
          <w:sz w:val="24"/>
        </w:rPr>
        <w:t>74</w:t>
      </w:r>
    </w:p>
    <w:p w14:paraId="79674FD3" w14:textId="4D3C5F3A" w:rsidR="00F82D09" w:rsidRPr="007348EE" w:rsidRDefault="009C39FB" w:rsidP="00CC1B8C">
      <w:pPr>
        <w:tabs>
          <w:tab w:val="left" w:leader="dot" w:pos="8789"/>
          <w:tab w:val="left" w:leader="dot" w:pos="9072"/>
        </w:tabs>
        <w:jc w:val="both"/>
        <w:rPr>
          <w:rFonts w:ascii="Times New Roman" w:hAnsi="Times New Roman"/>
          <w:bCs/>
          <w:noProof/>
          <w:sz w:val="24"/>
        </w:rPr>
      </w:pPr>
      <w:r w:rsidRPr="007348EE">
        <w:rPr>
          <w:rFonts w:ascii="Times New Roman" w:hAnsi="Times New Roman"/>
          <w:bCs/>
          <w:sz w:val="24"/>
        </w:rPr>
        <w:t>52. ierāmējums. Nemonetāro mainīgo lielumu pārvēršana naudas izteiksmē</w:t>
      </w:r>
      <w:r w:rsidR="00CC1B8C">
        <w:rPr>
          <w:rFonts w:ascii="Times New Roman" w:hAnsi="Times New Roman"/>
          <w:bCs/>
          <w:sz w:val="24"/>
        </w:rPr>
        <w:tab/>
      </w:r>
      <w:r w:rsidR="005932ED">
        <w:rPr>
          <w:rFonts w:ascii="Times New Roman" w:hAnsi="Times New Roman"/>
          <w:bCs/>
          <w:sz w:val="24"/>
        </w:rPr>
        <w:t>77</w:t>
      </w:r>
    </w:p>
    <w:p w14:paraId="372F2237" w14:textId="201E22E4" w:rsidR="009C39FB" w:rsidRPr="007348EE" w:rsidRDefault="009C39FB" w:rsidP="00CC1B8C">
      <w:pPr>
        <w:tabs>
          <w:tab w:val="left" w:leader="dot" w:pos="8789"/>
          <w:tab w:val="left" w:leader="dot" w:pos="9072"/>
        </w:tabs>
        <w:jc w:val="both"/>
        <w:rPr>
          <w:rFonts w:ascii="Times New Roman" w:hAnsi="Times New Roman"/>
          <w:bCs/>
          <w:noProof/>
          <w:sz w:val="24"/>
        </w:rPr>
      </w:pPr>
      <w:r w:rsidRPr="007348EE">
        <w:rPr>
          <w:rFonts w:ascii="Times New Roman" w:hAnsi="Times New Roman"/>
          <w:bCs/>
          <w:sz w:val="24"/>
        </w:rPr>
        <w:t>53. ierāmējums. Cenu salīdzinājums bezrecepšu zālēm</w:t>
      </w:r>
      <w:r w:rsidR="00CC1B8C">
        <w:rPr>
          <w:rFonts w:ascii="Times New Roman" w:hAnsi="Times New Roman"/>
          <w:bCs/>
          <w:sz w:val="24"/>
        </w:rPr>
        <w:tab/>
      </w:r>
      <w:r w:rsidR="005932ED">
        <w:rPr>
          <w:rFonts w:ascii="Times New Roman" w:hAnsi="Times New Roman"/>
          <w:bCs/>
          <w:sz w:val="24"/>
        </w:rPr>
        <w:t>79</w:t>
      </w:r>
    </w:p>
    <w:p w14:paraId="10922004" w14:textId="3F2D511B" w:rsidR="009C39FB" w:rsidRPr="007348EE" w:rsidRDefault="009C39FB" w:rsidP="00CC1B8C">
      <w:pPr>
        <w:tabs>
          <w:tab w:val="left" w:leader="dot" w:pos="8789"/>
          <w:tab w:val="left" w:leader="dot" w:pos="9072"/>
        </w:tabs>
        <w:jc w:val="both"/>
        <w:rPr>
          <w:rFonts w:ascii="Times New Roman" w:hAnsi="Times New Roman"/>
          <w:bCs/>
          <w:noProof/>
          <w:sz w:val="24"/>
        </w:rPr>
      </w:pPr>
      <w:r w:rsidRPr="007348EE">
        <w:rPr>
          <w:rFonts w:ascii="Times New Roman" w:hAnsi="Times New Roman"/>
          <w:bCs/>
          <w:sz w:val="24"/>
        </w:rPr>
        <w:t>54. ierāmējums. Pakalpojumu sniegšana nelielām kopienām</w:t>
      </w:r>
      <w:r w:rsidR="00CC1B8C">
        <w:rPr>
          <w:rFonts w:ascii="Times New Roman" w:hAnsi="Times New Roman"/>
          <w:bCs/>
          <w:sz w:val="24"/>
        </w:rPr>
        <w:tab/>
      </w:r>
      <w:r w:rsidR="005932ED">
        <w:rPr>
          <w:rFonts w:ascii="Times New Roman" w:hAnsi="Times New Roman"/>
          <w:bCs/>
          <w:sz w:val="24"/>
        </w:rPr>
        <w:t>79</w:t>
      </w:r>
    </w:p>
    <w:p w14:paraId="2F939682" w14:textId="488D4F33" w:rsidR="009C39FB" w:rsidRPr="007348EE" w:rsidRDefault="009C39FB" w:rsidP="00CC1B8C">
      <w:pPr>
        <w:tabs>
          <w:tab w:val="left" w:leader="dot" w:pos="8789"/>
          <w:tab w:val="left" w:leader="dot" w:pos="9072"/>
        </w:tabs>
        <w:jc w:val="both"/>
        <w:rPr>
          <w:rFonts w:ascii="Times New Roman" w:hAnsi="Times New Roman"/>
          <w:bCs/>
          <w:noProof/>
          <w:sz w:val="24"/>
        </w:rPr>
      </w:pPr>
      <w:r w:rsidRPr="007348EE">
        <w:rPr>
          <w:rFonts w:ascii="Times New Roman" w:hAnsi="Times New Roman"/>
          <w:bCs/>
          <w:sz w:val="24"/>
        </w:rPr>
        <w:t>55. ierāmējums. Ekskluzīvu līgumu slēgšana paaugstina cenas beznodokļu veikalos</w:t>
      </w:r>
      <w:r w:rsidR="00CC1B8C">
        <w:rPr>
          <w:rFonts w:ascii="Times New Roman" w:hAnsi="Times New Roman"/>
          <w:bCs/>
          <w:sz w:val="24"/>
        </w:rPr>
        <w:tab/>
      </w:r>
      <w:r w:rsidR="005932ED">
        <w:rPr>
          <w:rFonts w:ascii="Times New Roman" w:hAnsi="Times New Roman"/>
          <w:bCs/>
          <w:sz w:val="24"/>
        </w:rPr>
        <w:t>79</w:t>
      </w:r>
    </w:p>
    <w:p w14:paraId="4A619B7B" w14:textId="702441EC" w:rsidR="009C39FB" w:rsidRPr="007348EE" w:rsidRDefault="009C39FB" w:rsidP="00CC1B8C">
      <w:pPr>
        <w:tabs>
          <w:tab w:val="left" w:leader="dot" w:pos="8789"/>
          <w:tab w:val="left" w:leader="dot" w:pos="9072"/>
        </w:tabs>
        <w:jc w:val="both"/>
        <w:rPr>
          <w:rFonts w:ascii="Times New Roman" w:hAnsi="Times New Roman"/>
          <w:bCs/>
          <w:noProof/>
          <w:sz w:val="24"/>
        </w:rPr>
      </w:pPr>
      <w:r w:rsidRPr="007348EE">
        <w:rPr>
          <w:rFonts w:ascii="Times New Roman" w:hAnsi="Times New Roman"/>
          <w:bCs/>
          <w:sz w:val="24"/>
        </w:rPr>
        <w:t>56. ierāmējums. Eksperimentālie pētījumi par informācijas izpaušanu</w:t>
      </w:r>
      <w:r w:rsidR="00CC1B8C">
        <w:rPr>
          <w:rFonts w:ascii="Times New Roman" w:hAnsi="Times New Roman"/>
          <w:bCs/>
          <w:sz w:val="24"/>
        </w:rPr>
        <w:tab/>
      </w:r>
      <w:r w:rsidR="005932ED">
        <w:rPr>
          <w:rFonts w:ascii="Times New Roman" w:hAnsi="Times New Roman"/>
          <w:bCs/>
          <w:sz w:val="24"/>
        </w:rPr>
        <w:t>80</w:t>
      </w:r>
    </w:p>
    <w:p w14:paraId="361D1765" w14:textId="3A01F83D" w:rsidR="009C39FB" w:rsidRPr="007348EE" w:rsidRDefault="007348EE" w:rsidP="00CC1B8C">
      <w:pPr>
        <w:tabs>
          <w:tab w:val="left" w:leader="dot" w:pos="8789"/>
          <w:tab w:val="left" w:leader="dot" w:pos="9072"/>
        </w:tabs>
        <w:jc w:val="both"/>
        <w:rPr>
          <w:rFonts w:ascii="Times New Roman" w:hAnsi="Times New Roman"/>
          <w:bCs/>
          <w:noProof/>
          <w:sz w:val="24"/>
        </w:rPr>
      </w:pPr>
      <w:r w:rsidRPr="007348EE">
        <w:rPr>
          <w:rFonts w:ascii="Times New Roman" w:hAnsi="Times New Roman"/>
          <w:bCs/>
          <w:sz w:val="24"/>
        </w:rPr>
        <w:t>57. ierāmējums. Federālo lidojumu cenu salīdzināšana ar štatu regulēto lidojumu cenām</w:t>
      </w:r>
      <w:r w:rsidR="00CC1B8C">
        <w:rPr>
          <w:rFonts w:ascii="Times New Roman" w:hAnsi="Times New Roman"/>
          <w:bCs/>
          <w:sz w:val="24"/>
        </w:rPr>
        <w:tab/>
      </w:r>
      <w:r w:rsidR="005932ED">
        <w:rPr>
          <w:rFonts w:ascii="Times New Roman" w:hAnsi="Times New Roman"/>
          <w:bCs/>
          <w:sz w:val="24"/>
        </w:rPr>
        <w:t>81</w:t>
      </w:r>
    </w:p>
    <w:p w14:paraId="3A2FD7DD" w14:textId="789D1F96" w:rsidR="009C39FB" w:rsidRPr="007348EE" w:rsidRDefault="007348EE" w:rsidP="00CC1B8C">
      <w:pPr>
        <w:tabs>
          <w:tab w:val="left" w:leader="dot" w:pos="8789"/>
          <w:tab w:val="left" w:leader="dot" w:pos="9072"/>
        </w:tabs>
        <w:jc w:val="both"/>
        <w:rPr>
          <w:rFonts w:ascii="Times New Roman" w:hAnsi="Times New Roman"/>
          <w:bCs/>
          <w:noProof/>
          <w:sz w:val="24"/>
        </w:rPr>
      </w:pPr>
      <w:r w:rsidRPr="007348EE">
        <w:rPr>
          <w:rFonts w:ascii="Times New Roman" w:hAnsi="Times New Roman"/>
          <w:bCs/>
          <w:sz w:val="24"/>
        </w:rPr>
        <w:t>58. ierāmējums. Atbilstošu mainīgo lielumu izraudzīšanās</w:t>
      </w:r>
      <w:r w:rsidR="00CC1B8C">
        <w:rPr>
          <w:rFonts w:ascii="Times New Roman" w:hAnsi="Times New Roman"/>
          <w:bCs/>
          <w:sz w:val="24"/>
        </w:rPr>
        <w:tab/>
      </w:r>
      <w:r w:rsidR="005932ED">
        <w:rPr>
          <w:rFonts w:ascii="Times New Roman" w:hAnsi="Times New Roman"/>
          <w:bCs/>
          <w:sz w:val="24"/>
        </w:rPr>
        <w:t>85</w:t>
      </w:r>
    </w:p>
    <w:p w14:paraId="50FF4195" w14:textId="6B83D229" w:rsidR="009C39FB" w:rsidRDefault="009C39FB" w:rsidP="00CC1B8C">
      <w:pPr>
        <w:tabs>
          <w:tab w:val="left" w:leader="dot" w:pos="8789"/>
          <w:tab w:val="left" w:leader="dot" w:pos="9072"/>
        </w:tabs>
        <w:jc w:val="both"/>
        <w:rPr>
          <w:rFonts w:ascii="Times New Roman" w:hAnsi="Times New Roman"/>
          <w:bCs/>
          <w:noProof/>
          <w:sz w:val="24"/>
        </w:rPr>
      </w:pPr>
    </w:p>
    <w:p w14:paraId="3B22515A" w14:textId="3ED1BF1E" w:rsidR="009C39FB" w:rsidRDefault="007348EE" w:rsidP="00CC1B8C">
      <w:pPr>
        <w:tabs>
          <w:tab w:val="left" w:leader="dot" w:pos="8789"/>
          <w:tab w:val="left" w:leader="dot" w:pos="9072"/>
        </w:tabs>
        <w:jc w:val="both"/>
        <w:rPr>
          <w:rFonts w:ascii="Times New Roman" w:hAnsi="Times New Roman"/>
          <w:bCs/>
          <w:noProof/>
          <w:sz w:val="24"/>
        </w:rPr>
      </w:pPr>
      <w:r>
        <w:rPr>
          <w:rFonts w:ascii="Times New Roman" w:hAnsi="Times New Roman"/>
          <w:b/>
          <w:sz w:val="24"/>
        </w:rPr>
        <w:t>Detalizēts piemērs. Iespējamo reformas risinājumu novērtēšana</w:t>
      </w:r>
      <w:r w:rsidR="00CC1B8C">
        <w:rPr>
          <w:rFonts w:ascii="Times New Roman" w:hAnsi="Times New Roman"/>
          <w:b/>
          <w:sz w:val="24"/>
        </w:rPr>
        <w:tab/>
        <w:t>88</w:t>
      </w:r>
    </w:p>
    <w:p w14:paraId="1005991F" w14:textId="41D003EB" w:rsidR="007348EE" w:rsidRDefault="007348EE" w:rsidP="00CC1B8C">
      <w:pPr>
        <w:tabs>
          <w:tab w:val="left" w:leader="dot" w:pos="8789"/>
          <w:tab w:val="left" w:leader="dot" w:pos="9072"/>
        </w:tabs>
        <w:jc w:val="both"/>
        <w:rPr>
          <w:rFonts w:ascii="Times New Roman" w:hAnsi="Times New Roman"/>
          <w:bCs/>
          <w:noProof/>
          <w:sz w:val="24"/>
        </w:rPr>
      </w:pPr>
    </w:p>
    <w:p w14:paraId="6433170D" w14:textId="0F9DC508" w:rsidR="007348EE" w:rsidRPr="007348EE" w:rsidRDefault="007348EE" w:rsidP="00CC1B8C">
      <w:pPr>
        <w:tabs>
          <w:tab w:val="left" w:leader="dot" w:pos="8789"/>
          <w:tab w:val="left" w:leader="dot" w:pos="9072"/>
        </w:tabs>
        <w:jc w:val="both"/>
        <w:rPr>
          <w:rFonts w:ascii="Times New Roman" w:hAnsi="Times New Roman"/>
          <w:bCs/>
          <w:noProof/>
          <w:sz w:val="24"/>
        </w:rPr>
      </w:pPr>
      <w:r w:rsidRPr="007348EE">
        <w:rPr>
          <w:rFonts w:ascii="Times New Roman" w:hAnsi="Times New Roman"/>
          <w:bCs/>
          <w:sz w:val="24"/>
        </w:rPr>
        <w:t>59. ierāmējums. Neto ieguvumu salīdzināšana, lai noteiktu labāko risinājumi</w:t>
      </w:r>
      <w:r w:rsidR="00CC1B8C">
        <w:rPr>
          <w:rFonts w:ascii="Times New Roman" w:hAnsi="Times New Roman"/>
          <w:bCs/>
          <w:sz w:val="24"/>
        </w:rPr>
        <w:tab/>
        <w:t>96</w:t>
      </w:r>
    </w:p>
    <w:p w14:paraId="36A63265" w14:textId="329C834C" w:rsidR="009C39FB" w:rsidRPr="007348EE" w:rsidRDefault="007348EE" w:rsidP="00CC1B8C">
      <w:pPr>
        <w:tabs>
          <w:tab w:val="left" w:leader="dot" w:pos="8789"/>
          <w:tab w:val="left" w:leader="dot" w:pos="9072"/>
        </w:tabs>
        <w:jc w:val="both"/>
        <w:rPr>
          <w:rFonts w:ascii="Times New Roman" w:hAnsi="Times New Roman"/>
          <w:bCs/>
          <w:noProof/>
          <w:sz w:val="24"/>
        </w:rPr>
      </w:pPr>
      <w:r w:rsidRPr="007348EE">
        <w:rPr>
          <w:rFonts w:ascii="Times New Roman" w:hAnsi="Times New Roman"/>
          <w:bCs/>
          <w:sz w:val="24"/>
        </w:rPr>
        <w:t>60. ierāmējums. Ieviešanas laiks un ietekme uz konkurenci</w:t>
      </w:r>
      <w:r w:rsidR="00CC1B8C">
        <w:rPr>
          <w:rFonts w:ascii="Times New Roman" w:hAnsi="Times New Roman"/>
          <w:bCs/>
          <w:sz w:val="24"/>
        </w:rPr>
        <w:tab/>
        <w:t>98</w:t>
      </w:r>
    </w:p>
    <w:p w14:paraId="4F83DF83" w14:textId="77777777" w:rsidR="00F82D09" w:rsidRDefault="00F82D09" w:rsidP="00CC1B8C">
      <w:pPr>
        <w:tabs>
          <w:tab w:val="left" w:leader="dot" w:pos="8789"/>
          <w:tab w:val="left" w:leader="dot" w:pos="9072"/>
        </w:tabs>
        <w:jc w:val="both"/>
        <w:rPr>
          <w:rFonts w:ascii="Times New Roman" w:hAnsi="Times New Roman"/>
          <w:bCs/>
          <w:noProof/>
          <w:sz w:val="24"/>
        </w:rPr>
      </w:pPr>
    </w:p>
    <w:p w14:paraId="6AEEBA9F" w14:textId="3965C7B6" w:rsidR="009846D8" w:rsidRDefault="007348EE" w:rsidP="00CC1B8C">
      <w:pPr>
        <w:tabs>
          <w:tab w:val="left" w:leader="dot" w:pos="8647"/>
        </w:tabs>
        <w:jc w:val="both"/>
        <w:rPr>
          <w:rFonts w:ascii="Times New Roman" w:hAnsi="Times New Roman"/>
          <w:bCs/>
          <w:noProof/>
          <w:sz w:val="24"/>
        </w:rPr>
      </w:pPr>
      <w:r>
        <w:rPr>
          <w:rFonts w:ascii="Times New Roman" w:hAnsi="Times New Roman"/>
          <w:b/>
          <w:sz w:val="24"/>
        </w:rPr>
        <w:t>Detalizēts piemērs. Ieteikums</w:t>
      </w:r>
      <w:r w:rsidR="00CC1B8C">
        <w:rPr>
          <w:rFonts w:ascii="Times New Roman" w:hAnsi="Times New Roman"/>
          <w:b/>
          <w:sz w:val="24"/>
        </w:rPr>
        <w:tab/>
        <w:t>101</w:t>
      </w:r>
    </w:p>
    <w:p w14:paraId="51FCD2A8" w14:textId="6B2A591C" w:rsidR="007348EE" w:rsidRDefault="007348EE" w:rsidP="00CC1B8C">
      <w:pPr>
        <w:tabs>
          <w:tab w:val="left" w:leader="dot" w:pos="8789"/>
          <w:tab w:val="left" w:leader="dot" w:pos="9072"/>
        </w:tabs>
        <w:jc w:val="both"/>
        <w:rPr>
          <w:rFonts w:ascii="Times New Roman" w:hAnsi="Times New Roman"/>
          <w:bCs/>
          <w:noProof/>
          <w:sz w:val="24"/>
        </w:rPr>
      </w:pPr>
    </w:p>
    <w:p w14:paraId="52A97E75" w14:textId="613F7BF5" w:rsidR="007348EE" w:rsidRPr="007348EE" w:rsidRDefault="007348EE" w:rsidP="00CC1B8C">
      <w:pPr>
        <w:tabs>
          <w:tab w:val="left" w:leader="dot" w:pos="8647"/>
        </w:tabs>
        <w:jc w:val="both"/>
        <w:rPr>
          <w:rFonts w:ascii="Times New Roman" w:hAnsi="Times New Roman"/>
          <w:bCs/>
          <w:noProof/>
          <w:sz w:val="24"/>
        </w:rPr>
      </w:pPr>
      <w:r w:rsidRPr="007348EE">
        <w:rPr>
          <w:rFonts w:ascii="Times New Roman" w:hAnsi="Times New Roman"/>
          <w:bCs/>
          <w:sz w:val="24"/>
        </w:rPr>
        <w:t>61. ierāmējums. Valsts atbalsta ietekmes novērtēšana</w:t>
      </w:r>
      <w:r w:rsidR="00CC1B8C">
        <w:rPr>
          <w:rFonts w:ascii="Times New Roman" w:hAnsi="Times New Roman"/>
          <w:bCs/>
          <w:sz w:val="24"/>
        </w:rPr>
        <w:tab/>
        <w:t>103</w:t>
      </w:r>
    </w:p>
    <w:p w14:paraId="03C67E44" w14:textId="4D74FF07" w:rsidR="007348EE" w:rsidRPr="007348EE" w:rsidRDefault="007348EE" w:rsidP="00CC1B8C">
      <w:pPr>
        <w:tabs>
          <w:tab w:val="left" w:leader="dot" w:pos="8647"/>
        </w:tabs>
        <w:jc w:val="both"/>
        <w:rPr>
          <w:rFonts w:ascii="Times New Roman" w:hAnsi="Times New Roman"/>
          <w:bCs/>
          <w:noProof/>
          <w:sz w:val="24"/>
        </w:rPr>
      </w:pPr>
      <w:r w:rsidRPr="007348EE">
        <w:rPr>
          <w:rFonts w:ascii="Times New Roman" w:hAnsi="Times New Roman"/>
          <w:bCs/>
          <w:sz w:val="24"/>
        </w:rPr>
        <w:t xml:space="preserve">62. ierāmējums. Ieiešanu tirgū ierobežojoša regulējuma atcelšanas </w:t>
      </w:r>
      <w:r w:rsidR="00536E84">
        <w:rPr>
          <w:rFonts w:ascii="Times New Roman" w:hAnsi="Times New Roman"/>
          <w:bCs/>
          <w:i/>
          <w:iCs/>
          <w:sz w:val="24"/>
        </w:rPr>
        <w:t>ex-post</w:t>
      </w:r>
      <w:r w:rsidRPr="007348EE">
        <w:rPr>
          <w:rFonts w:ascii="Times New Roman" w:hAnsi="Times New Roman"/>
          <w:bCs/>
          <w:sz w:val="24"/>
        </w:rPr>
        <w:t xml:space="preserve"> novērtējums</w:t>
      </w:r>
      <w:r w:rsidR="00CC1B8C">
        <w:rPr>
          <w:rFonts w:ascii="Times New Roman" w:hAnsi="Times New Roman"/>
          <w:bCs/>
          <w:sz w:val="24"/>
        </w:rPr>
        <w:tab/>
        <w:t>104</w:t>
      </w:r>
    </w:p>
    <w:p w14:paraId="6A16B86F" w14:textId="66C51B26" w:rsidR="009846D8" w:rsidRPr="007348EE" w:rsidRDefault="007348EE" w:rsidP="00CC1B8C">
      <w:pPr>
        <w:tabs>
          <w:tab w:val="left" w:leader="dot" w:pos="8647"/>
        </w:tabs>
        <w:jc w:val="both"/>
        <w:rPr>
          <w:rFonts w:ascii="Times New Roman" w:hAnsi="Times New Roman"/>
          <w:bCs/>
          <w:noProof/>
          <w:sz w:val="24"/>
        </w:rPr>
      </w:pPr>
      <w:r w:rsidRPr="007348EE">
        <w:rPr>
          <w:rFonts w:ascii="Times New Roman" w:hAnsi="Times New Roman"/>
          <w:bCs/>
          <w:sz w:val="24"/>
        </w:rPr>
        <w:t xml:space="preserve">63. ierāmējums. </w:t>
      </w:r>
      <w:r w:rsidR="0056161C">
        <w:rPr>
          <w:rFonts w:ascii="Times New Roman" w:hAnsi="Times New Roman"/>
          <w:bCs/>
          <w:i/>
          <w:iCs/>
          <w:sz w:val="24"/>
        </w:rPr>
        <w:t>Ex-post</w:t>
      </w:r>
      <w:r w:rsidRPr="007348EE">
        <w:rPr>
          <w:rFonts w:ascii="Times New Roman" w:hAnsi="Times New Roman"/>
          <w:bCs/>
          <w:sz w:val="24"/>
        </w:rPr>
        <w:t xml:space="preserve"> novērtējums</w:t>
      </w:r>
      <w:r w:rsidR="00CC1B8C">
        <w:rPr>
          <w:rFonts w:ascii="Times New Roman" w:hAnsi="Times New Roman"/>
          <w:bCs/>
          <w:sz w:val="24"/>
        </w:rPr>
        <w:tab/>
        <w:t>104</w:t>
      </w:r>
    </w:p>
    <w:p w14:paraId="75B895EA" w14:textId="3DC17E21" w:rsidR="009846D8" w:rsidRPr="007348EE" w:rsidRDefault="007348EE" w:rsidP="00CC1B8C">
      <w:pPr>
        <w:tabs>
          <w:tab w:val="left" w:leader="dot" w:pos="8647"/>
        </w:tabs>
        <w:jc w:val="both"/>
        <w:rPr>
          <w:rFonts w:ascii="Times New Roman" w:hAnsi="Times New Roman"/>
          <w:bCs/>
          <w:noProof/>
          <w:sz w:val="24"/>
        </w:rPr>
      </w:pPr>
      <w:r w:rsidRPr="007348EE">
        <w:rPr>
          <w:rFonts w:ascii="Times New Roman" w:hAnsi="Times New Roman"/>
          <w:bCs/>
          <w:sz w:val="24"/>
        </w:rPr>
        <w:t>64. ierāmējums. Austrālija. Retrospektīvā novērtēšana, ja nav veikts iepriekšējs novērtējums</w:t>
      </w:r>
      <w:r w:rsidR="00CC1B8C">
        <w:rPr>
          <w:rFonts w:ascii="Times New Roman" w:hAnsi="Times New Roman"/>
          <w:bCs/>
          <w:sz w:val="24"/>
        </w:rPr>
        <w:tab/>
        <w:t>105</w:t>
      </w:r>
    </w:p>
    <w:p w14:paraId="58030B51" w14:textId="77777777" w:rsidR="005411E0" w:rsidRPr="005411E0" w:rsidRDefault="005411E0" w:rsidP="004D11C9">
      <w:pPr>
        <w:jc w:val="both"/>
        <w:rPr>
          <w:rFonts w:ascii="Times New Roman" w:hAnsi="Times New Roman"/>
          <w:bCs/>
          <w:noProof/>
          <w:sz w:val="24"/>
        </w:rPr>
      </w:pPr>
    </w:p>
    <w:p w14:paraId="55B1EE97" w14:textId="70359DD6" w:rsidR="001B172E" w:rsidRDefault="001B172E">
      <w:pPr>
        <w:rPr>
          <w:rFonts w:ascii="Times New Roman" w:eastAsia="Arial" w:hAnsi="Times New Roman" w:cs="Arial"/>
          <w:noProof/>
          <w:sz w:val="24"/>
          <w:szCs w:val="52"/>
        </w:rPr>
      </w:pPr>
      <w:r>
        <w:br w:type="page"/>
      </w:r>
    </w:p>
    <w:p w14:paraId="73FDBDE9" w14:textId="77777777" w:rsidR="000A6469" w:rsidRPr="004D11C9" w:rsidRDefault="000A6469" w:rsidP="004D11C9">
      <w:pPr>
        <w:jc w:val="both"/>
        <w:rPr>
          <w:rFonts w:ascii="Times New Roman" w:eastAsia="Arial" w:hAnsi="Times New Roman" w:cs="Arial"/>
          <w:noProof/>
          <w:sz w:val="24"/>
          <w:szCs w:val="52"/>
        </w:rPr>
      </w:pPr>
    </w:p>
    <w:p w14:paraId="7E50C8D3" w14:textId="36628D19" w:rsidR="000A6469" w:rsidRPr="004D11C9" w:rsidRDefault="000A6469" w:rsidP="00F4401E">
      <w:pPr>
        <w:pStyle w:val="Heading1"/>
        <w:spacing w:before="0"/>
        <w:ind w:left="0"/>
        <w:jc w:val="both"/>
        <w:rPr>
          <w:rFonts w:ascii="Times New Roman" w:hAnsi="Times New Roman"/>
          <w:noProof/>
          <w:sz w:val="24"/>
        </w:rPr>
      </w:pPr>
      <w:bookmarkStart w:id="10" w:name="Chapter_1_Introduction_to_competition_as"/>
      <w:bookmarkStart w:id="11" w:name="_bookmark0"/>
      <w:bookmarkStart w:id="12" w:name="_Toc62650465"/>
      <w:bookmarkEnd w:id="10"/>
      <w:bookmarkEnd w:id="11"/>
      <w:r w:rsidRPr="00887892">
        <w:rPr>
          <w:rFonts w:ascii="Times New Roman" w:hAnsi="Times New Roman"/>
          <w:sz w:val="28"/>
          <w:szCs w:val="56"/>
        </w:rPr>
        <w:t>1. nodaļa</w:t>
      </w:r>
      <w:r w:rsidR="00F4401E">
        <w:rPr>
          <w:rFonts w:ascii="Times New Roman" w:hAnsi="Times New Roman"/>
          <w:sz w:val="24"/>
        </w:rPr>
        <w:br/>
      </w:r>
      <w:r>
        <w:rPr>
          <w:rFonts w:ascii="Times New Roman" w:hAnsi="Times New Roman"/>
          <w:sz w:val="24"/>
        </w:rPr>
        <w:t>Ievads konkurences novērtēšanā</w:t>
      </w:r>
      <w:bookmarkEnd w:id="12"/>
    </w:p>
    <w:p w14:paraId="7C3545E1" w14:textId="77777777" w:rsidR="000A6469" w:rsidRPr="004D11C9" w:rsidRDefault="000A6469" w:rsidP="004D11C9">
      <w:pPr>
        <w:jc w:val="both"/>
        <w:rPr>
          <w:rFonts w:ascii="Times New Roman" w:eastAsia="Arial" w:hAnsi="Times New Roman" w:cs="Arial"/>
          <w:b/>
          <w:bCs/>
          <w:noProof/>
          <w:sz w:val="24"/>
          <w:szCs w:val="36"/>
        </w:rPr>
      </w:pPr>
    </w:p>
    <w:p w14:paraId="22C6B310"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Šajā rokasgrāmatā ir izklāstīts, kā novērtēt likumu, noteikumu un politikas ietekmi uz konkurenci un kā pārskatīt noteikumus vai politiku, lai panāktu, ka tie vairāk veicina konkurenci. Šo procesu dēvē par konkurences novērtēšanu. Šis process var sniegt ievērojamu labumu patērētājiem un ievērojami palielināt produktivitāti. Vienā liela mēroga konkurences novērtēšanas projektā saimnieciskais labums no ieteikto izmaiņu īstenošanas sasniegtu aptuveni 5,2 miljardus EUR (ESAO, 2014a). Citā projektā aprēķināts, ka saimnieciskais labums ir sasniedzis aptuveni 2,5 % no IKP vai lielāku apmēru (Sims, R., 2013 un Produktivitātes komisija, 2005). Lai gan ne visiem projektiem būs tik liela ietekme, konkurences novērtēšana bieži vien var sniegt ievērojamu labumu.</w:t>
      </w:r>
    </w:p>
    <w:p w14:paraId="3BD03D10" w14:textId="77777777" w:rsidR="000A6469" w:rsidRPr="004D11C9" w:rsidRDefault="000A6469" w:rsidP="004D11C9">
      <w:pPr>
        <w:jc w:val="both"/>
        <w:rPr>
          <w:rFonts w:ascii="Times New Roman" w:eastAsia="Arial" w:hAnsi="Times New Roman" w:cs="Arial"/>
          <w:noProof/>
          <w:sz w:val="24"/>
          <w:szCs w:val="20"/>
        </w:rPr>
      </w:pPr>
    </w:p>
    <w:p w14:paraId="3EC356E5"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Likumi, noteikumi un valdības iejaukšanās pasākumi bieži ierobežo konkurenci tirgū. Nevajadzīgu konkurences ierobežojumu likvidēšana un tādu alternatīvu izstrāde, kas joprojām sasniedz tos pašus politikas mērķus, var sniegt būtisku labumu. Vērtētājs var izstrādāt konkurenci veicinošus noteikumus:</w:t>
      </w:r>
    </w:p>
    <w:p w14:paraId="66E95EFD" w14:textId="77777777" w:rsidR="000A6469" w:rsidRPr="004D11C9" w:rsidRDefault="000A6469" w:rsidP="004D11C9">
      <w:pPr>
        <w:jc w:val="both"/>
        <w:rPr>
          <w:rFonts w:ascii="Times New Roman" w:eastAsia="Arial" w:hAnsi="Times New Roman" w:cs="Arial"/>
          <w:noProof/>
          <w:sz w:val="24"/>
          <w:szCs w:val="20"/>
        </w:rPr>
      </w:pPr>
    </w:p>
    <w:p w14:paraId="21EDFAE9" w14:textId="3B78FC6B" w:rsidR="000A6469" w:rsidRPr="004D11C9" w:rsidRDefault="001B172E" w:rsidP="001B172E">
      <w:pPr>
        <w:pStyle w:val="BodyText"/>
        <w:tabs>
          <w:tab w:val="left" w:pos="963"/>
        </w:tabs>
        <w:ind w:left="0" w:firstLine="0"/>
        <w:jc w:val="both"/>
        <w:rPr>
          <w:rFonts w:ascii="Times New Roman" w:hAnsi="Times New Roman"/>
          <w:noProof/>
          <w:sz w:val="24"/>
        </w:rPr>
      </w:pPr>
      <w:r>
        <w:rPr>
          <w:rFonts w:ascii="Times New Roman" w:hAnsi="Times New Roman"/>
          <w:sz w:val="24"/>
        </w:rPr>
        <w:t>1. identificējot konkurences ierobežojumus;</w:t>
      </w:r>
    </w:p>
    <w:p w14:paraId="41BF7ECE" w14:textId="3A5887C8" w:rsidR="000A6469" w:rsidRPr="004D11C9" w:rsidRDefault="001B172E" w:rsidP="001B172E">
      <w:pPr>
        <w:pStyle w:val="BodyText"/>
        <w:tabs>
          <w:tab w:val="left" w:pos="963"/>
        </w:tabs>
        <w:ind w:left="0" w:firstLine="0"/>
        <w:jc w:val="both"/>
        <w:rPr>
          <w:rFonts w:ascii="Times New Roman" w:hAnsi="Times New Roman"/>
          <w:noProof/>
          <w:sz w:val="24"/>
        </w:rPr>
      </w:pPr>
      <w:r>
        <w:rPr>
          <w:rFonts w:ascii="Times New Roman" w:hAnsi="Times New Roman"/>
          <w:sz w:val="24"/>
        </w:rPr>
        <w:t>2. izstrādājot iespējamos politikas risinājumus;</w:t>
      </w:r>
    </w:p>
    <w:p w14:paraId="6A708D95" w14:textId="182D9DF5" w:rsidR="000A6469" w:rsidRPr="004D11C9" w:rsidRDefault="001B172E" w:rsidP="001B172E">
      <w:pPr>
        <w:pStyle w:val="BodyText"/>
        <w:tabs>
          <w:tab w:val="left" w:pos="963"/>
        </w:tabs>
        <w:ind w:left="0" w:firstLine="0"/>
        <w:jc w:val="both"/>
        <w:rPr>
          <w:rFonts w:ascii="Times New Roman" w:hAnsi="Times New Roman"/>
          <w:noProof/>
          <w:sz w:val="24"/>
        </w:rPr>
      </w:pPr>
      <w:r>
        <w:rPr>
          <w:rFonts w:ascii="Times New Roman" w:hAnsi="Times New Roman"/>
          <w:sz w:val="24"/>
        </w:rPr>
        <w:t>3. salīdzinot iespējamos politikas risinājumus;</w:t>
      </w:r>
    </w:p>
    <w:p w14:paraId="7AF48AC8" w14:textId="011F42A0" w:rsidR="000A6469" w:rsidRPr="004D11C9" w:rsidRDefault="001B172E" w:rsidP="001B172E">
      <w:pPr>
        <w:pStyle w:val="BodyText"/>
        <w:tabs>
          <w:tab w:val="left" w:pos="963"/>
        </w:tabs>
        <w:ind w:left="0" w:firstLine="0"/>
        <w:jc w:val="both"/>
        <w:rPr>
          <w:rFonts w:ascii="Times New Roman" w:hAnsi="Times New Roman"/>
          <w:noProof/>
          <w:sz w:val="24"/>
        </w:rPr>
      </w:pPr>
      <w:r>
        <w:rPr>
          <w:rFonts w:ascii="Times New Roman" w:hAnsi="Times New Roman"/>
          <w:sz w:val="24"/>
        </w:rPr>
        <w:t>4. iesakot vienu vai vairākus ieteicamos risinājumus.</w:t>
      </w:r>
    </w:p>
    <w:p w14:paraId="127D0BF3" w14:textId="77777777" w:rsidR="000A6469" w:rsidRPr="004D11C9" w:rsidRDefault="000A6469" w:rsidP="004D11C9">
      <w:pPr>
        <w:jc w:val="both"/>
        <w:rPr>
          <w:rFonts w:ascii="Times New Roman" w:eastAsia="Arial" w:hAnsi="Times New Roman" w:cs="Arial"/>
          <w:noProof/>
          <w:sz w:val="24"/>
          <w:szCs w:val="21"/>
        </w:rPr>
      </w:pPr>
    </w:p>
    <w:p w14:paraId="50BE55E0" w14:textId="05A50F5D"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Daudzas valstis jau ir iesaistījušās konkurences novērtēšanas pasākumos. Šī sējuma mērķis ir apkopot šo pieredzi praktiskā konkurences novērtēšanas pieejā un papildināt to ar ilustratīviem piemēriem. Šī pieeja ir piemērota jaunu noteikumu iepriekšējai izskatīšanai vai spēkā esošu noteikumu pārskatīšanai. Viena no galvenajām atziņām no reformas ir tāda, ka ir ievērojami vieglāk apturēt konkurenci kropļojošu noteikumu izstrādi, nevis rosināt izmaiņas šādos noteikumos pēc to stāšanās spēkā. Lai nodrošinātu efektīvu konkurences novērtēšanas režīmu, pirms noteikumu stāšanās spēkā ir jāpārbauda, vai tie nekropļo konkurenci.</w:t>
      </w:r>
    </w:p>
    <w:p w14:paraId="30F1604C" w14:textId="77777777" w:rsidR="000A6469" w:rsidRPr="004D11C9" w:rsidRDefault="000A6469" w:rsidP="004D11C9">
      <w:pPr>
        <w:jc w:val="both"/>
        <w:rPr>
          <w:rFonts w:ascii="Times New Roman" w:eastAsia="Arial" w:hAnsi="Times New Roman" w:cs="Arial"/>
          <w:noProof/>
          <w:sz w:val="24"/>
          <w:szCs w:val="20"/>
        </w:rPr>
      </w:pPr>
    </w:p>
    <w:p w14:paraId="370808FE" w14:textId="52E28859" w:rsidR="000A6469" w:rsidRPr="004D11C9" w:rsidRDefault="000A6469" w:rsidP="004D11C9">
      <w:pPr>
        <w:pStyle w:val="BodyText"/>
        <w:ind w:left="0" w:firstLine="0"/>
        <w:jc w:val="both"/>
        <w:rPr>
          <w:rFonts w:ascii="Times New Roman" w:hAnsi="Times New Roman"/>
          <w:noProof/>
          <w:sz w:val="24"/>
          <w:szCs w:val="13"/>
        </w:rPr>
      </w:pPr>
      <w:r>
        <w:rPr>
          <w:rFonts w:ascii="Times New Roman" w:hAnsi="Times New Roman"/>
          <w:sz w:val="24"/>
        </w:rPr>
        <w:t>Konkurences novērtējuma efektivitāte ir visaugstākā, ja tiem, kas veic šādu novērtējumu (vērtētājiem), ir skaidra izpratne par sasniedzamajiem valdības politikas mērķiem, zināšanas par tehniski iespējamajiem līdzekļiem šo mērķu sasniegšanai, pietiekama informācija iespējamo risinājumu salīdzināšanai, pietiekami resursi analīzes veikšanai un pietiekamas tehniskās prasmes analīzes veikšanai. Konkurences uzraudzības iestādes darbinieki var būt piemēroti šāda darba veikšanai; arī citām valsts pārvaldes struktūrām var būt darbinieki, kam ir nepieciešamās prasmes.</w:t>
      </w:r>
      <w:r w:rsidR="001B172E">
        <w:rPr>
          <w:rStyle w:val="FootnoteReference"/>
          <w:rFonts w:ascii="Times New Roman" w:hAnsi="Times New Roman"/>
          <w:noProof/>
          <w:sz w:val="24"/>
        </w:rPr>
        <w:footnoteReference w:id="1"/>
      </w:r>
    </w:p>
    <w:p w14:paraId="4A4DD9C1" w14:textId="77777777" w:rsidR="000A6469" w:rsidRPr="004D11C9" w:rsidRDefault="000A6469" w:rsidP="004D11C9">
      <w:pPr>
        <w:jc w:val="both"/>
        <w:rPr>
          <w:rFonts w:ascii="Times New Roman" w:eastAsia="Arial" w:hAnsi="Times New Roman" w:cs="Arial"/>
          <w:noProof/>
          <w:sz w:val="24"/>
          <w:szCs w:val="20"/>
        </w:rPr>
      </w:pPr>
    </w:p>
    <w:p w14:paraId="27A7A704"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Šajā nodaļā ir noteikti dažādi konkurences novērtējuma veidi.</w:t>
      </w:r>
    </w:p>
    <w:p w14:paraId="65BF1F7D" w14:textId="77777777" w:rsidR="000A6469" w:rsidRPr="004D11C9" w:rsidRDefault="000A6469" w:rsidP="004D11C9">
      <w:pPr>
        <w:jc w:val="both"/>
        <w:rPr>
          <w:rFonts w:ascii="Times New Roman" w:eastAsia="Arial" w:hAnsi="Times New Roman" w:cs="Arial"/>
          <w:noProof/>
          <w:sz w:val="24"/>
          <w:szCs w:val="21"/>
        </w:rPr>
      </w:pPr>
    </w:p>
    <w:p w14:paraId="7027F2D9" w14:textId="09AE6801" w:rsidR="000A6469" w:rsidRPr="004D11C9" w:rsidRDefault="001B172E" w:rsidP="001B172E">
      <w:pPr>
        <w:pStyle w:val="Heading3"/>
        <w:tabs>
          <w:tab w:val="left" w:pos="401"/>
        </w:tabs>
        <w:ind w:left="0"/>
        <w:jc w:val="both"/>
        <w:rPr>
          <w:rFonts w:ascii="Times New Roman" w:hAnsi="Times New Roman"/>
          <w:noProof/>
          <w:sz w:val="24"/>
        </w:rPr>
      </w:pPr>
      <w:bookmarkStart w:id="13" w:name="1._Types_of_competition_assessment"/>
      <w:bookmarkStart w:id="14" w:name="_bookmark1"/>
      <w:bookmarkStart w:id="15" w:name="_Toc62650466"/>
      <w:bookmarkEnd w:id="13"/>
      <w:bookmarkEnd w:id="14"/>
      <w:r>
        <w:rPr>
          <w:rFonts w:ascii="Times New Roman" w:hAnsi="Times New Roman"/>
          <w:sz w:val="24"/>
        </w:rPr>
        <w:t>1. Konkurences novērtējuma veidi</w:t>
      </w:r>
      <w:bookmarkEnd w:id="15"/>
    </w:p>
    <w:p w14:paraId="479C5303" w14:textId="77777777" w:rsidR="000A6469" w:rsidRPr="004D11C9" w:rsidRDefault="000A6469" w:rsidP="004D11C9">
      <w:pPr>
        <w:jc w:val="both"/>
        <w:rPr>
          <w:rFonts w:ascii="Times New Roman" w:eastAsia="Arial" w:hAnsi="Times New Roman" w:cs="Arial"/>
          <w:b/>
          <w:bCs/>
          <w:noProof/>
          <w:sz w:val="24"/>
          <w:szCs w:val="21"/>
        </w:rPr>
      </w:pPr>
    </w:p>
    <w:p w14:paraId="53296E62"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Konkurences novērtējumu var veikt dažādās situācijās, kurās notiek valdības iejaukšanās, izmantojot noteiktu politiku. Vērtētāji var pievērsties jauniem noteikumiem vai jau spēkā esošiem noteikumiem. Vērtētāji var pievērst uzmanību veselām nozarēm vai arī šaurāk aplūkot tikai konkrētu produktu tirgu, kurā pastāv darbības problēmas.</w:t>
      </w:r>
    </w:p>
    <w:p w14:paraId="777C8CB3" w14:textId="77777777" w:rsidR="000A6469" w:rsidRPr="004D11C9" w:rsidRDefault="000A6469" w:rsidP="004D11C9">
      <w:pPr>
        <w:jc w:val="both"/>
        <w:rPr>
          <w:rFonts w:ascii="Times New Roman" w:eastAsia="Arial" w:hAnsi="Times New Roman" w:cs="Arial"/>
          <w:noProof/>
          <w:sz w:val="24"/>
          <w:szCs w:val="21"/>
        </w:rPr>
      </w:pPr>
    </w:p>
    <w:p w14:paraId="002EACD6" w14:textId="4586215C" w:rsidR="000A6469" w:rsidRPr="004D11C9" w:rsidRDefault="001B172E" w:rsidP="001B172E">
      <w:pPr>
        <w:pStyle w:val="Heading4"/>
        <w:tabs>
          <w:tab w:val="left" w:pos="583"/>
        </w:tabs>
        <w:ind w:left="0"/>
        <w:jc w:val="both"/>
        <w:rPr>
          <w:rFonts w:ascii="Times New Roman" w:hAnsi="Times New Roman"/>
          <w:noProof/>
          <w:sz w:val="24"/>
        </w:rPr>
      </w:pPr>
      <w:bookmarkStart w:id="16" w:name="1.1._Review_of_new_regulation"/>
      <w:bookmarkEnd w:id="16"/>
      <w:r>
        <w:rPr>
          <w:rFonts w:ascii="Times New Roman" w:hAnsi="Times New Roman"/>
          <w:sz w:val="24"/>
        </w:rPr>
        <w:t>1.1. Jauna regulējuma pārskatīšana</w:t>
      </w:r>
    </w:p>
    <w:p w14:paraId="19A94052" w14:textId="77777777" w:rsidR="000A6469" w:rsidRPr="004D11C9" w:rsidRDefault="000A6469" w:rsidP="004D11C9">
      <w:pPr>
        <w:jc w:val="both"/>
        <w:rPr>
          <w:rFonts w:ascii="Times New Roman" w:eastAsia="Arial" w:hAnsi="Times New Roman" w:cs="Arial"/>
          <w:b/>
          <w:bCs/>
          <w:i/>
          <w:noProof/>
          <w:sz w:val="24"/>
          <w:szCs w:val="21"/>
        </w:rPr>
      </w:pPr>
    </w:p>
    <w:p w14:paraId="0D155493"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Kad tiek izstrādāts vai ieviests jauns regulējums, daudzas valstis izskata šā jaunā regulējuma ietekmi uz konkurenci. Šo procesu dēvē par regulatīvās ietekmes analīzi (RIA). RIA procesā var ietilpt precīzi formulēts konkurences elements. Dažkārt spēkā esošā regulējumā ir iekļautas turpināmības klauzulas, kas paredz pārskatīšanu pirms regulējuma atkārtotas ieviešanas. Šādas turpināmības klauzulas rada arī labu izdevību izskatīt noteikumu ietekmi uz konkurenci.</w:t>
      </w:r>
    </w:p>
    <w:p w14:paraId="065A3187" w14:textId="77777777" w:rsidR="000A6469" w:rsidRPr="004D11C9" w:rsidRDefault="000A6469" w:rsidP="004D11C9">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1B172E" w14:paraId="5DF4B7C8" w14:textId="77777777" w:rsidTr="001B172E">
        <w:tc>
          <w:tcPr>
            <w:tcW w:w="9062" w:type="dxa"/>
          </w:tcPr>
          <w:p w14:paraId="3228B000" w14:textId="613C589A" w:rsidR="001B172E" w:rsidRPr="001B172E" w:rsidRDefault="001B172E" w:rsidP="001B172E">
            <w:pPr>
              <w:jc w:val="center"/>
              <w:rPr>
                <w:rFonts w:ascii="Times New Roman" w:hAnsi="Times New Roman"/>
                <w:b/>
                <w:noProof/>
                <w:sz w:val="24"/>
              </w:rPr>
            </w:pPr>
            <w:r>
              <w:rPr>
                <w:rFonts w:ascii="Times New Roman" w:hAnsi="Times New Roman"/>
                <w:b/>
                <w:sz w:val="24"/>
              </w:rPr>
              <w:t>1. ierāmējums. Jaunu noteikumu pārskatīšanas sistēmu piemēri</w:t>
            </w:r>
          </w:p>
        </w:tc>
      </w:tr>
      <w:tr w:rsidR="001B172E" w14:paraId="4E2A1208" w14:textId="77777777" w:rsidTr="001B172E">
        <w:tc>
          <w:tcPr>
            <w:tcW w:w="9062" w:type="dxa"/>
          </w:tcPr>
          <w:p w14:paraId="597EE08B" w14:textId="77777777" w:rsidR="001B172E" w:rsidRPr="004D11C9" w:rsidRDefault="001B172E" w:rsidP="001B172E">
            <w:pPr>
              <w:jc w:val="both"/>
              <w:rPr>
                <w:rFonts w:ascii="Times New Roman" w:hAnsi="Times New Roman"/>
                <w:b/>
                <w:noProof/>
                <w:sz w:val="24"/>
              </w:rPr>
            </w:pPr>
            <w:r>
              <w:rPr>
                <w:rFonts w:ascii="Times New Roman" w:hAnsi="Times New Roman"/>
                <w:b/>
                <w:sz w:val="24"/>
              </w:rPr>
              <w:t>Austrālija</w:t>
            </w:r>
          </w:p>
          <w:p w14:paraId="73790F3B" w14:textId="77777777" w:rsidR="001B172E" w:rsidRDefault="001B172E" w:rsidP="001B172E">
            <w:pPr>
              <w:jc w:val="both"/>
              <w:rPr>
                <w:rFonts w:ascii="Times New Roman" w:eastAsia="Arial" w:hAnsi="Times New Roman" w:cs="Arial"/>
                <w:noProof/>
                <w:sz w:val="24"/>
                <w:szCs w:val="18"/>
              </w:rPr>
            </w:pPr>
          </w:p>
          <w:p w14:paraId="064A495E" w14:textId="77777777" w:rsidR="001B172E" w:rsidRPr="004D11C9" w:rsidRDefault="001B172E" w:rsidP="001B172E">
            <w:pPr>
              <w:jc w:val="both"/>
              <w:rPr>
                <w:rFonts w:ascii="Times New Roman" w:eastAsia="Arial" w:hAnsi="Times New Roman" w:cs="Arial"/>
                <w:noProof/>
                <w:sz w:val="24"/>
                <w:szCs w:val="18"/>
              </w:rPr>
            </w:pPr>
            <w:r>
              <w:rPr>
                <w:rFonts w:ascii="Times New Roman" w:hAnsi="Times New Roman"/>
                <w:sz w:val="24"/>
              </w:rPr>
              <w:t>Austrālijā valsts pārvaldes iestādēm ir jāsagatavo regulatīvās ietekmes ziņojums (RIZ) par “katru politikas priekšlikumu, kas izstrādāts, lai ieviestu vai atceltu regulējumu”, ja tas “var izmērāmi ietekmēt uzņēmējdarbību, sabiedriskās organizācijas vai indivīdus”. Turklāt jebkuram priekšlikumam, ko izskata Ministru kabinets, jābūt papildinātam ar RIZ, pat ja šķiet, ka tam nav ietekmes uz uzņēmējdarbību, sabiedriskajām organizācijām vai indivīdiem, lai nodrošinātu, ka valdība ir informēta par jebkura tās iespējamā lēmuma ietekmi. Ja priekšlikums var ierobežot konkurenci, RIZ ir jāatspoguļo labums, kas pārsniedz izmaksas, un tas, ka nav pieejami alternatīvi līdzekļi to pašu mērķu sasniegšanai.</w:t>
            </w:r>
          </w:p>
          <w:p w14:paraId="6AED433C" w14:textId="77777777" w:rsidR="001B172E" w:rsidRDefault="001B172E" w:rsidP="001B172E">
            <w:pPr>
              <w:jc w:val="both"/>
              <w:rPr>
                <w:rFonts w:ascii="Times New Roman" w:hAnsi="Times New Roman"/>
                <w:noProof/>
                <w:sz w:val="24"/>
              </w:rPr>
            </w:pPr>
          </w:p>
          <w:p w14:paraId="2B393575" w14:textId="77777777" w:rsidR="001B172E" w:rsidRDefault="001B172E" w:rsidP="001B172E">
            <w:pPr>
              <w:jc w:val="both"/>
              <w:rPr>
                <w:rFonts w:ascii="Times New Roman" w:hAnsi="Times New Roman"/>
                <w:noProof/>
                <w:sz w:val="24"/>
              </w:rPr>
            </w:pPr>
            <w:r>
              <w:rPr>
                <w:rFonts w:ascii="Times New Roman" w:hAnsi="Times New Roman"/>
                <w:sz w:val="24"/>
              </w:rPr>
              <w:t>Turpmāk norādītas dažas regulatīvās ietekmes izpausmes.</w:t>
            </w:r>
          </w:p>
          <w:p w14:paraId="4CC48944" w14:textId="77777777" w:rsidR="001B172E" w:rsidRPr="004D11C9" w:rsidRDefault="001B172E" w:rsidP="001B172E">
            <w:pPr>
              <w:jc w:val="both"/>
              <w:rPr>
                <w:rFonts w:ascii="Times New Roman" w:hAnsi="Times New Roman"/>
                <w:noProof/>
                <w:sz w:val="24"/>
              </w:rPr>
            </w:pPr>
          </w:p>
          <w:p w14:paraId="2AD2E5A6" w14:textId="77777777" w:rsidR="001B172E" w:rsidRPr="004D11C9" w:rsidRDefault="001B172E" w:rsidP="001B172E">
            <w:pPr>
              <w:numPr>
                <w:ilvl w:val="2"/>
                <w:numId w:val="25"/>
              </w:numPr>
              <w:ind w:left="426" w:hanging="426"/>
              <w:jc w:val="both"/>
              <w:rPr>
                <w:rFonts w:ascii="Times New Roman" w:hAnsi="Times New Roman"/>
                <w:noProof/>
                <w:sz w:val="24"/>
              </w:rPr>
            </w:pPr>
            <w:r>
              <w:rPr>
                <w:rFonts w:ascii="Times New Roman" w:hAnsi="Times New Roman"/>
                <w:sz w:val="24"/>
              </w:rPr>
              <w:t>To produktu skaita vai veida izmaiņas, ko uzņēmums spēj piedāvāt, piemēram:</w:t>
            </w:r>
          </w:p>
          <w:p w14:paraId="77C0D304" w14:textId="77777777" w:rsidR="001B172E" w:rsidRDefault="001B172E" w:rsidP="001B172E">
            <w:pPr>
              <w:tabs>
                <w:tab w:val="left" w:pos="1495"/>
              </w:tabs>
              <w:jc w:val="both"/>
              <w:rPr>
                <w:rFonts w:ascii="Times New Roman" w:hAnsi="Times New Roman"/>
                <w:noProof/>
                <w:sz w:val="24"/>
              </w:rPr>
            </w:pPr>
          </w:p>
          <w:p w14:paraId="3B6C25C2" w14:textId="77777777" w:rsidR="001B172E" w:rsidRPr="004D11C9" w:rsidRDefault="001B172E" w:rsidP="001B172E">
            <w:pPr>
              <w:numPr>
                <w:ilvl w:val="3"/>
                <w:numId w:val="25"/>
              </w:numPr>
              <w:ind w:left="709" w:hanging="283"/>
              <w:jc w:val="both"/>
              <w:rPr>
                <w:rFonts w:ascii="Times New Roman" w:hAnsi="Times New Roman"/>
                <w:noProof/>
                <w:sz w:val="24"/>
              </w:rPr>
            </w:pPr>
            <w:r>
              <w:rPr>
                <w:rFonts w:ascii="Times New Roman" w:hAnsi="Times New Roman"/>
                <w:sz w:val="24"/>
              </w:rPr>
              <w:t>produktu vai nozares prakses aizliegšana;</w:t>
            </w:r>
          </w:p>
          <w:p w14:paraId="3EF14D22" w14:textId="77777777" w:rsidR="001B172E" w:rsidRPr="004D11C9" w:rsidRDefault="001B172E" w:rsidP="001B172E">
            <w:pPr>
              <w:numPr>
                <w:ilvl w:val="3"/>
                <w:numId w:val="25"/>
              </w:numPr>
              <w:ind w:left="709" w:hanging="283"/>
              <w:jc w:val="both"/>
              <w:rPr>
                <w:rFonts w:ascii="Times New Roman" w:hAnsi="Times New Roman"/>
                <w:noProof/>
                <w:sz w:val="24"/>
              </w:rPr>
            </w:pPr>
            <w:r>
              <w:rPr>
                <w:rFonts w:ascii="Times New Roman" w:hAnsi="Times New Roman"/>
                <w:sz w:val="24"/>
              </w:rPr>
              <w:t>produktu piedāvāšanas paņēmiena izmaiņas.</w:t>
            </w:r>
          </w:p>
          <w:p w14:paraId="4A28DA08" w14:textId="77777777" w:rsidR="001B172E" w:rsidRDefault="001B172E" w:rsidP="001B172E">
            <w:pPr>
              <w:tabs>
                <w:tab w:val="left" w:pos="1154"/>
              </w:tabs>
              <w:jc w:val="both"/>
              <w:rPr>
                <w:rFonts w:ascii="Times New Roman" w:hAnsi="Times New Roman"/>
                <w:noProof/>
                <w:sz w:val="24"/>
              </w:rPr>
            </w:pPr>
          </w:p>
          <w:p w14:paraId="1C414617" w14:textId="77777777" w:rsidR="001B172E" w:rsidRPr="004D11C9" w:rsidRDefault="001B172E" w:rsidP="001B172E">
            <w:pPr>
              <w:numPr>
                <w:ilvl w:val="2"/>
                <w:numId w:val="25"/>
              </w:numPr>
              <w:ind w:left="426" w:hanging="426"/>
              <w:jc w:val="both"/>
              <w:rPr>
                <w:rFonts w:ascii="Times New Roman" w:hAnsi="Times New Roman"/>
                <w:noProof/>
                <w:sz w:val="24"/>
              </w:rPr>
            </w:pPr>
            <w:r>
              <w:rPr>
                <w:rFonts w:ascii="Times New Roman" w:hAnsi="Times New Roman"/>
                <w:sz w:val="24"/>
              </w:rPr>
              <w:t>Ietekme uz patērētāju pieprasījumu pēc noteiktiem produktiem, piemēram:</w:t>
            </w:r>
          </w:p>
          <w:p w14:paraId="0F2AAA63" w14:textId="77777777" w:rsidR="001B172E" w:rsidRDefault="001B172E" w:rsidP="001B172E">
            <w:pPr>
              <w:tabs>
                <w:tab w:val="left" w:pos="1495"/>
              </w:tabs>
              <w:jc w:val="both"/>
              <w:rPr>
                <w:rFonts w:ascii="Times New Roman" w:eastAsia="Arial" w:hAnsi="Times New Roman" w:cs="Arial"/>
                <w:noProof/>
                <w:sz w:val="24"/>
                <w:szCs w:val="18"/>
              </w:rPr>
            </w:pPr>
          </w:p>
          <w:p w14:paraId="72D75D1F" w14:textId="77777777" w:rsidR="001B172E" w:rsidRPr="004D11C9" w:rsidRDefault="001B172E" w:rsidP="001B172E">
            <w:pPr>
              <w:numPr>
                <w:ilvl w:val="3"/>
                <w:numId w:val="25"/>
              </w:numPr>
              <w:ind w:left="709" w:hanging="283"/>
              <w:jc w:val="both"/>
              <w:rPr>
                <w:rFonts w:ascii="Times New Roman" w:eastAsia="Arial" w:hAnsi="Times New Roman" w:cs="Arial"/>
                <w:noProof/>
                <w:sz w:val="24"/>
                <w:szCs w:val="18"/>
              </w:rPr>
            </w:pPr>
            <w:r>
              <w:rPr>
                <w:rFonts w:ascii="Times New Roman" w:hAnsi="Times New Roman"/>
                <w:sz w:val="24"/>
              </w:rPr>
              <w:t>regulējuma prasību izraisīts cenu pieaugums;</w:t>
            </w:r>
          </w:p>
          <w:p w14:paraId="4B1C6134" w14:textId="77777777" w:rsidR="001B172E" w:rsidRPr="004D11C9" w:rsidRDefault="001B172E" w:rsidP="001B172E">
            <w:pPr>
              <w:numPr>
                <w:ilvl w:val="3"/>
                <w:numId w:val="25"/>
              </w:numPr>
              <w:ind w:left="709" w:hanging="283"/>
              <w:jc w:val="both"/>
              <w:rPr>
                <w:rFonts w:ascii="Times New Roman" w:hAnsi="Times New Roman"/>
                <w:noProof/>
                <w:sz w:val="24"/>
              </w:rPr>
            </w:pPr>
            <w:r>
              <w:rPr>
                <w:rFonts w:ascii="Times New Roman" w:hAnsi="Times New Roman"/>
                <w:sz w:val="24"/>
              </w:rPr>
              <w:t>izmaiņas patērētājiem pieejamajā informācijā.</w:t>
            </w:r>
          </w:p>
          <w:p w14:paraId="1AC9D3F2" w14:textId="77777777" w:rsidR="001B172E" w:rsidRDefault="001B172E" w:rsidP="001B172E">
            <w:pPr>
              <w:tabs>
                <w:tab w:val="left" w:pos="1154"/>
              </w:tabs>
              <w:jc w:val="both"/>
              <w:rPr>
                <w:rFonts w:ascii="Times New Roman" w:hAnsi="Times New Roman"/>
                <w:noProof/>
                <w:sz w:val="24"/>
              </w:rPr>
            </w:pPr>
          </w:p>
          <w:p w14:paraId="4BD4AC67" w14:textId="77777777" w:rsidR="001B172E" w:rsidRPr="004D11C9" w:rsidRDefault="001B172E" w:rsidP="001B172E">
            <w:pPr>
              <w:numPr>
                <w:ilvl w:val="2"/>
                <w:numId w:val="25"/>
              </w:numPr>
              <w:ind w:left="426" w:hanging="426"/>
              <w:jc w:val="both"/>
              <w:rPr>
                <w:rFonts w:ascii="Times New Roman" w:hAnsi="Times New Roman"/>
                <w:noProof/>
                <w:sz w:val="24"/>
              </w:rPr>
            </w:pPr>
            <w:r>
              <w:rPr>
                <w:rFonts w:ascii="Times New Roman" w:hAnsi="Times New Roman"/>
                <w:sz w:val="24"/>
              </w:rPr>
              <w:t>Ietekme uz uzņēmumu spēju vai stimulu konkurēt tirgū, piemēram:</w:t>
            </w:r>
          </w:p>
          <w:p w14:paraId="38E6BBD1" w14:textId="77777777" w:rsidR="001B172E" w:rsidRDefault="001B172E" w:rsidP="001B172E">
            <w:pPr>
              <w:tabs>
                <w:tab w:val="left" w:pos="1495"/>
              </w:tabs>
              <w:jc w:val="both"/>
              <w:rPr>
                <w:rFonts w:ascii="Times New Roman" w:hAnsi="Times New Roman"/>
                <w:noProof/>
                <w:sz w:val="24"/>
              </w:rPr>
            </w:pPr>
          </w:p>
          <w:p w14:paraId="06C016F3" w14:textId="77777777" w:rsidR="001B172E" w:rsidRPr="004D11C9" w:rsidRDefault="001B172E" w:rsidP="001B172E">
            <w:pPr>
              <w:numPr>
                <w:ilvl w:val="3"/>
                <w:numId w:val="25"/>
              </w:numPr>
              <w:ind w:left="709" w:hanging="283"/>
              <w:jc w:val="both"/>
              <w:rPr>
                <w:rFonts w:ascii="Times New Roman" w:hAnsi="Times New Roman"/>
                <w:noProof/>
                <w:sz w:val="24"/>
              </w:rPr>
            </w:pPr>
            <w:r>
              <w:rPr>
                <w:rFonts w:ascii="Times New Roman" w:hAnsi="Times New Roman"/>
                <w:sz w:val="24"/>
              </w:rPr>
              <w:t>pašregulējošas vai kopregulējošas sistēmas radīšana;</w:t>
            </w:r>
          </w:p>
          <w:p w14:paraId="123D0979" w14:textId="77777777" w:rsidR="001B172E" w:rsidRPr="004D11C9" w:rsidRDefault="001B172E" w:rsidP="001B172E">
            <w:pPr>
              <w:numPr>
                <w:ilvl w:val="3"/>
                <w:numId w:val="25"/>
              </w:numPr>
              <w:ind w:left="709" w:hanging="283"/>
              <w:jc w:val="both"/>
              <w:rPr>
                <w:rFonts w:ascii="Times New Roman" w:hAnsi="Times New Roman"/>
                <w:noProof/>
                <w:sz w:val="24"/>
              </w:rPr>
            </w:pPr>
            <w:r>
              <w:rPr>
                <w:rFonts w:ascii="Times New Roman" w:hAnsi="Times New Roman"/>
                <w:sz w:val="24"/>
              </w:rPr>
              <w:t>licences, atļaujas vai cita pilnvarojuma saņemšanas prasību maiņa;</w:t>
            </w:r>
          </w:p>
          <w:p w14:paraId="4AA12C57" w14:textId="77777777" w:rsidR="001B172E" w:rsidRPr="004D11C9" w:rsidRDefault="001B172E" w:rsidP="001B172E">
            <w:pPr>
              <w:numPr>
                <w:ilvl w:val="3"/>
                <w:numId w:val="25"/>
              </w:numPr>
              <w:ind w:left="709" w:hanging="283"/>
              <w:jc w:val="both"/>
              <w:rPr>
                <w:rFonts w:ascii="Times New Roman" w:hAnsi="Times New Roman"/>
                <w:noProof/>
                <w:sz w:val="24"/>
              </w:rPr>
            </w:pPr>
            <w:r>
              <w:rPr>
                <w:rFonts w:ascii="Times New Roman" w:hAnsi="Times New Roman"/>
                <w:sz w:val="24"/>
              </w:rPr>
              <w:t>pārdodamo preču cenas vai daudzuma ietekmēšana;</w:t>
            </w:r>
          </w:p>
          <w:p w14:paraId="242EE717" w14:textId="77777777" w:rsidR="001B172E" w:rsidRPr="004D11C9" w:rsidRDefault="001B172E" w:rsidP="001B172E">
            <w:pPr>
              <w:numPr>
                <w:ilvl w:val="3"/>
                <w:numId w:val="25"/>
              </w:numPr>
              <w:ind w:left="709" w:hanging="283"/>
              <w:jc w:val="both"/>
              <w:rPr>
                <w:rFonts w:ascii="Times New Roman" w:hAnsi="Times New Roman"/>
                <w:noProof/>
                <w:sz w:val="24"/>
              </w:rPr>
            </w:pPr>
            <w:r>
              <w:rPr>
                <w:rFonts w:ascii="Times New Roman" w:hAnsi="Times New Roman"/>
                <w:sz w:val="24"/>
              </w:rPr>
              <w:t>produkta/pakalpojuma kvalitātes standartu noteikšana;</w:t>
            </w:r>
          </w:p>
          <w:p w14:paraId="36641CE5" w14:textId="77777777" w:rsidR="001B172E" w:rsidRPr="004D11C9" w:rsidRDefault="001B172E" w:rsidP="001B172E">
            <w:pPr>
              <w:numPr>
                <w:ilvl w:val="3"/>
                <w:numId w:val="25"/>
              </w:numPr>
              <w:ind w:left="709" w:hanging="283"/>
              <w:jc w:val="both"/>
              <w:rPr>
                <w:rFonts w:ascii="Times New Roman" w:hAnsi="Times New Roman"/>
                <w:noProof/>
                <w:sz w:val="24"/>
              </w:rPr>
            </w:pPr>
            <w:r>
              <w:rPr>
                <w:rFonts w:ascii="Times New Roman" w:hAnsi="Times New Roman"/>
                <w:sz w:val="24"/>
              </w:rPr>
              <w:t>uzņēmumiem pieejamo ieguldījumu cenas vai veida izmaiņas.</w:t>
            </w:r>
          </w:p>
          <w:p w14:paraId="39B5583B" w14:textId="77777777" w:rsidR="001B172E" w:rsidRDefault="001B172E" w:rsidP="001B172E">
            <w:pPr>
              <w:jc w:val="both"/>
              <w:rPr>
                <w:rFonts w:ascii="Times New Roman" w:hAnsi="Times New Roman"/>
                <w:b/>
                <w:noProof/>
                <w:sz w:val="24"/>
              </w:rPr>
            </w:pPr>
          </w:p>
          <w:p w14:paraId="7D069D81" w14:textId="77777777" w:rsidR="001B172E" w:rsidRPr="004D11C9" w:rsidRDefault="001B172E" w:rsidP="001B172E">
            <w:pPr>
              <w:jc w:val="both"/>
              <w:rPr>
                <w:rFonts w:ascii="Times New Roman" w:hAnsi="Times New Roman"/>
                <w:b/>
                <w:noProof/>
                <w:sz w:val="24"/>
              </w:rPr>
            </w:pPr>
            <w:r>
              <w:rPr>
                <w:rFonts w:ascii="Times New Roman" w:hAnsi="Times New Roman"/>
                <w:b/>
                <w:sz w:val="24"/>
              </w:rPr>
              <w:t>Meksika</w:t>
            </w:r>
          </w:p>
          <w:p w14:paraId="01D56869" w14:textId="77777777" w:rsidR="001B172E" w:rsidRDefault="001B172E" w:rsidP="001B172E">
            <w:pPr>
              <w:jc w:val="both"/>
              <w:rPr>
                <w:rFonts w:ascii="Times New Roman" w:hAnsi="Times New Roman"/>
                <w:noProof/>
                <w:sz w:val="24"/>
              </w:rPr>
            </w:pPr>
          </w:p>
          <w:p w14:paraId="73133213" w14:textId="77777777" w:rsidR="001B172E" w:rsidRDefault="001B172E" w:rsidP="001B172E">
            <w:pPr>
              <w:jc w:val="both"/>
              <w:rPr>
                <w:rFonts w:ascii="Times New Roman" w:hAnsi="Times New Roman"/>
                <w:noProof/>
                <w:sz w:val="24"/>
              </w:rPr>
            </w:pPr>
            <w:r>
              <w:rPr>
                <w:rFonts w:ascii="Times New Roman" w:hAnsi="Times New Roman"/>
                <w:sz w:val="24"/>
              </w:rPr>
              <w:t xml:space="preserve">Meksikā jaunos federālos noteikumus izskata </w:t>
            </w:r>
            <w:r>
              <w:rPr>
                <w:rFonts w:ascii="Times New Roman" w:hAnsi="Times New Roman"/>
                <w:i/>
                <w:sz w:val="24"/>
              </w:rPr>
              <w:t>COFEMER</w:t>
            </w:r>
            <w:r>
              <w:rPr>
                <w:rFonts w:ascii="Times New Roman" w:hAnsi="Times New Roman"/>
                <w:sz w:val="24"/>
              </w:rPr>
              <w:t>, kas ir regulatīvās pārbaudes struktūra un kas apspriedīsies ar konkurences uzraudzības iestādi, ja jaunajiem noteikumiem būs ietekme uz konkurenci. No 2013. gada valsts iestādēm, kas izstrādā jaunus noteikumus, ir jāaizpilda ietekmes uz konkurenci pārbaudes lapa attiecībā uz tiem noteikumiem, kam ir augsta vai vidēji augsta ietekme. Ja ir konstatēts konkurences ierobežojums, regulatoram ir jārīkojas šādi:</w:t>
            </w:r>
          </w:p>
          <w:p w14:paraId="4274EA02" w14:textId="77777777" w:rsidR="001B172E" w:rsidRPr="004D11C9" w:rsidRDefault="001B172E" w:rsidP="001B172E">
            <w:pPr>
              <w:jc w:val="both"/>
              <w:rPr>
                <w:rFonts w:ascii="Times New Roman" w:hAnsi="Times New Roman"/>
                <w:noProof/>
                <w:sz w:val="24"/>
              </w:rPr>
            </w:pPr>
          </w:p>
          <w:p w14:paraId="1A4216E3" w14:textId="77777777" w:rsidR="001B172E" w:rsidRPr="004D11C9" w:rsidRDefault="001B172E" w:rsidP="001B172E">
            <w:pPr>
              <w:numPr>
                <w:ilvl w:val="2"/>
                <w:numId w:val="25"/>
              </w:numPr>
              <w:ind w:left="426" w:hanging="426"/>
              <w:jc w:val="both"/>
              <w:rPr>
                <w:rFonts w:ascii="Times New Roman" w:hAnsi="Times New Roman"/>
                <w:noProof/>
                <w:sz w:val="24"/>
              </w:rPr>
            </w:pPr>
            <w:r>
              <w:rPr>
                <w:rFonts w:ascii="Times New Roman" w:hAnsi="Times New Roman"/>
                <w:sz w:val="24"/>
              </w:rPr>
              <w:lastRenderedPageBreak/>
              <w:t>jāidentificē prece, ko skartu iespējamais konkurences ierobežojums;</w:t>
            </w:r>
          </w:p>
          <w:p w14:paraId="7474B2DE" w14:textId="77777777" w:rsidR="001B172E" w:rsidRPr="004D11C9" w:rsidRDefault="001B172E" w:rsidP="001B172E">
            <w:pPr>
              <w:numPr>
                <w:ilvl w:val="2"/>
                <w:numId w:val="25"/>
              </w:numPr>
              <w:ind w:left="426" w:hanging="426"/>
              <w:jc w:val="both"/>
              <w:rPr>
                <w:rFonts w:ascii="Times New Roman" w:hAnsi="Times New Roman"/>
                <w:noProof/>
                <w:sz w:val="24"/>
              </w:rPr>
            </w:pPr>
            <w:r>
              <w:rPr>
                <w:rFonts w:ascii="Times New Roman" w:hAnsi="Times New Roman"/>
                <w:sz w:val="24"/>
              </w:rPr>
              <w:t>jāpaziņo ietekmes pārbaudes lapas postenis(-ņi), kas norāda uz iespējamo konkurences ierobežojumu;</w:t>
            </w:r>
          </w:p>
          <w:p w14:paraId="3BFED587" w14:textId="77777777" w:rsidR="001B172E" w:rsidRPr="004D11C9" w:rsidRDefault="001B172E" w:rsidP="001B172E">
            <w:pPr>
              <w:numPr>
                <w:ilvl w:val="2"/>
                <w:numId w:val="25"/>
              </w:numPr>
              <w:ind w:left="426" w:hanging="426"/>
              <w:jc w:val="both"/>
              <w:rPr>
                <w:rFonts w:ascii="Times New Roman" w:hAnsi="Times New Roman"/>
                <w:noProof/>
                <w:sz w:val="24"/>
              </w:rPr>
            </w:pPr>
            <w:r>
              <w:rPr>
                <w:rFonts w:ascii="Times New Roman" w:hAnsi="Times New Roman"/>
                <w:sz w:val="24"/>
              </w:rPr>
              <w:t>jāizklāsta tas, kā norma var ierobežot vai veicināt konkurenci vai tirgus efektivitāti;</w:t>
            </w:r>
          </w:p>
          <w:p w14:paraId="3A525EA8" w14:textId="77777777" w:rsidR="001B172E" w:rsidRPr="004D11C9" w:rsidRDefault="001B172E" w:rsidP="001B172E">
            <w:pPr>
              <w:numPr>
                <w:ilvl w:val="2"/>
                <w:numId w:val="25"/>
              </w:numPr>
              <w:ind w:left="426" w:hanging="426"/>
              <w:jc w:val="both"/>
              <w:rPr>
                <w:rFonts w:ascii="Times New Roman" w:hAnsi="Times New Roman"/>
                <w:noProof/>
                <w:sz w:val="24"/>
              </w:rPr>
            </w:pPr>
            <w:r>
              <w:rPr>
                <w:rFonts w:ascii="Times New Roman" w:hAnsi="Times New Roman"/>
                <w:sz w:val="24"/>
              </w:rPr>
              <w:t>jāpamato šīs normas iekļaušanas nepieciešamība;</w:t>
            </w:r>
          </w:p>
          <w:p w14:paraId="050618DE" w14:textId="77777777" w:rsidR="001B172E" w:rsidRPr="004D11C9" w:rsidRDefault="001B172E" w:rsidP="001B172E">
            <w:pPr>
              <w:numPr>
                <w:ilvl w:val="2"/>
                <w:numId w:val="25"/>
              </w:numPr>
              <w:ind w:left="426" w:hanging="426"/>
              <w:jc w:val="both"/>
              <w:rPr>
                <w:rFonts w:ascii="Times New Roman" w:hAnsi="Times New Roman"/>
                <w:noProof/>
                <w:sz w:val="24"/>
              </w:rPr>
            </w:pPr>
            <w:r>
              <w:rPr>
                <w:rFonts w:ascii="Times New Roman" w:hAnsi="Times New Roman"/>
                <w:sz w:val="24"/>
              </w:rPr>
              <w:t>jānorāda alternatīva(-as) un jāpaskaidro, kādēļ izraudzītā norma ir labākā alternatīva.</w:t>
            </w:r>
          </w:p>
          <w:p w14:paraId="55F4BB36" w14:textId="77777777" w:rsidR="001B172E" w:rsidRPr="004D11C9" w:rsidRDefault="001B172E" w:rsidP="001B172E">
            <w:pPr>
              <w:jc w:val="both"/>
              <w:rPr>
                <w:rFonts w:ascii="Times New Roman" w:eastAsia="Arial" w:hAnsi="Times New Roman" w:cs="Arial"/>
                <w:noProof/>
                <w:sz w:val="24"/>
                <w:szCs w:val="20"/>
              </w:rPr>
            </w:pPr>
          </w:p>
          <w:p w14:paraId="28BEFA29" w14:textId="77777777" w:rsidR="001B172E" w:rsidRPr="004D11C9" w:rsidRDefault="001B172E" w:rsidP="001B172E">
            <w:pPr>
              <w:jc w:val="both"/>
              <w:rPr>
                <w:rFonts w:ascii="Times New Roman" w:hAnsi="Times New Roman"/>
                <w:b/>
                <w:noProof/>
                <w:sz w:val="24"/>
              </w:rPr>
            </w:pPr>
            <w:r>
              <w:rPr>
                <w:rFonts w:ascii="Times New Roman" w:hAnsi="Times New Roman"/>
                <w:b/>
                <w:sz w:val="24"/>
              </w:rPr>
              <w:t>Koreja</w:t>
            </w:r>
          </w:p>
          <w:p w14:paraId="418FADD1" w14:textId="77777777" w:rsidR="001B172E" w:rsidRPr="004D11C9" w:rsidRDefault="001B172E" w:rsidP="001B172E">
            <w:pPr>
              <w:jc w:val="both"/>
              <w:rPr>
                <w:rFonts w:ascii="Times New Roman" w:eastAsia="Arial" w:hAnsi="Times New Roman" w:cs="Arial"/>
                <w:b/>
                <w:bCs/>
                <w:noProof/>
                <w:sz w:val="24"/>
                <w:szCs w:val="10"/>
              </w:rPr>
            </w:pPr>
          </w:p>
          <w:p w14:paraId="400C0A3C" w14:textId="3C5AA626" w:rsidR="001B172E" w:rsidRPr="004D11C9" w:rsidRDefault="001B172E" w:rsidP="001B172E">
            <w:pPr>
              <w:jc w:val="both"/>
              <w:rPr>
                <w:rFonts w:ascii="Times New Roman" w:eastAsia="Arial" w:hAnsi="Times New Roman" w:cs="Arial"/>
                <w:noProof/>
                <w:sz w:val="24"/>
                <w:szCs w:val="18"/>
              </w:rPr>
            </w:pPr>
            <w:r>
              <w:rPr>
                <w:rFonts w:ascii="Times New Roman" w:hAnsi="Times New Roman"/>
                <w:sz w:val="24"/>
              </w:rPr>
              <w:t>Korejā Regulatīvo reformu komiteja (</w:t>
            </w:r>
            <w:r>
              <w:rPr>
                <w:rFonts w:ascii="Times New Roman" w:hAnsi="Times New Roman"/>
                <w:i/>
                <w:sz w:val="24"/>
              </w:rPr>
              <w:t>RRC</w:t>
            </w:r>
            <w:r>
              <w:rPr>
                <w:rFonts w:ascii="Times New Roman" w:hAnsi="Times New Roman"/>
                <w:sz w:val="24"/>
              </w:rPr>
              <w:t xml:space="preserve">), kas ir </w:t>
            </w:r>
            <w:r w:rsidR="0020563D">
              <w:rPr>
                <w:rFonts w:ascii="Times New Roman" w:hAnsi="Times New Roman"/>
                <w:sz w:val="24"/>
              </w:rPr>
              <w:t>regulatīvās pārbaudes</w:t>
            </w:r>
            <w:r>
              <w:rPr>
                <w:rFonts w:ascii="Times New Roman" w:hAnsi="Times New Roman"/>
                <w:sz w:val="24"/>
              </w:rPr>
              <w:t xml:space="preserve"> struktūra, 2008. gadā pieņēma “Norādījumus par regulatīvās ietekmes novērtējumu”, ņemot vērā ESAO Konkurences novērtēšanas metodisko līdzekli, kas tika izdots 2007. gadā. Līdz 2008. gadam valsts pārvaldes struktūras, kas nodarbojās ar jaunu noteikumu izstrādāšanu, varēja konsultēties ar konkurences uzraudzības iestādi (</w:t>
            </w:r>
            <w:r>
              <w:rPr>
                <w:rFonts w:ascii="Times New Roman" w:hAnsi="Times New Roman"/>
                <w:i/>
                <w:sz w:val="24"/>
              </w:rPr>
              <w:t>KFTC</w:t>
            </w:r>
            <w:r>
              <w:rPr>
                <w:rFonts w:ascii="Times New Roman" w:hAnsi="Times New Roman"/>
                <w:sz w:val="24"/>
              </w:rPr>
              <w:t xml:space="preserve">) par to, vai jaunajos noteikumos ir konkurenci kropļojošas normas, un pēc tam </w:t>
            </w:r>
            <w:r>
              <w:rPr>
                <w:rFonts w:ascii="Times New Roman" w:hAnsi="Times New Roman"/>
                <w:i/>
                <w:sz w:val="24"/>
              </w:rPr>
              <w:t>KFTC</w:t>
            </w:r>
            <w:r>
              <w:rPr>
                <w:rFonts w:ascii="Times New Roman" w:hAnsi="Times New Roman"/>
                <w:sz w:val="24"/>
              </w:rPr>
              <w:t xml:space="preserve"> varēja ieteikt pārskatīt vai izslēgt tās ierosināto noteikumu daļas, kas kropļo konkurenci. Šādas konsultācijas nebija obligātas. Pēc konkurences novērtēšanas institucionalizācijas 2008. gadā komentāri tiek saņemti par aptuveni 7 % noteikumu atbilstoši šādam procesam:</w:t>
            </w:r>
          </w:p>
          <w:p w14:paraId="28F17B70" w14:textId="77777777" w:rsidR="001B172E" w:rsidRPr="004D11C9" w:rsidRDefault="001B172E" w:rsidP="001B172E">
            <w:pPr>
              <w:jc w:val="both"/>
              <w:rPr>
                <w:rFonts w:ascii="Times New Roman" w:eastAsia="Arial" w:hAnsi="Times New Roman" w:cs="Arial"/>
                <w:noProof/>
                <w:sz w:val="24"/>
                <w:szCs w:val="11"/>
              </w:rPr>
            </w:pPr>
          </w:p>
          <w:p w14:paraId="531930C8" w14:textId="77777777" w:rsidR="001B172E" w:rsidRPr="004D11C9" w:rsidRDefault="001B172E" w:rsidP="001B172E">
            <w:pPr>
              <w:numPr>
                <w:ilvl w:val="2"/>
                <w:numId w:val="25"/>
              </w:numPr>
              <w:ind w:left="426" w:hanging="426"/>
              <w:jc w:val="both"/>
              <w:rPr>
                <w:rFonts w:ascii="Times New Roman" w:hAnsi="Times New Roman"/>
                <w:noProof/>
                <w:sz w:val="24"/>
              </w:rPr>
            </w:pPr>
            <w:r>
              <w:rPr>
                <w:rFonts w:ascii="Times New Roman" w:hAnsi="Times New Roman"/>
                <w:sz w:val="24"/>
              </w:rPr>
              <w:t xml:space="preserve">valsts pārvaldes struktūra iesniedz </w:t>
            </w:r>
            <w:r>
              <w:rPr>
                <w:rFonts w:ascii="Times New Roman" w:hAnsi="Times New Roman"/>
                <w:i/>
                <w:sz w:val="24"/>
              </w:rPr>
              <w:t>RRC</w:t>
            </w:r>
            <w:r>
              <w:rPr>
                <w:rFonts w:ascii="Times New Roman" w:hAnsi="Times New Roman"/>
                <w:sz w:val="24"/>
              </w:rPr>
              <w:t xml:space="preserve"> noteikumu projektu regulatīvās ietekmes analīzes veikšanai;</w:t>
            </w:r>
          </w:p>
          <w:p w14:paraId="0871523C" w14:textId="77777777" w:rsidR="001B172E" w:rsidRPr="004D11C9" w:rsidRDefault="001B172E" w:rsidP="001B172E">
            <w:pPr>
              <w:numPr>
                <w:ilvl w:val="2"/>
                <w:numId w:val="25"/>
              </w:numPr>
              <w:ind w:left="426" w:hanging="426"/>
              <w:jc w:val="both"/>
              <w:rPr>
                <w:rFonts w:ascii="Times New Roman" w:hAnsi="Times New Roman"/>
                <w:noProof/>
                <w:sz w:val="24"/>
              </w:rPr>
            </w:pPr>
            <w:r>
              <w:rPr>
                <w:rFonts w:ascii="Times New Roman" w:hAnsi="Times New Roman"/>
                <w:i/>
                <w:sz w:val="24"/>
              </w:rPr>
              <w:t>RRC</w:t>
            </w:r>
            <w:r>
              <w:rPr>
                <w:rFonts w:ascii="Times New Roman" w:hAnsi="Times New Roman"/>
                <w:sz w:val="24"/>
              </w:rPr>
              <w:t xml:space="preserve"> nosūta šo projektu </w:t>
            </w:r>
            <w:r>
              <w:rPr>
                <w:rFonts w:ascii="Times New Roman" w:hAnsi="Times New Roman"/>
                <w:i/>
                <w:sz w:val="24"/>
              </w:rPr>
              <w:t>KFTC</w:t>
            </w:r>
            <w:r>
              <w:rPr>
                <w:rFonts w:ascii="Times New Roman" w:hAnsi="Times New Roman"/>
                <w:sz w:val="24"/>
              </w:rPr>
              <w:t xml:space="preserve"> konkurences novērtējuma veikšanai;</w:t>
            </w:r>
          </w:p>
          <w:p w14:paraId="7E6C78A6" w14:textId="77777777" w:rsidR="001B172E" w:rsidRPr="004D11C9" w:rsidRDefault="001B172E" w:rsidP="001B172E">
            <w:pPr>
              <w:numPr>
                <w:ilvl w:val="2"/>
                <w:numId w:val="25"/>
              </w:numPr>
              <w:ind w:left="426" w:hanging="426"/>
              <w:jc w:val="both"/>
              <w:rPr>
                <w:rFonts w:ascii="Times New Roman" w:hAnsi="Times New Roman"/>
                <w:noProof/>
                <w:sz w:val="24"/>
              </w:rPr>
            </w:pPr>
            <w:r>
              <w:rPr>
                <w:rFonts w:ascii="Times New Roman" w:hAnsi="Times New Roman"/>
                <w:i/>
                <w:sz w:val="24"/>
              </w:rPr>
              <w:t>KFTC</w:t>
            </w:r>
            <w:r>
              <w:rPr>
                <w:rFonts w:ascii="Times New Roman" w:hAnsi="Times New Roman"/>
                <w:sz w:val="24"/>
              </w:rPr>
              <w:t xml:space="preserve"> veic konkurences novērtējumu attiecībā uz noteikumu projektu, piemērojot divpakāpju procesu (sākotnējā novērtēšana un padziļinātā novērtēšana), un paziņo </w:t>
            </w:r>
            <w:r>
              <w:rPr>
                <w:rFonts w:ascii="Times New Roman" w:hAnsi="Times New Roman"/>
                <w:i/>
                <w:sz w:val="24"/>
              </w:rPr>
              <w:t>RRC</w:t>
            </w:r>
            <w:r>
              <w:rPr>
                <w:rFonts w:ascii="Times New Roman" w:hAnsi="Times New Roman"/>
                <w:sz w:val="24"/>
              </w:rPr>
              <w:t xml:space="preserve"> konkurences novērtējuma rezultātus:</w:t>
            </w:r>
          </w:p>
          <w:p w14:paraId="225D62A1" w14:textId="77777777" w:rsidR="001B172E" w:rsidRDefault="001B172E" w:rsidP="001B172E">
            <w:pPr>
              <w:tabs>
                <w:tab w:val="left" w:pos="1495"/>
              </w:tabs>
              <w:jc w:val="both"/>
              <w:rPr>
                <w:rFonts w:ascii="Times New Roman" w:hAnsi="Times New Roman"/>
                <w:noProof/>
                <w:sz w:val="24"/>
              </w:rPr>
            </w:pPr>
          </w:p>
          <w:p w14:paraId="739D8ABC" w14:textId="77777777" w:rsidR="001B172E" w:rsidRPr="004D11C9" w:rsidRDefault="001B172E" w:rsidP="001B172E">
            <w:pPr>
              <w:numPr>
                <w:ilvl w:val="3"/>
                <w:numId w:val="25"/>
              </w:numPr>
              <w:ind w:left="709" w:hanging="283"/>
              <w:jc w:val="both"/>
              <w:rPr>
                <w:rFonts w:ascii="Times New Roman" w:hAnsi="Times New Roman"/>
                <w:noProof/>
                <w:sz w:val="24"/>
              </w:rPr>
            </w:pPr>
            <w:r>
              <w:rPr>
                <w:rFonts w:ascii="Times New Roman" w:hAnsi="Times New Roman"/>
                <w:sz w:val="24"/>
              </w:rPr>
              <w:t>sākotnējā novērtēšana – izmanto pārbaudes lapu ar četriem jautājumiem: piegādātāja ienākšana tirgū, konkurētspēja, konkurences stimuli un patērētāja izvēles iespējas;</w:t>
            </w:r>
          </w:p>
          <w:p w14:paraId="7DE03CBD" w14:textId="77777777" w:rsidR="001B172E" w:rsidRPr="004D11C9" w:rsidRDefault="001B172E" w:rsidP="001B172E">
            <w:pPr>
              <w:numPr>
                <w:ilvl w:val="3"/>
                <w:numId w:val="25"/>
              </w:numPr>
              <w:ind w:left="709" w:hanging="283"/>
              <w:jc w:val="both"/>
              <w:rPr>
                <w:rFonts w:ascii="Times New Roman" w:hAnsi="Times New Roman"/>
                <w:noProof/>
                <w:sz w:val="24"/>
              </w:rPr>
            </w:pPr>
            <w:r>
              <w:rPr>
                <w:rFonts w:ascii="Times New Roman" w:hAnsi="Times New Roman"/>
                <w:sz w:val="24"/>
              </w:rPr>
              <w:t>padziļinātā novērtēšana – konkurenci potenciāli kropļojošo noteikumu detalizēta un vispusīga analīze, tādu alternatīvu izpēte, ar ko būtu iespējams sasniegt politikas mērķus, vienlaikus samazinot ietekmi uz konkurenci;</w:t>
            </w:r>
          </w:p>
          <w:p w14:paraId="1E8714F9" w14:textId="77777777" w:rsidR="001B172E" w:rsidRPr="004D11C9" w:rsidRDefault="001B172E" w:rsidP="001B172E">
            <w:pPr>
              <w:jc w:val="both"/>
              <w:rPr>
                <w:rFonts w:ascii="Times New Roman" w:eastAsia="Arial" w:hAnsi="Times New Roman" w:cs="Arial"/>
                <w:noProof/>
                <w:sz w:val="24"/>
                <w:szCs w:val="15"/>
              </w:rPr>
            </w:pPr>
          </w:p>
          <w:p w14:paraId="103B4DF3" w14:textId="280B7ED7" w:rsidR="001B172E" w:rsidRPr="001B172E" w:rsidRDefault="001B172E" w:rsidP="004D11C9">
            <w:pPr>
              <w:numPr>
                <w:ilvl w:val="2"/>
                <w:numId w:val="25"/>
              </w:numPr>
              <w:ind w:left="426" w:hanging="426"/>
              <w:jc w:val="both"/>
              <w:rPr>
                <w:rFonts w:ascii="Times New Roman" w:hAnsi="Times New Roman"/>
                <w:noProof/>
                <w:sz w:val="24"/>
              </w:rPr>
            </w:pPr>
            <w:r>
              <w:rPr>
                <w:rFonts w:ascii="Times New Roman" w:hAnsi="Times New Roman"/>
                <w:i/>
                <w:sz w:val="24"/>
              </w:rPr>
              <w:t>RRC</w:t>
            </w:r>
            <w:r>
              <w:rPr>
                <w:rFonts w:ascii="Times New Roman" w:hAnsi="Times New Roman"/>
                <w:sz w:val="24"/>
              </w:rPr>
              <w:t xml:space="preserve"> ņem vērā </w:t>
            </w:r>
            <w:r>
              <w:rPr>
                <w:rFonts w:ascii="Times New Roman" w:hAnsi="Times New Roman"/>
                <w:i/>
                <w:sz w:val="24"/>
              </w:rPr>
              <w:t>KFTC</w:t>
            </w:r>
            <w:r>
              <w:rPr>
                <w:rFonts w:ascii="Times New Roman" w:hAnsi="Times New Roman"/>
                <w:sz w:val="24"/>
              </w:rPr>
              <w:t xml:space="preserve"> konkurences novērtējuma rezultātu, kad izskata attiecīgos noteikumus un pieņem lēmumu par konkurenci kropļojošu noteikumu pārskatīšanu vai atcelšanu. Pēc </w:t>
            </w:r>
            <w:r>
              <w:rPr>
                <w:rFonts w:ascii="Times New Roman" w:hAnsi="Times New Roman"/>
                <w:i/>
                <w:sz w:val="24"/>
              </w:rPr>
              <w:t>RRC</w:t>
            </w:r>
            <w:r>
              <w:rPr>
                <w:rFonts w:ascii="Times New Roman" w:hAnsi="Times New Roman"/>
                <w:sz w:val="24"/>
              </w:rPr>
              <w:t xml:space="preserve"> lēmuma valsts pārvaldes struktūra iesniedz Nacionālajai asamblejai grozītu noteikumu projektu.</w:t>
            </w:r>
          </w:p>
        </w:tc>
      </w:tr>
    </w:tbl>
    <w:p w14:paraId="03EA47B7" w14:textId="77777777" w:rsidR="000A6469" w:rsidRPr="004D11C9" w:rsidRDefault="000A6469" w:rsidP="004D11C9">
      <w:pPr>
        <w:jc w:val="both"/>
        <w:rPr>
          <w:rFonts w:ascii="Times New Roman" w:eastAsia="Arial" w:hAnsi="Times New Roman" w:cs="Arial"/>
          <w:noProof/>
          <w:sz w:val="24"/>
          <w:szCs w:val="26"/>
        </w:rPr>
      </w:pPr>
      <w:bookmarkStart w:id="17" w:name="_bookmark3"/>
      <w:bookmarkEnd w:id="17"/>
    </w:p>
    <w:p w14:paraId="4DCDD813" w14:textId="7E4329E0" w:rsidR="000A6469" w:rsidRPr="004D11C9" w:rsidRDefault="001B172E" w:rsidP="001B172E">
      <w:pPr>
        <w:pStyle w:val="Heading4"/>
        <w:tabs>
          <w:tab w:val="left" w:pos="583"/>
        </w:tabs>
        <w:ind w:left="0"/>
        <w:jc w:val="both"/>
        <w:rPr>
          <w:rFonts w:ascii="Times New Roman" w:hAnsi="Times New Roman"/>
          <w:noProof/>
          <w:sz w:val="24"/>
        </w:rPr>
      </w:pPr>
      <w:bookmarkStart w:id="18" w:name="1.2._Focused_market_study"/>
      <w:bookmarkEnd w:id="18"/>
      <w:r>
        <w:rPr>
          <w:rFonts w:ascii="Times New Roman" w:hAnsi="Times New Roman"/>
          <w:sz w:val="24"/>
        </w:rPr>
        <w:t>1.2. Mērķorientēts tirgus pētījums</w:t>
      </w:r>
    </w:p>
    <w:p w14:paraId="6CE72B43" w14:textId="77777777" w:rsidR="000A6469" w:rsidRPr="004D11C9" w:rsidRDefault="000A6469" w:rsidP="004D11C9">
      <w:pPr>
        <w:jc w:val="both"/>
        <w:rPr>
          <w:rFonts w:ascii="Times New Roman" w:eastAsia="Arial" w:hAnsi="Times New Roman" w:cs="Arial"/>
          <w:b/>
          <w:bCs/>
          <w:i/>
          <w:noProof/>
          <w:sz w:val="24"/>
          <w:szCs w:val="21"/>
        </w:rPr>
      </w:pPr>
    </w:p>
    <w:p w14:paraId="7B73ABC9"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Tirgus pētījumā tiek aplūkots tirgus, kurā, šķiet, ir ierobežota konkurence, un tiek pētīts, vai tirgū tiešām pastāv konkurences problēma un, ja pastāv, kādi ir šīs problēmas iespējamie cēloņi un politikas pasākumi problēmas mazināšanai vai likvidēšanai.</w:t>
      </w:r>
    </w:p>
    <w:p w14:paraId="1F92475E" w14:textId="77777777" w:rsidR="000A6469" w:rsidRPr="004D11C9" w:rsidRDefault="000A6469" w:rsidP="004D11C9">
      <w:pPr>
        <w:jc w:val="both"/>
        <w:rPr>
          <w:rFonts w:ascii="Times New Roman" w:eastAsia="Arial" w:hAnsi="Times New Roman" w:cs="Arial"/>
          <w:noProof/>
          <w:sz w:val="24"/>
          <w:szCs w:val="20"/>
        </w:rPr>
      </w:pPr>
    </w:p>
    <w:p w14:paraId="49C892AD"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Tirgus pētījums ir retrospektīvas analīzes paveids, nevis iepriekšēja RIA pārbaude.</w:t>
      </w:r>
    </w:p>
    <w:p w14:paraId="3EE7E4ED" w14:textId="77777777" w:rsidR="00867DDD" w:rsidRPr="004D11C9" w:rsidRDefault="00867DDD" w:rsidP="004D11C9">
      <w:pPr>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1B172E" w14:paraId="24EC1ADF" w14:textId="77777777" w:rsidTr="001B172E">
        <w:tc>
          <w:tcPr>
            <w:tcW w:w="9062" w:type="dxa"/>
          </w:tcPr>
          <w:p w14:paraId="66F6CB8F" w14:textId="742491E8" w:rsidR="001B172E" w:rsidRPr="001B172E" w:rsidRDefault="001B172E" w:rsidP="001B172E">
            <w:pPr>
              <w:jc w:val="center"/>
              <w:rPr>
                <w:rFonts w:ascii="Times New Roman" w:eastAsia="Arial" w:hAnsi="Times New Roman" w:cs="Arial"/>
                <w:noProof/>
                <w:sz w:val="24"/>
                <w:szCs w:val="20"/>
              </w:rPr>
            </w:pPr>
            <w:r>
              <w:rPr>
                <w:rFonts w:ascii="Times New Roman" w:hAnsi="Times New Roman"/>
                <w:b/>
                <w:sz w:val="24"/>
              </w:rPr>
              <w:t>2. ierāmējums. Tirgus pētījumi un nozaru pētījumi</w:t>
            </w:r>
          </w:p>
        </w:tc>
      </w:tr>
      <w:tr w:rsidR="001B172E" w14:paraId="0AA106A4" w14:textId="77777777" w:rsidTr="001B172E">
        <w:tc>
          <w:tcPr>
            <w:tcW w:w="9062" w:type="dxa"/>
          </w:tcPr>
          <w:p w14:paraId="4972689B" w14:textId="77777777" w:rsidR="001B172E" w:rsidRPr="004D11C9" w:rsidRDefault="001B172E" w:rsidP="001B172E">
            <w:pPr>
              <w:jc w:val="both"/>
              <w:rPr>
                <w:rFonts w:ascii="Times New Roman" w:eastAsia="Arial" w:hAnsi="Times New Roman" w:cs="Arial"/>
                <w:noProof/>
                <w:sz w:val="24"/>
                <w:szCs w:val="18"/>
              </w:rPr>
            </w:pPr>
            <w:r>
              <w:rPr>
                <w:rFonts w:ascii="Times New Roman" w:hAnsi="Times New Roman"/>
                <w:sz w:val="24"/>
              </w:rPr>
              <w:t>Apvienotās Karalistes konkurences uzraudzības iestādes ir veikušas tirgus pētījumus tad, ja pastāv aizdomas, ka attiecīgajā tirgū ir ierobežota konkurence. Piemēram, ir veiktas pārbaudes pārtikas preču veikalu, taksometru, aptieku un lidostu nozarēs.</w:t>
            </w:r>
          </w:p>
          <w:p w14:paraId="4523D448" w14:textId="77777777" w:rsidR="001B172E" w:rsidRDefault="001B172E" w:rsidP="001B172E">
            <w:pPr>
              <w:jc w:val="both"/>
              <w:rPr>
                <w:rFonts w:ascii="Times New Roman" w:eastAsia="Arial" w:hAnsi="Times New Roman" w:cs="Arial"/>
                <w:noProof/>
                <w:sz w:val="24"/>
                <w:szCs w:val="18"/>
              </w:rPr>
            </w:pPr>
          </w:p>
          <w:p w14:paraId="10CFB009" w14:textId="5BFD0630" w:rsidR="001B172E" w:rsidRPr="001B172E" w:rsidRDefault="001B172E" w:rsidP="004D11C9">
            <w:pPr>
              <w:jc w:val="both"/>
              <w:rPr>
                <w:rFonts w:ascii="Times New Roman" w:eastAsia="Arial" w:hAnsi="Times New Roman" w:cs="Arial"/>
                <w:noProof/>
                <w:sz w:val="24"/>
                <w:szCs w:val="18"/>
              </w:rPr>
            </w:pPr>
            <w:r>
              <w:rPr>
                <w:rFonts w:ascii="Times New Roman" w:hAnsi="Times New Roman"/>
                <w:sz w:val="24"/>
              </w:rPr>
              <w:lastRenderedPageBreak/>
              <w:t>Arī Vācijas Federālais karteļu birojs ir veicis nozaru pētījumus, lai gūtu priekšstatu par konkurences situāciju noteiktās tautsaimniecības nozarēs, piemēram, tirdzniecības iepakojuma reģenerācijas un pārstrādes, veltņotā asfalta, komunālās apkures, piena, degvielas, elektroenerģijas un gāzes pārvades nozarēs.</w:t>
            </w:r>
          </w:p>
        </w:tc>
      </w:tr>
    </w:tbl>
    <w:p w14:paraId="488C25BB" w14:textId="77777777" w:rsidR="000A6469" w:rsidRPr="004D11C9" w:rsidRDefault="000A6469" w:rsidP="004D11C9">
      <w:pPr>
        <w:jc w:val="both"/>
        <w:rPr>
          <w:rFonts w:ascii="Times New Roman" w:eastAsia="Arial" w:hAnsi="Times New Roman" w:cs="Arial"/>
          <w:noProof/>
          <w:sz w:val="24"/>
          <w:szCs w:val="14"/>
        </w:rPr>
      </w:pPr>
      <w:bookmarkStart w:id="19" w:name="_bookmark4"/>
      <w:bookmarkEnd w:id="19"/>
    </w:p>
    <w:p w14:paraId="43904190" w14:textId="119ED598" w:rsidR="000A6469" w:rsidRPr="004D11C9" w:rsidRDefault="001B172E" w:rsidP="001B172E">
      <w:pPr>
        <w:pStyle w:val="Heading4"/>
        <w:tabs>
          <w:tab w:val="left" w:pos="583"/>
        </w:tabs>
        <w:ind w:left="0"/>
        <w:jc w:val="both"/>
        <w:rPr>
          <w:rFonts w:ascii="Times New Roman" w:hAnsi="Times New Roman"/>
          <w:noProof/>
          <w:sz w:val="24"/>
        </w:rPr>
      </w:pPr>
      <w:bookmarkStart w:id="20" w:name="1.3._Sectoral_review"/>
      <w:bookmarkEnd w:id="20"/>
      <w:r>
        <w:rPr>
          <w:rFonts w:ascii="Times New Roman" w:hAnsi="Times New Roman"/>
          <w:sz w:val="24"/>
        </w:rPr>
        <w:t>1.3. Nozares pārbaude</w:t>
      </w:r>
    </w:p>
    <w:p w14:paraId="103007DC" w14:textId="77777777" w:rsidR="000A6469" w:rsidRPr="004D11C9" w:rsidRDefault="000A6469" w:rsidP="004D11C9">
      <w:pPr>
        <w:jc w:val="both"/>
        <w:rPr>
          <w:rFonts w:ascii="Times New Roman" w:eastAsia="Arial" w:hAnsi="Times New Roman" w:cs="Arial"/>
          <w:b/>
          <w:bCs/>
          <w:i/>
          <w:noProof/>
          <w:sz w:val="24"/>
          <w:szCs w:val="21"/>
        </w:rPr>
      </w:pPr>
    </w:p>
    <w:p w14:paraId="1DAA2E88"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Nozares pārbaudē tiek sistemātiski identificēti nozarei būtiskie noteikumi, un pēc tam tiek izskatīta katru šādu noteikumu radītie konkurences ierobežojumi. Atšķirībā no iepriekšējas pārbaudes, kas notiek RIA pasākuma ietvaros, nozares pārbaude tāpat kā tirgus pētījums ir retrospektīvas analīzes paveids. Nozares pārbaudes sākas nevis ar vispārēju pieņēmumu, ka nozarē nedarbojas konkurence, bet gan ar tādu atsevišķu noteikumu meklēšanu, kas var nepamatoti ierobežot konkurenci. Nozares pārbaudes var veikt par nozari atbildīgā ministrija, lai gan dažkārt šādas ministrijas var būt atbildīgas par spēkā esošo noteikumu īstenošanu un tām var nebūt nepieciešamo zināšanu par konkurences novērtējuma veikšanu. Nozares pārbaudes var veikt arī ārējas struktūras, piemēram, tādas valsts pārvaldes struktūras kā konkurences uzraudzības iestāde vai pieaicināti eksperti.</w:t>
      </w:r>
    </w:p>
    <w:p w14:paraId="24C7E64F" w14:textId="6230B950" w:rsidR="000A6469" w:rsidRDefault="000A6469" w:rsidP="004D11C9">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897A38" w14:paraId="143EB145" w14:textId="77777777" w:rsidTr="00897A38">
        <w:tc>
          <w:tcPr>
            <w:tcW w:w="9062" w:type="dxa"/>
          </w:tcPr>
          <w:p w14:paraId="40A8512B" w14:textId="1EEE682C" w:rsidR="00897A38" w:rsidRDefault="00897A38" w:rsidP="00897A38">
            <w:pPr>
              <w:jc w:val="center"/>
              <w:rPr>
                <w:rFonts w:ascii="Times New Roman" w:eastAsia="Arial" w:hAnsi="Times New Roman" w:cs="Arial"/>
                <w:noProof/>
                <w:sz w:val="24"/>
                <w:szCs w:val="20"/>
              </w:rPr>
            </w:pPr>
            <w:r>
              <w:rPr>
                <w:rFonts w:ascii="Times New Roman" w:hAnsi="Times New Roman"/>
                <w:b/>
                <w:sz w:val="24"/>
              </w:rPr>
              <w:t>3. ierāmējums. Grieķijas 2013. gada konkurences novērtēšanas pārskats</w:t>
            </w:r>
          </w:p>
        </w:tc>
      </w:tr>
      <w:tr w:rsidR="00897A38" w14:paraId="1CE4CA05" w14:textId="77777777" w:rsidTr="00897A38">
        <w:tc>
          <w:tcPr>
            <w:tcW w:w="9062" w:type="dxa"/>
          </w:tcPr>
          <w:p w14:paraId="7CF93624" w14:textId="77777777" w:rsidR="00897A38" w:rsidRPr="004D11C9" w:rsidRDefault="00897A38" w:rsidP="00897A38">
            <w:pPr>
              <w:jc w:val="both"/>
              <w:rPr>
                <w:rFonts w:ascii="Times New Roman" w:eastAsia="Arial" w:hAnsi="Times New Roman" w:cs="Arial"/>
                <w:noProof/>
                <w:sz w:val="24"/>
                <w:szCs w:val="18"/>
              </w:rPr>
            </w:pPr>
            <w:r>
              <w:rPr>
                <w:rFonts w:ascii="Times New Roman" w:hAnsi="Times New Roman"/>
                <w:sz w:val="24"/>
              </w:rPr>
              <w:t>Grieķijā ESAO pārskatā par četrām nozarēm (mazumtirdzniecību, pārtikas pārstrādi, tūrismu un būvmateriāliem) parādīts, kā daudzu noteikumu pārskatīšana kopumā var būtiski uzlabot ekonomisko efektivitāti. Nozares pārbaudēs tika identificēt 555 problemātiski noteikumi, sniegti 329 īpašie ieteikumi par tām normām, kurās varētu veikt grozījumus, lai veicinātu konkurenci, aplēšot, ka iespējamā reformu labvēlīgā ietekme uz tautsaimniecību sasniegs aptuveni 5,2 miljardus eiro gadā, kas ir aptuveni 2,5 % no IKP.</w:t>
            </w:r>
          </w:p>
          <w:p w14:paraId="7F9EEDEC" w14:textId="77777777" w:rsidR="00897A38" w:rsidRDefault="00897A38" w:rsidP="00897A38">
            <w:pPr>
              <w:jc w:val="both"/>
              <w:rPr>
                <w:rFonts w:ascii="Times New Roman" w:hAnsi="Times New Roman"/>
                <w:i/>
                <w:noProof/>
                <w:sz w:val="24"/>
              </w:rPr>
            </w:pPr>
          </w:p>
          <w:p w14:paraId="442364F4" w14:textId="072911BB" w:rsidR="00897A38" w:rsidRPr="00897A38" w:rsidRDefault="00897A38" w:rsidP="004D11C9">
            <w:pPr>
              <w:jc w:val="both"/>
              <w:rPr>
                <w:rFonts w:ascii="Times New Roman" w:eastAsia="Arial" w:hAnsi="Times New Roman" w:cs="Arial"/>
                <w:noProof/>
                <w:sz w:val="24"/>
                <w:szCs w:val="17"/>
              </w:rPr>
            </w:pPr>
            <w:r>
              <w:rPr>
                <w:rFonts w:ascii="Times New Roman" w:hAnsi="Times New Roman"/>
                <w:i/>
                <w:sz w:val="24"/>
              </w:rPr>
              <w:t>Avots</w:t>
            </w:r>
            <w:r>
              <w:rPr>
                <w:rFonts w:ascii="Times New Roman" w:hAnsi="Times New Roman"/>
                <w:sz w:val="24"/>
              </w:rPr>
              <w:t>: ESAO (2014).</w:t>
            </w:r>
          </w:p>
        </w:tc>
      </w:tr>
    </w:tbl>
    <w:p w14:paraId="2BF56C3A" w14:textId="77777777" w:rsidR="000A6469" w:rsidRPr="004D11C9" w:rsidRDefault="000A6469" w:rsidP="004D11C9">
      <w:pPr>
        <w:jc w:val="both"/>
        <w:rPr>
          <w:rFonts w:ascii="Times New Roman" w:eastAsia="Arial" w:hAnsi="Times New Roman" w:cs="Arial"/>
          <w:noProof/>
          <w:sz w:val="24"/>
          <w:szCs w:val="16"/>
        </w:rPr>
      </w:pPr>
      <w:bookmarkStart w:id="21" w:name="_bookmark5"/>
      <w:bookmarkEnd w:id="21"/>
    </w:p>
    <w:p w14:paraId="0145C843" w14:textId="526D01EB" w:rsidR="000A6469" w:rsidRPr="004D11C9" w:rsidRDefault="00897A38" w:rsidP="00897A38">
      <w:pPr>
        <w:pStyle w:val="Heading3"/>
        <w:tabs>
          <w:tab w:val="left" w:pos="401"/>
        </w:tabs>
        <w:ind w:left="0"/>
        <w:jc w:val="both"/>
        <w:rPr>
          <w:rFonts w:ascii="Times New Roman" w:hAnsi="Times New Roman"/>
          <w:noProof/>
          <w:sz w:val="24"/>
        </w:rPr>
      </w:pPr>
      <w:bookmarkStart w:id="22" w:name="2._Process"/>
      <w:bookmarkStart w:id="23" w:name="_bookmark6"/>
      <w:bookmarkStart w:id="24" w:name="_Toc62650467"/>
      <w:bookmarkEnd w:id="22"/>
      <w:bookmarkEnd w:id="23"/>
      <w:r>
        <w:rPr>
          <w:rFonts w:ascii="Times New Roman" w:hAnsi="Times New Roman"/>
          <w:sz w:val="24"/>
        </w:rPr>
        <w:t>2. Process</w:t>
      </w:r>
      <w:bookmarkEnd w:id="24"/>
    </w:p>
    <w:p w14:paraId="6D2067FC" w14:textId="77777777" w:rsidR="000A6469" w:rsidRPr="004D11C9" w:rsidRDefault="000A6469" w:rsidP="004D11C9">
      <w:pPr>
        <w:jc w:val="both"/>
        <w:rPr>
          <w:rFonts w:ascii="Times New Roman" w:eastAsia="Arial" w:hAnsi="Times New Roman" w:cs="Arial"/>
          <w:b/>
          <w:bCs/>
          <w:noProof/>
          <w:sz w:val="24"/>
          <w:szCs w:val="21"/>
        </w:rPr>
      </w:pPr>
    </w:p>
    <w:p w14:paraId="0F4230DA"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Konkurences novērtēšanas process sastāv no </w:t>
      </w:r>
      <w:r>
        <w:rPr>
          <w:rFonts w:ascii="Times New Roman" w:hAnsi="Times New Roman"/>
          <w:b/>
          <w:sz w:val="24"/>
        </w:rPr>
        <w:t>6 posmiem</w:t>
      </w:r>
      <w:r>
        <w:rPr>
          <w:rFonts w:ascii="Times New Roman" w:hAnsi="Times New Roman"/>
          <w:sz w:val="24"/>
        </w:rPr>
        <w:t>.</w:t>
      </w:r>
    </w:p>
    <w:p w14:paraId="7958D569" w14:textId="77777777" w:rsidR="000A6469" w:rsidRPr="004D11C9" w:rsidRDefault="000A6469" w:rsidP="004D11C9">
      <w:pPr>
        <w:jc w:val="both"/>
        <w:rPr>
          <w:rFonts w:ascii="Times New Roman" w:eastAsia="Arial" w:hAnsi="Times New Roman" w:cs="Arial"/>
          <w:noProof/>
          <w:sz w:val="24"/>
          <w:szCs w:val="21"/>
        </w:rPr>
      </w:pPr>
    </w:p>
    <w:p w14:paraId="60002284"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b/>
          <w:i/>
          <w:sz w:val="24"/>
        </w:rPr>
        <w:t>1. posms. Novērtējamās politikas identificēšana</w:t>
      </w:r>
      <w:r>
        <w:rPr>
          <w:rFonts w:ascii="Times New Roman" w:hAnsi="Times New Roman"/>
          <w:b/>
          <w:sz w:val="24"/>
        </w:rPr>
        <w:t xml:space="preserve">. </w:t>
      </w:r>
      <w:r>
        <w:rPr>
          <w:rFonts w:ascii="Times New Roman" w:hAnsi="Times New Roman"/>
          <w:sz w:val="24"/>
        </w:rPr>
        <w:t>Novērtējamās politikas identificēšana var būt vienkārša (jauna tiesību akta vai noteikumu pārskatīšanas gadījumā) vai sarežģīta, kā tas ir nozares pārbaudes vai, iespējams, tirgus pētījuma gadījumā.</w:t>
      </w:r>
    </w:p>
    <w:p w14:paraId="00390816" w14:textId="77777777" w:rsidR="000A6469" w:rsidRPr="004D11C9" w:rsidRDefault="000A6469" w:rsidP="004D11C9">
      <w:pPr>
        <w:jc w:val="both"/>
        <w:rPr>
          <w:rFonts w:ascii="Times New Roman" w:hAnsi="Times New Roman"/>
          <w:noProof/>
          <w:sz w:val="24"/>
        </w:rPr>
      </w:pPr>
    </w:p>
    <w:p w14:paraId="26F7D736"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Turpmāk </w:t>
      </w:r>
      <w:r>
        <w:rPr>
          <w:rFonts w:ascii="Times New Roman" w:hAnsi="Times New Roman"/>
          <w:b/>
          <w:sz w:val="24"/>
        </w:rPr>
        <w:t>2. nodaļā</w:t>
      </w:r>
      <w:r>
        <w:rPr>
          <w:rFonts w:ascii="Times New Roman" w:hAnsi="Times New Roman"/>
          <w:sz w:val="24"/>
        </w:rPr>
        <w:t xml:space="preserve"> ir sniegti norādījumi par rīcību tad, ja ir iespējams izvēlēties pārbaudāmās jomas robežas, kā tas ir, piemēram, nozares pārbaudes gadījumā. Piemēram, lai noteiktu “būvmateriālu” nozares robežas, ir jānosaka, kuri ir būvmateriālu nozarei būtiskie noteikumi. Noteikumi, piemēram, par neapstrādātu tēraudu var nebūt uzskatāmi par būtiskiem būvmateriālu nozarei, savukārt tērauda stiegras var būt uzskatītas par būvmateriāliem.</w:t>
      </w:r>
    </w:p>
    <w:p w14:paraId="0D07F456" w14:textId="77777777" w:rsidR="000A6469" w:rsidRPr="004D11C9" w:rsidRDefault="000A6469" w:rsidP="004D11C9">
      <w:pPr>
        <w:jc w:val="both"/>
        <w:rPr>
          <w:rFonts w:ascii="Times New Roman" w:hAnsi="Times New Roman"/>
          <w:noProof/>
          <w:sz w:val="24"/>
        </w:rPr>
      </w:pPr>
    </w:p>
    <w:p w14:paraId="05352E35"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Tomēr parasti iespēja izvēlēties to, kuri noteikumi tiks pārskatīti, būs liegta, piemēram, RIA prasības dēļ. Šādā gadījumā </w:t>
      </w:r>
      <w:r>
        <w:rPr>
          <w:rFonts w:ascii="Times New Roman" w:hAnsi="Times New Roman"/>
          <w:b/>
          <w:sz w:val="24"/>
        </w:rPr>
        <w:t>2. nodaļu</w:t>
      </w:r>
      <w:r>
        <w:rPr>
          <w:rFonts w:ascii="Times New Roman" w:hAnsi="Times New Roman"/>
          <w:sz w:val="24"/>
        </w:rPr>
        <w:t xml:space="preserve"> var izlaist.</w:t>
      </w:r>
    </w:p>
    <w:p w14:paraId="643A6C1C" w14:textId="77777777" w:rsidR="000A6469" w:rsidRPr="004D11C9" w:rsidRDefault="000A6469" w:rsidP="004D11C9">
      <w:pPr>
        <w:jc w:val="both"/>
        <w:rPr>
          <w:rFonts w:ascii="Times New Roman" w:eastAsia="Arial" w:hAnsi="Times New Roman" w:cs="Arial"/>
          <w:noProof/>
          <w:sz w:val="24"/>
          <w:szCs w:val="20"/>
        </w:rPr>
      </w:pPr>
    </w:p>
    <w:p w14:paraId="30526B9A"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b/>
          <w:i/>
          <w:sz w:val="24"/>
        </w:rPr>
        <w:t xml:space="preserve">2. posms. Pārbaudes lapas izmantošana. </w:t>
      </w:r>
      <w:r>
        <w:rPr>
          <w:rFonts w:ascii="Times New Roman" w:hAnsi="Times New Roman"/>
          <w:sz w:val="24"/>
        </w:rPr>
        <w:t>Konkurences pārbaudes lapa (turpmāk – “pārbaudes lapa”) ir četru galveno jautājumu apkopojums, kurā katrs jautājums sastāv no apakšjautājumiem un kuras mērķis ir identificēt tos noteikumus, kas var ierobežot konkurenci. Ja uz jautājumiem tiek atbildēts apstiprinoši, tas liecina par nepieciešamību sīkāk analizēt noteikumu ietekmi uz konkurenci.</w:t>
      </w:r>
    </w:p>
    <w:p w14:paraId="64F6CF54" w14:textId="77777777" w:rsidR="000A6469" w:rsidRPr="004D11C9" w:rsidRDefault="000A6469" w:rsidP="004D11C9">
      <w:pPr>
        <w:jc w:val="both"/>
        <w:rPr>
          <w:rFonts w:ascii="Times New Roman" w:hAnsi="Times New Roman"/>
          <w:noProof/>
          <w:sz w:val="24"/>
        </w:rPr>
      </w:pPr>
    </w:p>
    <w:p w14:paraId="6B7CC84B"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Pārbaudes lapas jautājumi ir konkurences novērtēšanas pamats. Tos var atrast šīs rokasgrāmatas sākumā. Turpmāk </w:t>
      </w:r>
      <w:r>
        <w:rPr>
          <w:rFonts w:ascii="Times New Roman" w:hAnsi="Times New Roman"/>
          <w:b/>
          <w:sz w:val="24"/>
        </w:rPr>
        <w:t>3. nodaļā</w:t>
      </w:r>
      <w:r>
        <w:rPr>
          <w:rFonts w:ascii="Times New Roman" w:hAnsi="Times New Roman"/>
          <w:sz w:val="24"/>
        </w:rPr>
        <w:t xml:space="preserve"> ir izskaidroti šie jautājumi un to piemērošana.</w:t>
      </w:r>
    </w:p>
    <w:p w14:paraId="2D1CCBF9" w14:textId="77777777" w:rsidR="000A6469" w:rsidRPr="004D11C9" w:rsidRDefault="000A6469" w:rsidP="004D11C9">
      <w:pPr>
        <w:jc w:val="both"/>
        <w:rPr>
          <w:rFonts w:ascii="Times New Roman" w:eastAsia="Arial" w:hAnsi="Times New Roman" w:cs="Arial"/>
          <w:noProof/>
          <w:sz w:val="24"/>
          <w:szCs w:val="20"/>
        </w:rPr>
      </w:pPr>
    </w:p>
    <w:p w14:paraId="44C9EA7F"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Ja pārbaudes lapa liecina par iespējamu konkurences ierobežojumu, jāveic papildu izpēte, lai novērtētu, vai konkurences ierobežojums ir faktisks un būtisks. Šīs rokasgrāmatas </w:t>
      </w:r>
      <w:r>
        <w:rPr>
          <w:rFonts w:ascii="Times New Roman" w:hAnsi="Times New Roman"/>
          <w:b/>
          <w:sz w:val="24"/>
        </w:rPr>
        <w:t>4. nodaļā</w:t>
      </w:r>
      <w:r>
        <w:rPr>
          <w:rFonts w:ascii="Times New Roman" w:hAnsi="Times New Roman"/>
          <w:sz w:val="24"/>
        </w:rPr>
        <w:t xml:space="preserve"> ir paskaidrots, kā detalizēti pārskatīt regulējumu. Ja būtisks ierobežojums nepastāv, pārskatīšanu var pārtraukt. Ja pastāv būtisks konkurences ierobežojums, jāizstrādā alternatīvi risinājumi.</w:t>
      </w:r>
    </w:p>
    <w:p w14:paraId="1135D837" w14:textId="77777777" w:rsidR="000A6469" w:rsidRPr="004D11C9" w:rsidRDefault="000A6469" w:rsidP="004D11C9">
      <w:pPr>
        <w:jc w:val="both"/>
        <w:rPr>
          <w:rFonts w:ascii="Times New Roman" w:hAnsi="Times New Roman"/>
          <w:noProof/>
          <w:sz w:val="24"/>
        </w:rPr>
      </w:pPr>
    </w:p>
    <w:p w14:paraId="59B473CC" w14:textId="1A3DCFC4"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b/>
          <w:i/>
          <w:sz w:val="24"/>
        </w:rPr>
        <w:t xml:space="preserve">3. posms. Alternatīvu risinājumu noteikšana. </w:t>
      </w:r>
      <w:r>
        <w:rPr>
          <w:rFonts w:ascii="Times New Roman" w:hAnsi="Times New Roman"/>
          <w:sz w:val="24"/>
        </w:rPr>
        <w:t xml:space="preserve">Ja tiek konstatēts ierobežojošs regulējums, var būt iespējams noteikt citus, mazāk ierobežojošus pasākumus, ko var izmantot attiecīgo politikas mērķu sasniegšanai, pamatojoties izpratni par šā regulējuma loģisko pamatojumu, plašāku </w:t>
      </w:r>
      <w:r w:rsidR="009C133D">
        <w:rPr>
          <w:rFonts w:ascii="Times New Roman" w:hAnsi="Times New Roman"/>
          <w:sz w:val="24"/>
        </w:rPr>
        <w:t>regulatīvo</w:t>
      </w:r>
      <w:r>
        <w:rPr>
          <w:rFonts w:ascii="Times New Roman" w:hAnsi="Times New Roman"/>
          <w:sz w:val="24"/>
        </w:rPr>
        <w:t xml:space="preserve"> vidi un regulējamās nozares tehniskajām iezīmēm. Šis jautājums ir sīkāk apspriests </w:t>
      </w:r>
      <w:r>
        <w:rPr>
          <w:rFonts w:ascii="Times New Roman" w:hAnsi="Times New Roman"/>
          <w:b/>
          <w:sz w:val="24"/>
        </w:rPr>
        <w:t>5. nodaļā</w:t>
      </w:r>
      <w:r>
        <w:rPr>
          <w:rFonts w:ascii="Times New Roman" w:hAnsi="Times New Roman"/>
          <w:sz w:val="24"/>
        </w:rPr>
        <w:t>.</w:t>
      </w:r>
    </w:p>
    <w:p w14:paraId="5F96CFA6" w14:textId="77777777" w:rsidR="000A6469" w:rsidRPr="004D11C9" w:rsidRDefault="000A6469" w:rsidP="004D11C9">
      <w:pPr>
        <w:jc w:val="both"/>
        <w:rPr>
          <w:rFonts w:ascii="Times New Roman" w:eastAsia="Arial" w:hAnsi="Times New Roman" w:cs="Arial"/>
          <w:noProof/>
          <w:sz w:val="24"/>
          <w:szCs w:val="15"/>
        </w:rPr>
      </w:pPr>
    </w:p>
    <w:p w14:paraId="37A8EEF1"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b/>
          <w:i/>
          <w:sz w:val="24"/>
        </w:rPr>
        <w:t xml:space="preserve">4. posms. Labākā risinājuma izvēlēšanās. </w:t>
      </w:r>
      <w:r>
        <w:rPr>
          <w:rFonts w:ascii="Times New Roman" w:hAnsi="Times New Roman"/>
          <w:sz w:val="24"/>
        </w:rPr>
        <w:t xml:space="preserve">Regulējuma ietekmes uz konkurenci pārbaudes veicējam ir jāizvēlas labākais(-ie) no visiem identificētajiem iespējamajiem risinājumiem – skat. </w:t>
      </w:r>
      <w:r>
        <w:rPr>
          <w:rFonts w:ascii="Times New Roman" w:hAnsi="Times New Roman"/>
          <w:b/>
          <w:sz w:val="24"/>
        </w:rPr>
        <w:t>6. nodaļu</w:t>
      </w:r>
      <w:r>
        <w:rPr>
          <w:rFonts w:ascii="Times New Roman" w:hAnsi="Times New Roman"/>
          <w:sz w:val="24"/>
        </w:rPr>
        <w:t>.</w:t>
      </w:r>
      <w:r>
        <w:rPr>
          <w:rFonts w:ascii="Times New Roman" w:hAnsi="Times New Roman"/>
          <w:b/>
          <w:sz w:val="24"/>
        </w:rPr>
        <w:t xml:space="preserve"> </w:t>
      </w:r>
      <w:r>
        <w:rPr>
          <w:rFonts w:ascii="Times New Roman" w:hAnsi="Times New Roman"/>
          <w:sz w:val="24"/>
        </w:rPr>
        <w:t>Var pastāvēt vairāki labākie risinājumi. Saprotami jāpaskaidro atšķirības star ieteicamo risinājumu un to risinājumu, ko piedāvā ierosinātie vai spēkā esošie noteikumi.</w:t>
      </w:r>
    </w:p>
    <w:p w14:paraId="66E37302" w14:textId="77777777" w:rsidR="000A6469" w:rsidRPr="004D11C9" w:rsidRDefault="000A6469" w:rsidP="004D11C9">
      <w:pPr>
        <w:jc w:val="both"/>
        <w:rPr>
          <w:rFonts w:ascii="Times New Roman" w:hAnsi="Times New Roman"/>
          <w:noProof/>
          <w:sz w:val="24"/>
        </w:rPr>
      </w:pPr>
    </w:p>
    <w:p w14:paraId="3EBFFD4D" w14:textId="77777777" w:rsidR="000A6469" w:rsidRPr="004D11C9" w:rsidRDefault="000A6469" w:rsidP="004D11C9">
      <w:pPr>
        <w:jc w:val="both"/>
        <w:rPr>
          <w:rFonts w:ascii="Times New Roman" w:eastAsia="Arial" w:hAnsi="Times New Roman" w:cs="Arial"/>
          <w:noProof/>
          <w:sz w:val="24"/>
          <w:szCs w:val="21"/>
        </w:rPr>
      </w:pPr>
      <w:r>
        <w:rPr>
          <w:rFonts w:ascii="Times New Roman" w:hAnsi="Times New Roman"/>
          <w:b/>
          <w:i/>
          <w:sz w:val="24"/>
        </w:rPr>
        <w:t xml:space="preserve">5. posms. Labākā risinājuma ieviešana. </w:t>
      </w:r>
      <w:r>
        <w:rPr>
          <w:rFonts w:ascii="Times New Roman" w:hAnsi="Times New Roman"/>
          <w:sz w:val="24"/>
        </w:rPr>
        <w:t>Pēc labākā risinājuma noskaidrošanas ir jāsagatavo atbilstošs tiesiskais regulējums un jāsniedz ieteikumi kompetentajai iestādei (</w:t>
      </w:r>
      <w:r>
        <w:rPr>
          <w:rFonts w:ascii="Times New Roman" w:hAnsi="Times New Roman"/>
          <w:b/>
          <w:sz w:val="24"/>
        </w:rPr>
        <w:t>7. nodaļa</w:t>
      </w:r>
      <w:r>
        <w:rPr>
          <w:rFonts w:ascii="Times New Roman" w:hAnsi="Times New Roman"/>
          <w:sz w:val="24"/>
        </w:rPr>
        <w:t>).</w:t>
      </w:r>
    </w:p>
    <w:p w14:paraId="66654A30" w14:textId="77777777" w:rsidR="000A6469" w:rsidRPr="004D11C9" w:rsidRDefault="000A6469" w:rsidP="004D11C9">
      <w:pPr>
        <w:jc w:val="both"/>
        <w:rPr>
          <w:rFonts w:ascii="Times New Roman" w:eastAsia="Arial" w:hAnsi="Times New Roman" w:cs="Arial"/>
          <w:noProof/>
          <w:sz w:val="24"/>
          <w:szCs w:val="21"/>
        </w:rPr>
      </w:pPr>
    </w:p>
    <w:p w14:paraId="56DBFDC2" w14:textId="77777777" w:rsidR="000A6469" w:rsidRPr="004D11C9" w:rsidRDefault="000A6469" w:rsidP="004D11C9">
      <w:pPr>
        <w:jc w:val="both"/>
        <w:rPr>
          <w:rFonts w:ascii="Times New Roman" w:eastAsia="Arial" w:hAnsi="Times New Roman" w:cs="Arial"/>
          <w:noProof/>
          <w:sz w:val="24"/>
          <w:szCs w:val="21"/>
        </w:rPr>
      </w:pPr>
      <w:r>
        <w:rPr>
          <w:rFonts w:ascii="Times New Roman" w:hAnsi="Times New Roman"/>
          <w:b/>
          <w:i/>
          <w:sz w:val="24"/>
        </w:rPr>
        <w:t xml:space="preserve">6. posms. Ietekmes pārbaude. </w:t>
      </w:r>
      <w:r>
        <w:rPr>
          <w:rFonts w:ascii="Times New Roman" w:hAnsi="Times New Roman"/>
          <w:sz w:val="24"/>
        </w:rPr>
        <w:t>Pēc risinājuma ieviešanas, jo īpaši, ja tas ierobežo konkurenci, ir svarīgi pārbaudīt tā ietekmi (</w:t>
      </w:r>
      <w:r>
        <w:rPr>
          <w:rFonts w:ascii="Times New Roman" w:hAnsi="Times New Roman"/>
          <w:b/>
          <w:sz w:val="24"/>
        </w:rPr>
        <w:t>8. nodaļa</w:t>
      </w:r>
      <w:r>
        <w:rPr>
          <w:rFonts w:ascii="Times New Roman" w:hAnsi="Times New Roman"/>
          <w:sz w:val="24"/>
        </w:rPr>
        <w:t>).</w:t>
      </w:r>
    </w:p>
    <w:p w14:paraId="50A2F203" w14:textId="77777777" w:rsidR="000A6469" w:rsidRPr="004D11C9" w:rsidRDefault="000A6469" w:rsidP="004D11C9">
      <w:pPr>
        <w:jc w:val="both"/>
        <w:rPr>
          <w:rFonts w:ascii="Times New Roman" w:eastAsia="Arial" w:hAnsi="Times New Roman" w:cs="Arial"/>
          <w:noProof/>
          <w:sz w:val="24"/>
          <w:szCs w:val="20"/>
        </w:rPr>
      </w:pPr>
    </w:p>
    <w:p w14:paraId="162B4492" w14:textId="77777777" w:rsidR="000A6469" w:rsidRPr="004D11C9" w:rsidRDefault="000A6469" w:rsidP="00121F0E">
      <w:pPr>
        <w:pStyle w:val="Heading6"/>
        <w:keepNext/>
        <w:ind w:left="0"/>
        <w:jc w:val="both"/>
        <w:rPr>
          <w:rFonts w:ascii="Times New Roman" w:hAnsi="Times New Roman"/>
          <w:noProof/>
          <w:sz w:val="24"/>
        </w:rPr>
      </w:pPr>
      <w:r>
        <w:rPr>
          <w:rFonts w:ascii="Times New Roman" w:hAnsi="Times New Roman"/>
          <w:sz w:val="24"/>
        </w:rPr>
        <w:lastRenderedPageBreak/>
        <w:t>1. attēls. Konkurences novērtēšanas posmi</w:t>
      </w:r>
    </w:p>
    <w:p w14:paraId="14F24299" w14:textId="77777777" w:rsidR="000A6469" w:rsidRPr="004D11C9" w:rsidRDefault="000A6469" w:rsidP="00121F0E">
      <w:pPr>
        <w:keepNext/>
        <w:jc w:val="both"/>
        <w:rPr>
          <w:rFonts w:ascii="Times New Roman" w:eastAsia="Arial" w:hAnsi="Times New Roman" w:cs="Arial"/>
          <w:b/>
          <w:bCs/>
          <w:noProof/>
          <w:sz w:val="24"/>
          <w:szCs w:val="18"/>
        </w:rPr>
      </w:pPr>
    </w:p>
    <w:p w14:paraId="662567F4" w14:textId="21459B6D" w:rsidR="000A6469" w:rsidRPr="004D11C9" w:rsidRDefault="00C70757" w:rsidP="00121F0E">
      <w:pPr>
        <w:keepNext/>
        <w:jc w:val="center"/>
        <w:rPr>
          <w:rFonts w:ascii="Times New Roman" w:eastAsia="Times New Roman" w:hAnsi="Times New Roman" w:cs="Times New Roman"/>
          <w:noProof/>
          <w:sz w:val="24"/>
          <w:szCs w:val="20"/>
        </w:rPr>
      </w:pPr>
      <w:r>
        <w:rPr>
          <w:rFonts w:ascii="Times New Roman" w:hAnsi="Times New Roman"/>
          <w:noProof/>
          <w:sz w:val="24"/>
          <w:szCs w:val="20"/>
        </w:rPr>
        <w:drawing>
          <wp:inline distT="0" distB="0" distL="0" distR="0" wp14:anchorId="272DA869" wp14:editId="5DA5408F">
            <wp:extent cx="4299974" cy="3914775"/>
            <wp:effectExtent l="0" t="0" r="5715" b="0"/>
            <wp:docPr id="6451" name="Picture 6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3675" cy="3927249"/>
                    </a:xfrm>
                    <a:prstGeom prst="rect">
                      <a:avLst/>
                    </a:prstGeom>
                    <a:noFill/>
                    <a:ln>
                      <a:noFill/>
                    </a:ln>
                  </pic:spPr>
                </pic:pic>
              </a:graphicData>
            </a:graphic>
          </wp:inline>
        </w:drawing>
      </w:r>
    </w:p>
    <w:p w14:paraId="4411EF54" w14:textId="0996CFC5" w:rsidR="000A6469" w:rsidRDefault="000A6469" w:rsidP="004D11C9">
      <w:pPr>
        <w:jc w:val="both"/>
        <w:rPr>
          <w:rFonts w:ascii="Times New Roman" w:eastAsia="Times New Roman" w:hAnsi="Times New Roman" w:cs="Times New Roman"/>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4531"/>
        <w:gridCol w:w="4531"/>
      </w:tblGrid>
      <w:tr w:rsidR="00121F0E" w14:paraId="3A58390D" w14:textId="77777777" w:rsidTr="00121F0E">
        <w:tc>
          <w:tcPr>
            <w:tcW w:w="4531" w:type="dxa"/>
          </w:tcPr>
          <w:p w14:paraId="15DC455F" w14:textId="225D0B35" w:rsidR="00121F0E" w:rsidRPr="00121F0E" w:rsidRDefault="00121F0E" w:rsidP="00121F0E">
            <w:pPr>
              <w:jc w:val="center"/>
              <w:rPr>
                <w:rFonts w:ascii="Times New Roman" w:hAnsi="Times New Roman"/>
                <w:b/>
                <w:sz w:val="24"/>
              </w:rPr>
            </w:pPr>
            <w:r w:rsidRPr="00121F0E">
              <w:rPr>
                <w:rFonts w:ascii="Times New Roman" w:hAnsi="Times New Roman"/>
                <w:b/>
                <w:sz w:val="24"/>
              </w:rPr>
              <w:t>Angļu val.</w:t>
            </w:r>
          </w:p>
        </w:tc>
        <w:tc>
          <w:tcPr>
            <w:tcW w:w="4531" w:type="dxa"/>
          </w:tcPr>
          <w:p w14:paraId="3E5E14FE" w14:textId="59268B14" w:rsidR="00121F0E" w:rsidRPr="00121F0E" w:rsidRDefault="00121F0E" w:rsidP="00121F0E">
            <w:pPr>
              <w:jc w:val="center"/>
              <w:rPr>
                <w:rFonts w:ascii="Times New Roman" w:eastAsia="Times New Roman" w:hAnsi="Times New Roman" w:cs="Times New Roman"/>
                <w:b/>
                <w:noProof/>
                <w:sz w:val="24"/>
                <w:szCs w:val="20"/>
              </w:rPr>
            </w:pPr>
            <w:r w:rsidRPr="00121F0E">
              <w:rPr>
                <w:rFonts w:ascii="Times New Roman" w:eastAsia="Times New Roman" w:hAnsi="Times New Roman" w:cs="Times New Roman"/>
                <w:b/>
                <w:noProof/>
                <w:sz w:val="24"/>
                <w:szCs w:val="20"/>
              </w:rPr>
              <w:t>Latviešu val.</w:t>
            </w:r>
          </w:p>
        </w:tc>
      </w:tr>
      <w:tr w:rsidR="00121F0E" w14:paraId="0E674EA3" w14:textId="77777777" w:rsidTr="00121F0E">
        <w:tc>
          <w:tcPr>
            <w:tcW w:w="4531" w:type="dxa"/>
          </w:tcPr>
          <w:p w14:paraId="3DA4DE30" w14:textId="77777777" w:rsidR="00121F0E" w:rsidRDefault="00121F0E" w:rsidP="00121F0E">
            <w:pPr>
              <w:jc w:val="both"/>
              <w:rPr>
                <w:rFonts w:ascii="Times New Roman" w:eastAsia="Times New Roman" w:hAnsi="Times New Roman" w:cs="Times New Roman"/>
                <w:b/>
                <w:bCs/>
                <w:noProof/>
                <w:sz w:val="24"/>
                <w:szCs w:val="20"/>
              </w:rPr>
            </w:pPr>
            <w:r>
              <w:rPr>
                <w:rFonts w:ascii="Times New Roman" w:eastAsia="Times New Roman" w:hAnsi="Times New Roman" w:cs="Times New Roman"/>
                <w:b/>
                <w:bCs/>
                <w:noProof/>
                <w:sz w:val="24"/>
                <w:szCs w:val="20"/>
              </w:rPr>
              <w:t>IDENTIFY</w:t>
            </w:r>
          </w:p>
          <w:p w14:paraId="0D12BF5F" w14:textId="78ECA07D" w:rsidR="00121F0E" w:rsidRPr="00C70757" w:rsidRDefault="00121F0E" w:rsidP="00121F0E">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policies to assess</w:t>
            </w:r>
          </w:p>
        </w:tc>
        <w:tc>
          <w:tcPr>
            <w:tcW w:w="4531" w:type="dxa"/>
          </w:tcPr>
          <w:p w14:paraId="638FE033" w14:textId="77777777" w:rsidR="00121F0E" w:rsidRDefault="00121F0E" w:rsidP="00121F0E">
            <w:pPr>
              <w:jc w:val="both"/>
              <w:rPr>
                <w:rFonts w:ascii="Times New Roman" w:eastAsia="Times New Roman" w:hAnsi="Times New Roman" w:cs="Times New Roman"/>
                <w:b/>
                <w:bCs/>
                <w:noProof/>
                <w:sz w:val="24"/>
                <w:szCs w:val="20"/>
              </w:rPr>
            </w:pPr>
            <w:r>
              <w:rPr>
                <w:rFonts w:ascii="Times New Roman" w:hAnsi="Times New Roman"/>
                <w:b/>
                <w:sz w:val="24"/>
              </w:rPr>
              <w:t>IDENTIFICĒT</w:t>
            </w:r>
          </w:p>
          <w:p w14:paraId="23444DBF" w14:textId="2198ECE8" w:rsidR="00121F0E" w:rsidRDefault="00121F0E" w:rsidP="00121F0E">
            <w:pPr>
              <w:jc w:val="both"/>
              <w:rPr>
                <w:rFonts w:ascii="Times New Roman" w:eastAsia="Times New Roman" w:hAnsi="Times New Roman" w:cs="Times New Roman"/>
                <w:noProof/>
                <w:sz w:val="24"/>
                <w:szCs w:val="20"/>
              </w:rPr>
            </w:pPr>
            <w:r>
              <w:rPr>
                <w:rFonts w:ascii="Times New Roman" w:hAnsi="Times New Roman"/>
                <w:sz w:val="24"/>
              </w:rPr>
              <w:t>novērtējamo politiku</w:t>
            </w:r>
          </w:p>
        </w:tc>
      </w:tr>
      <w:tr w:rsidR="00121F0E" w14:paraId="2EA4F66C" w14:textId="77777777" w:rsidTr="00121F0E">
        <w:tc>
          <w:tcPr>
            <w:tcW w:w="4531" w:type="dxa"/>
          </w:tcPr>
          <w:p w14:paraId="28D5DF70" w14:textId="77777777" w:rsidR="00121F0E" w:rsidRDefault="00121F0E" w:rsidP="00121F0E">
            <w:pPr>
              <w:jc w:val="both"/>
              <w:rPr>
                <w:rFonts w:ascii="Times New Roman" w:eastAsia="Times New Roman" w:hAnsi="Times New Roman" w:cs="Times New Roman"/>
                <w:b/>
                <w:bCs/>
                <w:noProof/>
                <w:sz w:val="24"/>
                <w:szCs w:val="20"/>
              </w:rPr>
            </w:pPr>
            <w:r>
              <w:rPr>
                <w:rFonts w:ascii="Times New Roman" w:eastAsia="Times New Roman" w:hAnsi="Times New Roman" w:cs="Times New Roman"/>
                <w:b/>
                <w:bCs/>
                <w:noProof/>
                <w:sz w:val="24"/>
                <w:szCs w:val="20"/>
              </w:rPr>
              <w:t>APPLY</w:t>
            </w:r>
          </w:p>
          <w:p w14:paraId="2C408A2C" w14:textId="2FE98143" w:rsidR="00121F0E" w:rsidRPr="00C70757" w:rsidRDefault="00121F0E" w:rsidP="00121F0E">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Checklist</w:t>
            </w:r>
          </w:p>
        </w:tc>
        <w:tc>
          <w:tcPr>
            <w:tcW w:w="4531" w:type="dxa"/>
          </w:tcPr>
          <w:p w14:paraId="02C534BC" w14:textId="77777777" w:rsidR="00121F0E" w:rsidRDefault="00121F0E" w:rsidP="00121F0E">
            <w:pPr>
              <w:jc w:val="both"/>
              <w:rPr>
                <w:rFonts w:ascii="Times New Roman" w:eastAsia="Times New Roman" w:hAnsi="Times New Roman" w:cs="Times New Roman"/>
                <w:b/>
                <w:bCs/>
                <w:noProof/>
                <w:sz w:val="24"/>
                <w:szCs w:val="20"/>
              </w:rPr>
            </w:pPr>
            <w:r>
              <w:rPr>
                <w:rFonts w:ascii="Times New Roman" w:hAnsi="Times New Roman"/>
                <w:b/>
                <w:sz w:val="24"/>
              </w:rPr>
              <w:t>PIEMĒROT</w:t>
            </w:r>
          </w:p>
          <w:p w14:paraId="43019459" w14:textId="6284C977" w:rsidR="00121F0E" w:rsidRDefault="00121F0E" w:rsidP="00121F0E">
            <w:pPr>
              <w:jc w:val="both"/>
              <w:rPr>
                <w:rFonts w:ascii="Times New Roman" w:eastAsia="Times New Roman" w:hAnsi="Times New Roman" w:cs="Times New Roman"/>
                <w:noProof/>
                <w:sz w:val="24"/>
                <w:szCs w:val="20"/>
              </w:rPr>
            </w:pPr>
            <w:r>
              <w:rPr>
                <w:rFonts w:ascii="Times New Roman" w:hAnsi="Times New Roman"/>
                <w:sz w:val="24"/>
              </w:rPr>
              <w:t>pārbaudes lapu</w:t>
            </w:r>
          </w:p>
        </w:tc>
      </w:tr>
      <w:tr w:rsidR="00121F0E" w14:paraId="515DC68B" w14:textId="77777777" w:rsidTr="00121F0E">
        <w:tc>
          <w:tcPr>
            <w:tcW w:w="4531" w:type="dxa"/>
          </w:tcPr>
          <w:p w14:paraId="098E49C8" w14:textId="2C10BC4F" w:rsidR="00121F0E" w:rsidRDefault="00121F0E" w:rsidP="00121F0E">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Any competition distortion?</w:t>
            </w:r>
          </w:p>
        </w:tc>
        <w:tc>
          <w:tcPr>
            <w:tcW w:w="4531" w:type="dxa"/>
          </w:tcPr>
          <w:p w14:paraId="32B12824" w14:textId="1B31CAC7" w:rsidR="00121F0E" w:rsidRDefault="00121F0E" w:rsidP="00121F0E">
            <w:pPr>
              <w:jc w:val="both"/>
              <w:rPr>
                <w:rFonts w:ascii="Times New Roman" w:eastAsia="Times New Roman" w:hAnsi="Times New Roman" w:cs="Times New Roman"/>
                <w:noProof/>
                <w:sz w:val="24"/>
                <w:szCs w:val="20"/>
              </w:rPr>
            </w:pPr>
            <w:r>
              <w:rPr>
                <w:rFonts w:ascii="Times New Roman" w:hAnsi="Times New Roman"/>
                <w:sz w:val="24"/>
              </w:rPr>
              <w:t>Vai ir konstatēti kādi konkurences izkropļojumi?</w:t>
            </w:r>
          </w:p>
        </w:tc>
      </w:tr>
      <w:tr w:rsidR="00121F0E" w14:paraId="179D252E" w14:textId="77777777" w:rsidTr="00121F0E">
        <w:tc>
          <w:tcPr>
            <w:tcW w:w="4531" w:type="dxa"/>
          </w:tcPr>
          <w:p w14:paraId="1914FBCB" w14:textId="77777777" w:rsidR="00121F0E" w:rsidRDefault="00121F0E" w:rsidP="00121F0E">
            <w:pPr>
              <w:jc w:val="both"/>
              <w:rPr>
                <w:rFonts w:ascii="Times New Roman" w:eastAsia="Times New Roman" w:hAnsi="Times New Roman" w:cs="Times New Roman"/>
                <w:b/>
                <w:bCs/>
                <w:noProof/>
                <w:sz w:val="24"/>
                <w:szCs w:val="20"/>
              </w:rPr>
            </w:pPr>
            <w:r>
              <w:rPr>
                <w:rFonts w:ascii="Times New Roman" w:eastAsia="Times New Roman" w:hAnsi="Times New Roman" w:cs="Times New Roman"/>
                <w:b/>
                <w:bCs/>
                <w:noProof/>
                <w:sz w:val="24"/>
                <w:szCs w:val="20"/>
              </w:rPr>
              <w:t>YES</w:t>
            </w:r>
          </w:p>
          <w:p w14:paraId="159697B1" w14:textId="550C4D19" w:rsidR="00121F0E" w:rsidRPr="00C70757" w:rsidRDefault="00121F0E" w:rsidP="00121F0E">
            <w:pPr>
              <w:jc w:val="both"/>
              <w:rPr>
                <w:rFonts w:ascii="Times New Roman" w:eastAsia="Times New Roman" w:hAnsi="Times New Roman" w:cs="Times New Roman"/>
                <w:b/>
                <w:bCs/>
                <w:noProof/>
                <w:sz w:val="24"/>
                <w:szCs w:val="20"/>
              </w:rPr>
            </w:pPr>
            <w:r>
              <w:rPr>
                <w:rFonts w:ascii="Times New Roman" w:eastAsia="Times New Roman" w:hAnsi="Times New Roman" w:cs="Times New Roman"/>
                <w:b/>
                <w:bCs/>
                <w:noProof/>
                <w:sz w:val="24"/>
                <w:szCs w:val="20"/>
              </w:rPr>
              <w:t>NO</w:t>
            </w:r>
          </w:p>
        </w:tc>
        <w:tc>
          <w:tcPr>
            <w:tcW w:w="4531" w:type="dxa"/>
          </w:tcPr>
          <w:p w14:paraId="603CF807" w14:textId="77777777" w:rsidR="00121F0E" w:rsidRDefault="00121F0E" w:rsidP="00121F0E">
            <w:pPr>
              <w:jc w:val="both"/>
              <w:rPr>
                <w:rFonts w:ascii="Times New Roman" w:eastAsia="Times New Roman" w:hAnsi="Times New Roman" w:cs="Times New Roman"/>
                <w:b/>
                <w:bCs/>
                <w:noProof/>
                <w:sz w:val="24"/>
                <w:szCs w:val="20"/>
              </w:rPr>
            </w:pPr>
            <w:r>
              <w:rPr>
                <w:rFonts w:ascii="Times New Roman" w:hAnsi="Times New Roman"/>
                <w:b/>
                <w:sz w:val="24"/>
              </w:rPr>
              <w:t>JĀ</w:t>
            </w:r>
          </w:p>
          <w:p w14:paraId="4D4628EF" w14:textId="1E04062D" w:rsidR="00121F0E" w:rsidRDefault="00121F0E" w:rsidP="00121F0E">
            <w:pPr>
              <w:jc w:val="both"/>
              <w:rPr>
                <w:rFonts w:ascii="Times New Roman" w:eastAsia="Times New Roman" w:hAnsi="Times New Roman" w:cs="Times New Roman"/>
                <w:noProof/>
                <w:sz w:val="24"/>
                <w:szCs w:val="20"/>
              </w:rPr>
            </w:pPr>
            <w:r>
              <w:rPr>
                <w:rFonts w:ascii="Times New Roman" w:hAnsi="Times New Roman"/>
                <w:b/>
                <w:sz w:val="24"/>
              </w:rPr>
              <w:t>NĒ</w:t>
            </w:r>
          </w:p>
        </w:tc>
      </w:tr>
      <w:tr w:rsidR="00121F0E" w14:paraId="0449A46E" w14:textId="77777777" w:rsidTr="00121F0E">
        <w:tc>
          <w:tcPr>
            <w:tcW w:w="4531" w:type="dxa"/>
          </w:tcPr>
          <w:p w14:paraId="02A80CB6" w14:textId="53F69451" w:rsidR="00121F0E" w:rsidRPr="00946605" w:rsidRDefault="00121F0E" w:rsidP="00121F0E">
            <w:pPr>
              <w:jc w:val="both"/>
              <w:rPr>
                <w:rFonts w:ascii="Times New Roman" w:eastAsia="Times New Roman" w:hAnsi="Times New Roman" w:cs="Times New Roman"/>
                <w:i/>
                <w:iCs/>
                <w:noProof/>
                <w:sz w:val="24"/>
                <w:szCs w:val="20"/>
              </w:rPr>
            </w:pPr>
            <w:r>
              <w:rPr>
                <w:rFonts w:ascii="Times New Roman" w:eastAsia="Times New Roman" w:hAnsi="Times New Roman" w:cs="Times New Roman"/>
                <w:i/>
                <w:iCs/>
                <w:noProof/>
                <w:sz w:val="24"/>
                <w:szCs w:val="20"/>
              </w:rPr>
              <w:t>run in-depth assessment of restriction</w:t>
            </w:r>
          </w:p>
        </w:tc>
        <w:tc>
          <w:tcPr>
            <w:tcW w:w="4531" w:type="dxa"/>
          </w:tcPr>
          <w:p w14:paraId="03FC6209" w14:textId="1B6DB9D3" w:rsidR="00121F0E" w:rsidRDefault="00121F0E" w:rsidP="00121F0E">
            <w:pPr>
              <w:jc w:val="both"/>
              <w:rPr>
                <w:rFonts w:ascii="Times New Roman" w:eastAsia="Times New Roman" w:hAnsi="Times New Roman" w:cs="Times New Roman"/>
                <w:noProof/>
                <w:sz w:val="24"/>
                <w:szCs w:val="20"/>
              </w:rPr>
            </w:pPr>
            <w:r>
              <w:rPr>
                <w:rFonts w:ascii="Times New Roman" w:hAnsi="Times New Roman"/>
                <w:i/>
                <w:sz w:val="24"/>
              </w:rPr>
              <w:t>veikt padziļinātu ierobežojuma novērtējumu</w:t>
            </w:r>
          </w:p>
        </w:tc>
      </w:tr>
      <w:tr w:rsidR="00121F0E" w14:paraId="534A4EB3" w14:textId="77777777" w:rsidTr="00121F0E">
        <w:tc>
          <w:tcPr>
            <w:tcW w:w="4531" w:type="dxa"/>
          </w:tcPr>
          <w:p w14:paraId="35A4D845" w14:textId="77777777" w:rsidR="00121F0E" w:rsidRDefault="00121F0E" w:rsidP="00121F0E">
            <w:pPr>
              <w:jc w:val="both"/>
              <w:rPr>
                <w:rFonts w:ascii="Times New Roman" w:eastAsia="Times New Roman" w:hAnsi="Times New Roman" w:cs="Times New Roman"/>
                <w:b/>
                <w:bCs/>
                <w:noProof/>
                <w:sz w:val="24"/>
                <w:szCs w:val="20"/>
              </w:rPr>
            </w:pPr>
            <w:r>
              <w:rPr>
                <w:rFonts w:ascii="Times New Roman" w:eastAsia="Times New Roman" w:hAnsi="Times New Roman" w:cs="Times New Roman"/>
                <w:b/>
                <w:bCs/>
                <w:noProof/>
                <w:sz w:val="24"/>
                <w:szCs w:val="20"/>
              </w:rPr>
              <w:t>IDENTIFY</w:t>
            </w:r>
          </w:p>
          <w:p w14:paraId="6CF06531" w14:textId="100997AD" w:rsidR="00121F0E" w:rsidRPr="00946605" w:rsidRDefault="00121F0E" w:rsidP="00121F0E">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alternative options</w:t>
            </w:r>
          </w:p>
        </w:tc>
        <w:tc>
          <w:tcPr>
            <w:tcW w:w="4531" w:type="dxa"/>
          </w:tcPr>
          <w:p w14:paraId="5B7EA672" w14:textId="77777777" w:rsidR="00121F0E" w:rsidRDefault="00121F0E" w:rsidP="00121F0E">
            <w:pPr>
              <w:jc w:val="both"/>
              <w:rPr>
                <w:rFonts w:ascii="Times New Roman" w:eastAsia="Times New Roman" w:hAnsi="Times New Roman" w:cs="Times New Roman"/>
                <w:b/>
                <w:bCs/>
                <w:noProof/>
                <w:sz w:val="24"/>
                <w:szCs w:val="20"/>
              </w:rPr>
            </w:pPr>
            <w:r>
              <w:rPr>
                <w:rFonts w:ascii="Times New Roman" w:hAnsi="Times New Roman"/>
                <w:b/>
                <w:sz w:val="24"/>
              </w:rPr>
              <w:t>IDENTIFICĒT</w:t>
            </w:r>
          </w:p>
          <w:p w14:paraId="5D66FED0" w14:textId="24C4589B" w:rsidR="00121F0E" w:rsidRDefault="00121F0E" w:rsidP="00121F0E">
            <w:pPr>
              <w:jc w:val="both"/>
              <w:rPr>
                <w:rFonts w:ascii="Times New Roman" w:eastAsia="Times New Roman" w:hAnsi="Times New Roman" w:cs="Times New Roman"/>
                <w:noProof/>
                <w:sz w:val="24"/>
                <w:szCs w:val="20"/>
              </w:rPr>
            </w:pPr>
            <w:r>
              <w:rPr>
                <w:rFonts w:ascii="Times New Roman" w:hAnsi="Times New Roman"/>
                <w:sz w:val="24"/>
              </w:rPr>
              <w:t>alternatīvas iespējas</w:t>
            </w:r>
          </w:p>
        </w:tc>
      </w:tr>
      <w:tr w:rsidR="00121F0E" w14:paraId="6118E73E" w14:textId="77777777" w:rsidTr="00121F0E">
        <w:tc>
          <w:tcPr>
            <w:tcW w:w="4531" w:type="dxa"/>
          </w:tcPr>
          <w:p w14:paraId="5B0C7BB2" w14:textId="77777777" w:rsidR="00121F0E" w:rsidRDefault="00121F0E" w:rsidP="00121F0E">
            <w:pPr>
              <w:jc w:val="both"/>
              <w:rPr>
                <w:rFonts w:ascii="Times New Roman" w:eastAsia="Times New Roman" w:hAnsi="Times New Roman" w:cs="Times New Roman"/>
                <w:b/>
                <w:bCs/>
                <w:noProof/>
                <w:sz w:val="24"/>
                <w:szCs w:val="20"/>
              </w:rPr>
            </w:pPr>
            <w:r>
              <w:rPr>
                <w:rFonts w:ascii="Times New Roman" w:eastAsia="Times New Roman" w:hAnsi="Times New Roman" w:cs="Times New Roman"/>
                <w:b/>
                <w:bCs/>
                <w:noProof/>
                <w:sz w:val="24"/>
                <w:szCs w:val="20"/>
              </w:rPr>
              <w:t>COMPARE</w:t>
            </w:r>
          </w:p>
          <w:p w14:paraId="0C8BF589" w14:textId="08F2502E" w:rsidR="00121F0E" w:rsidRPr="00946605" w:rsidRDefault="00121F0E" w:rsidP="00121F0E">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alternatives to status quo</w:t>
            </w:r>
          </w:p>
        </w:tc>
        <w:tc>
          <w:tcPr>
            <w:tcW w:w="4531" w:type="dxa"/>
          </w:tcPr>
          <w:p w14:paraId="1B87E915" w14:textId="77777777" w:rsidR="00121F0E" w:rsidRDefault="00121F0E" w:rsidP="00121F0E">
            <w:pPr>
              <w:jc w:val="both"/>
              <w:rPr>
                <w:rFonts w:ascii="Times New Roman" w:eastAsia="Times New Roman" w:hAnsi="Times New Roman" w:cs="Times New Roman"/>
                <w:b/>
                <w:bCs/>
                <w:noProof/>
                <w:sz w:val="24"/>
                <w:szCs w:val="20"/>
              </w:rPr>
            </w:pPr>
            <w:r>
              <w:rPr>
                <w:rFonts w:ascii="Times New Roman" w:hAnsi="Times New Roman"/>
                <w:b/>
                <w:sz w:val="24"/>
              </w:rPr>
              <w:t>SALĪDZINĀT</w:t>
            </w:r>
          </w:p>
          <w:p w14:paraId="70575305" w14:textId="48059C00" w:rsidR="00121F0E" w:rsidRDefault="00121F0E" w:rsidP="00121F0E">
            <w:pPr>
              <w:jc w:val="both"/>
              <w:rPr>
                <w:rFonts w:ascii="Times New Roman" w:eastAsia="Times New Roman" w:hAnsi="Times New Roman" w:cs="Times New Roman"/>
                <w:noProof/>
                <w:sz w:val="24"/>
                <w:szCs w:val="20"/>
              </w:rPr>
            </w:pPr>
            <w:r>
              <w:rPr>
                <w:rFonts w:ascii="Times New Roman" w:hAnsi="Times New Roman"/>
                <w:sz w:val="24"/>
              </w:rPr>
              <w:t>alternatīvas ar līdzšinējo stāvokli</w:t>
            </w:r>
          </w:p>
        </w:tc>
      </w:tr>
      <w:tr w:rsidR="00121F0E" w14:paraId="3BEBF817" w14:textId="77777777" w:rsidTr="00121F0E">
        <w:tc>
          <w:tcPr>
            <w:tcW w:w="4531" w:type="dxa"/>
          </w:tcPr>
          <w:p w14:paraId="3BB66B17" w14:textId="52FAB97F" w:rsidR="00121F0E" w:rsidRDefault="00121F0E" w:rsidP="00121F0E">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Which is the best option?</w:t>
            </w:r>
          </w:p>
        </w:tc>
        <w:tc>
          <w:tcPr>
            <w:tcW w:w="4531" w:type="dxa"/>
          </w:tcPr>
          <w:p w14:paraId="6037134A" w14:textId="1A3E8FE2" w:rsidR="00121F0E" w:rsidRDefault="00121F0E" w:rsidP="00121F0E">
            <w:pPr>
              <w:jc w:val="both"/>
              <w:rPr>
                <w:rFonts w:ascii="Times New Roman" w:eastAsia="Times New Roman" w:hAnsi="Times New Roman" w:cs="Times New Roman"/>
                <w:noProof/>
                <w:sz w:val="24"/>
                <w:szCs w:val="20"/>
              </w:rPr>
            </w:pPr>
            <w:r>
              <w:rPr>
                <w:rFonts w:ascii="Times New Roman" w:hAnsi="Times New Roman"/>
                <w:sz w:val="24"/>
              </w:rPr>
              <w:t>Kāds ir labākais risinājums?</w:t>
            </w:r>
          </w:p>
        </w:tc>
      </w:tr>
      <w:tr w:rsidR="00121F0E" w14:paraId="23BA2E41" w14:textId="77777777" w:rsidTr="00121F0E">
        <w:tc>
          <w:tcPr>
            <w:tcW w:w="4531" w:type="dxa"/>
          </w:tcPr>
          <w:p w14:paraId="1835BA10" w14:textId="77AB0D3B" w:rsidR="00121F0E" w:rsidRPr="00946605" w:rsidRDefault="00121F0E" w:rsidP="00121F0E">
            <w:pPr>
              <w:jc w:val="both"/>
              <w:rPr>
                <w:rFonts w:ascii="Times New Roman" w:eastAsia="Times New Roman" w:hAnsi="Times New Roman" w:cs="Times New Roman"/>
                <w:b/>
                <w:bCs/>
                <w:noProof/>
                <w:sz w:val="24"/>
                <w:szCs w:val="20"/>
              </w:rPr>
            </w:pPr>
            <w:r>
              <w:rPr>
                <w:rFonts w:ascii="Times New Roman" w:eastAsia="Times New Roman" w:hAnsi="Times New Roman" w:cs="Times New Roman"/>
                <w:b/>
                <w:bCs/>
                <w:noProof/>
                <w:sz w:val="24"/>
                <w:szCs w:val="20"/>
              </w:rPr>
              <w:t>STATUS QUO</w:t>
            </w:r>
          </w:p>
        </w:tc>
        <w:tc>
          <w:tcPr>
            <w:tcW w:w="4531" w:type="dxa"/>
          </w:tcPr>
          <w:p w14:paraId="602FC58A" w14:textId="6D228972" w:rsidR="00121F0E" w:rsidRDefault="00121F0E" w:rsidP="00121F0E">
            <w:pPr>
              <w:jc w:val="both"/>
              <w:rPr>
                <w:rFonts w:ascii="Times New Roman" w:eastAsia="Times New Roman" w:hAnsi="Times New Roman" w:cs="Times New Roman"/>
                <w:noProof/>
                <w:sz w:val="24"/>
                <w:szCs w:val="20"/>
              </w:rPr>
            </w:pPr>
            <w:r>
              <w:rPr>
                <w:rFonts w:ascii="Times New Roman" w:hAnsi="Times New Roman"/>
                <w:b/>
                <w:sz w:val="24"/>
              </w:rPr>
              <w:t>LĪDZŠINĒJAIS STĀVOKLIS</w:t>
            </w:r>
          </w:p>
        </w:tc>
      </w:tr>
      <w:tr w:rsidR="00121F0E" w14:paraId="56363A0C" w14:textId="77777777" w:rsidTr="00121F0E">
        <w:tc>
          <w:tcPr>
            <w:tcW w:w="4531" w:type="dxa"/>
          </w:tcPr>
          <w:p w14:paraId="388D3567" w14:textId="7827974D" w:rsidR="00121F0E" w:rsidRPr="00946605" w:rsidRDefault="00121F0E" w:rsidP="00121F0E">
            <w:pPr>
              <w:jc w:val="both"/>
              <w:rPr>
                <w:rFonts w:ascii="Times New Roman" w:eastAsia="Times New Roman" w:hAnsi="Times New Roman" w:cs="Times New Roman"/>
                <w:b/>
                <w:bCs/>
                <w:noProof/>
                <w:sz w:val="24"/>
                <w:szCs w:val="20"/>
              </w:rPr>
            </w:pPr>
            <w:r>
              <w:rPr>
                <w:rFonts w:ascii="Times New Roman" w:eastAsia="Times New Roman" w:hAnsi="Times New Roman" w:cs="Times New Roman"/>
                <w:b/>
                <w:bCs/>
                <w:noProof/>
                <w:sz w:val="24"/>
                <w:szCs w:val="20"/>
              </w:rPr>
              <w:t>ALTERNATIVE</w:t>
            </w:r>
          </w:p>
        </w:tc>
        <w:tc>
          <w:tcPr>
            <w:tcW w:w="4531" w:type="dxa"/>
          </w:tcPr>
          <w:p w14:paraId="1C467654" w14:textId="60FFCB08" w:rsidR="00121F0E" w:rsidRDefault="00121F0E" w:rsidP="00121F0E">
            <w:pPr>
              <w:jc w:val="both"/>
              <w:rPr>
                <w:rFonts w:ascii="Times New Roman" w:eastAsia="Times New Roman" w:hAnsi="Times New Roman" w:cs="Times New Roman"/>
                <w:noProof/>
                <w:sz w:val="24"/>
                <w:szCs w:val="20"/>
              </w:rPr>
            </w:pPr>
            <w:r>
              <w:rPr>
                <w:rFonts w:ascii="Times New Roman" w:hAnsi="Times New Roman"/>
                <w:b/>
                <w:sz w:val="24"/>
              </w:rPr>
              <w:t>ALTERNATĪVA</w:t>
            </w:r>
          </w:p>
        </w:tc>
      </w:tr>
      <w:tr w:rsidR="00121F0E" w14:paraId="4DABF494" w14:textId="77777777" w:rsidTr="00121F0E">
        <w:tc>
          <w:tcPr>
            <w:tcW w:w="4531" w:type="dxa"/>
          </w:tcPr>
          <w:p w14:paraId="21E46361" w14:textId="77777777" w:rsidR="00121F0E" w:rsidRDefault="00121F0E" w:rsidP="00121F0E">
            <w:pPr>
              <w:jc w:val="both"/>
              <w:rPr>
                <w:rFonts w:ascii="Times New Roman" w:eastAsia="Times New Roman" w:hAnsi="Times New Roman" w:cs="Times New Roman"/>
                <w:b/>
                <w:bCs/>
                <w:noProof/>
                <w:sz w:val="24"/>
                <w:szCs w:val="20"/>
              </w:rPr>
            </w:pPr>
            <w:r>
              <w:rPr>
                <w:rFonts w:ascii="Times New Roman" w:eastAsia="Times New Roman" w:hAnsi="Times New Roman" w:cs="Times New Roman"/>
                <w:b/>
                <w:bCs/>
                <w:noProof/>
                <w:sz w:val="24"/>
                <w:szCs w:val="20"/>
              </w:rPr>
              <w:t>IMPLEMENT</w:t>
            </w:r>
          </w:p>
          <w:p w14:paraId="795DCDC6" w14:textId="51C54433" w:rsidR="00121F0E" w:rsidRPr="00946605" w:rsidRDefault="00121F0E" w:rsidP="00121F0E">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best option</w:t>
            </w:r>
          </w:p>
        </w:tc>
        <w:tc>
          <w:tcPr>
            <w:tcW w:w="4531" w:type="dxa"/>
          </w:tcPr>
          <w:p w14:paraId="501CCC0B" w14:textId="77777777" w:rsidR="00121F0E" w:rsidRDefault="00121F0E" w:rsidP="00121F0E">
            <w:pPr>
              <w:jc w:val="both"/>
              <w:rPr>
                <w:rFonts w:ascii="Times New Roman" w:eastAsia="Times New Roman" w:hAnsi="Times New Roman" w:cs="Times New Roman"/>
                <w:b/>
                <w:bCs/>
                <w:noProof/>
                <w:sz w:val="24"/>
                <w:szCs w:val="20"/>
              </w:rPr>
            </w:pPr>
            <w:r>
              <w:rPr>
                <w:rFonts w:ascii="Times New Roman" w:hAnsi="Times New Roman"/>
                <w:b/>
                <w:sz w:val="24"/>
              </w:rPr>
              <w:t>ĪSTENOT</w:t>
            </w:r>
          </w:p>
          <w:p w14:paraId="1EAC28F5" w14:textId="7BCCAF8A" w:rsidR="00121F0E" w:rsidRDefault="00121F0E" w:rsidP="00121F0E">
            <w:pPr>
              <w:jc w:val="both"/>
              <w:rPr>
                <w:rFonts w:ascii="Times New Roman" w:eastAsia="Times New Roman" w:hAnsi="Times New Roman" w:cs="Times New Roman"/>
                <w:noProof/>
                <w:sz w:val="24"/>
                <w:szCs w:val="20"/>
              </w:rPr>
            </w:pPr>
            <w:r>
              <w:rPr>
                <w:rFonts w:ascii="Times New Roman" w:hAnsi="Times New Roman"/>
                <w:sz w:val="24"/>
              </w:rPr>
              <w:t>labāko risinājumu</w:t>
            </w:r>
          </w:p>
        </w:tc>
      </w:tr>
      <w:tr w:rsidR="00121F0E" w14:paraId="313AD4DF" w14:textId="77777777" w:rsidTr="00121F0E">
        <w:tc>
          <w:tcPr>
            <w:tcW w:w="4531" w:type="dxa"/>
          </w:tcPr>
          <w:p w14:paraId="17D628B4" w14:textId="77777777" w:rsidR="00121F0E" w:rsidRDefault="00121F0E" w:rsidP="00121F0E">
            <w:pPr>
              <w:jc w:val="both"/>
              <w:rPr>
                <w:rFonts w:ascii="Times New Roman" w:eastAsia="Times New Roman" w:hAnsi="Times New Roman" w:cs="Times New Roman"/>
                <w:b/>
                <w:bCs/>
                <w:noProof/>
                <w:sz w:val="24"/>
                <w:szCs w:val="20"/>
              </w:rPr>
            </w:pPr>
            <w:r>
              <w:rPr>
                <w:rFonts w:ascii="Times New Roman" w:eastAsia="Times New Roman" w:hAnsi="Times New Roman" w:cs="Times New Roman"/>
                <w:b/>
                <w:bCs/>
                <w:noProof/>
                <w:sz w:val="24"/>
                <w:szCs w:val="20"/>
              </w:rPr>
              <w:t>CONDUCT</w:t>
            </w:r>
          </w:p>
          <w:p w14:paraId="62F21A2D" w14:textId="0DE44282" w:rsidR="00121F0E" w:rsidRPr="00946605" w:rsidRDefault="00121F0E" w:rsidP="00121F0E">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ex-post assessment</w:t>
            </w:r>
          </w:p>
        </w:tc>
        <w:tc>
          <w:tcPr>
            <w:tcW w:w="4531" w:type="dxa"/>
          </w:tcPr>
          <w:p w14:paraId="76773066" w14:textId="77777777" w:rsidR="00121F0E" w:rsidRDefault="00121F0E" w:rsidP="00121F0E">
            <w:pPr>
              <w:jc w:val="both"/>
              <w:rPr>
                <w:rFonts w:ascii="Times New Roman" w:eastAsia="Times New Roman" w:hAnsi="Times New Roman" w:cs="Times New Roman"/>
                <w:b/>
                <w:bCs/>
                <w:noProof/>
                <w:sz w:val="24"/>
                <w:szCs w:val="20"/>
              </w:rPr>
            </w:pPr>
            <w:r>
              <w:rPr>
                <w:rFonts w:ascii="Times New Roman" w:hAnsi="Times New Roman"/>
                <w:b/>
                <w:sz w:val="24"/>
              </w:rPr>
              <w:t>VEIKT</w:t>
            </w:r>
          </w:p>
          <w:p w14:paraId="7CE32622" w14:textId="1888E746" w:rsidR="00121F0E" w:rsidRDefault="0072624B" w:rsidP="00121F0E">
            <w:pPr>
              <w:jc w:val="both"/>
              <w:rPr>
                <w:rFonts w:ascii="Times New Roman" w:eastAsia="Times New Roman" w:hAnsi="Times New Roman" w:cs="Times New Roman"/>
                <w:noProof/>
                <w:sz w:val="24"/>
                <w:szCs w:val="20"/>
              </w:rPr>
            </w:pPr>
            <w:r>
              <w:rPr>
                <w:rFonts w:ascii="Times New Roman" w:hAnsi="Times New Roman"/>
                <w:i/>
                <w:iCs/>
                <w:sz w:val="24"/>
              </w:rPr>
              <w:t>ex-post</w:t>
            </w:r>
            <w:r w:rsidR="00121F0E">
              <w:rPr>
                <w:rFonts w:ascii="Times New Roman" w:hAnsi="Times New Roman"/>
                <w:sz w:val="24"/>
              </w:rPr>
              <w:t xml:space="preserve"> novērtējumu</w:t>
            </w:r>
          </w:p>
        </w:tc>
      </w:tr>
    </w:tbl>
    <w:p w14:paraId="1BCE90DA" w14:textId="3E34F789" w:rsidR="00946605" w:rsidRDefault="00946605">
      <w:pPr>
        <w:rPr>
          <w:rFonts w:ascii="Times New Roman" w:eastAsia="Times New Roman" w:hAnsi="Times New Roman" w:cs="Times New Roman"/>
          <w:noProof/>
          <w:sz w:val="24"/>
          <w:szCs w:val="20"/>
        </w:rPr>
      </w:pPr>
      <w:r>
        <w:br w:type="page"/>
      </w:r>
    </w:p>
    <w:p w14:paraId="7F1754BC" w14:textId="77777777" w:rsidR="000A6469" w:rsidRPr="004D11C9" w:rsidRDefault="000A6469" w:rsidP="004D11C9">
      <w:pPr>
        <w:jc w:val="both"/>
        <w:rPr>
          <w:rFonts w:ascii="Times New Roman" w:eastAsia="Times New Roman" w:hAnsi="Times New Roman" w:cs="Times New Roman"/>
          <w:noProof/>
          <w:sz w:val="24"/>
          <w:szCs w:val="26"/>
        </w:rPr>
      </w:pPr>
    </w:p>
    <w:p w14:paraId="4387951B" w14:textId="2507647D" w:rsidR="000A6469" w:rsidRPr="004D11C9" w:rsidRDefault="000A6469" w:rsidP="00887892">
      <w:pPr>
        <w:pStyle w:val="Heading1"/>
        <w:spacing w:before="0"/>
        <w:ind w:left="0"/>
        <w:jc w:val="both"/>
        <w:rPr>
          <w:rFonts w:ascii="Times New Roman" w:hAnsi="Times New Roman"/>
          <w:noProof/>
          <w:sz w:val="24"/>
        </w:rPr>
      </w:pPr>
      <w:bookmarkStart w:id="25" w:name="Chapter_2_Selection_of_public_policies_f"/>
      <w:bookmarkStart w:id="26" w:name="_bookmark7"/>
      <w:bookmarkStart w:id="27" w:name="_Toc62650468"/>
      <w:bookmarkEnd w:id="25"/>
      <w:bookmarkEnd w:id="26"/>
      <w:r w:rsidRPr="00121F0E">
        <w:rPr>
          <w:rFonts w:ascii="Times New Roman" w:hAnsi="Times New Roman"/>
          <w:sz w:val="28"/>
          <w:szCs w:val="56"/>
        </w:rPr>
        <w:t>2. nodaļa</w:t>
      </w:r>
      <w:r w:rsidR="00887892">
        <w:rPr>
          <w:rFonts w:ascii="Times New Roman" w:hAnsi="Times New Roman"/>
          <w:sz w:val="24"/>
        </w:rPr>
        <w:br/>
      </w:r>
      <w:r>
        <w:rPr>
          <w:rFonts w:ascii="Times New Roman" w:hAnsi="Times New Roman"/>
          <w:sz w:val="24"/>
        </w:rPr>
        <w:t>Izskatāmo valsts politikas pasākumu atlase</w:t>
      </w:r>
      <w:bookmarkEnd w:id="27"/>
    </w:p>
    <w:p w14:paraId="217B66F4" w14:textId="279F9E99" w:rsidR="000A6469" w:rsidRPr="004D11C9" w:rsidRDefault="000A6469" w:rsidP="004D11C9">
      <w:pPr>
        <w:jc w:val="both"/>
        <w:rPr>
          <w:rFonts w:ascii="Times New Roman" w:eastAsia="Arial" w:hAnsi="Times New Roman" w:cs="Arial"/>
          <w:b/>
          <w:bCs/>
          <w:noProof/>
          <w:sz w:val="24"/>
          <w:szCs w:val="11"/>
        </w:rPr>
      </w:pPr>
    </w:p>
    <w:p w14:paraId="31941658" w14:textId="23652576" w:rsidR="00867DDD" w:rsidRDefault="00867DDD" w:rsidP="004D11C9">
      <w:pPr>
        <w:jc w:val="both"/>
        <w:rPr>
          <w:rFonts w:ascii="Times New Roman" w:eastAsia="Arial" w:hAnsi="Times New Roman" w:cs="Arial"/>
          <w:b/>
          <w:bCs/>
          <w:noProof/>
          <w:sz w:val="24"/>
          <w:szCs w:val="11"/>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946605" w14:paraId="568F354D" w14:textId="77777777" w:rsidTr="00946605">
        <w:tc>
          <w:tcPr>
            <w:tcW w:w="9062" w:type="dxa"/>
          </w:tcPr>
          <w:p w14:paraId="4F6E53BC" w14:textId="09A6C687" w:rsidR="00946605" w:rsidRPr="00946605" w:rsidRDefault="00946605" w:rsidP="004D11C9">
            <w:pPr>
              <w:jc w:val="both"/>
              <w:rPr>
                <w:rFonts w:ascii="Times New Roman" w:hAnsi="Times New Roman"/>
                <w:noProof/>
                <w:sz w:val="24"/>
              </w:rPr>
            </w:pPr>
            <w:r>
              <w:rPr>
                <w:rFonts w:ascii="Times New Roman" w:hAnsi="Times New Roman"/>
                <w:b/>
                <w:i/>
                <w:sz w:val="24"/>
              </w:rPr>
              <w:t xml:space="preserve">Lietošanas norādījumi. </w:t>
            </w:r>
            <w:r>
              <w:rPr>
                <w:rFonts w:ascii="Times New Roman" w:hAnsi="Times New Roman"/>
                <w:sz w:val="24"/>
              </w:rPr>
              <w:t>Šī nodaļa attiecas tikai uz tādu politikas pasākumu pārbaudēm, kas vēl nav pieņemti. Šo nodaļu var izlaist, ja, kā tas ir lielākajā daļā gadījumu, politikas veidotāji jau ir pieņēmuši lēmumu par pārbaudāmajiem noteikumiem, piemēram, par jaunu noteikumu regulatīvās ietekmes analīzi vai attiecībā uz konkrētu noteikumu retrospektīvu izskatīšanu. Šī nodaļa var būt īpaši noderīga saistībā ar nozares vai tirgus pētījumiem.</w:t>
            </w:r>
          </w:p>
        </w:tc>
      </w:tr>
    </w:tbl>
    <w:p w14:paraId="4C2304D8" w14:textId="77777777" w:rsidR="000A6469" w:rsidRPr="004D11C9" w:rsidRDefault="000A6469" w:rsidP="004D11C9">
      <w:pPr>
        <w:jc w:val="both"/>
        <w:rPr>
          <w:rFonts w:ascii="Times New Roman" w:eastAsia="Arial" w:hAnsi="Times New Roman" w:cs="Arial"/>
          <w:b/>
          <w:bCs/>
          <w:noProof/>
          <w:sz w:val="24"/>
          <w:szCs w:val="32"/>
        </w:rPr>
      </w:pPr>
    </w:p>
    <w:p w14:paraId="767DAA0F"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Kad tiek pārbaudīta valsts iejaukšanās pasākuma ietekme uz konkurenci, valstis parasti novērtē atsevišķus noteikumus. Dažkārt tās var vispārēji pārbaudīt arī visu spēkā esošo tiesisko regulējumu, kas attiecas uz noteiktu nozari vai pat visu tautsaimniecību. Piemēram, Austrālijā 20. gadsimta 90. gadu beigās pēc valsts konkurences politikas pieņemšanas tika veikta plaša daudznozaru tiesiskā regulējuma pārskatīšana, kuras rezultātā tika padziļināti pārskatīts aptuveni 1800 likumu un noteikumu. Grieķijā 2013. gadā tika pārbaudītas četras nozares, tostarp pārskatīts vairāk nekā 1000 noteikumu. Daudzās valstīs tirgus izpēte tiek veikta, ja tirgus nedarbojas labi.</w:t>
      </w:r>
    </w:p>
    <w:p w14:paraId="4DF1E840" w14:textId="77777777" w:rsidR="000A6469" w:rsidRPr="004D11C9" w:rsidRDefault="000A6469" w:rsidP="004D11C9">
      <w:pPr>
        <w:jc w:val="both"/>
        <w:rPr>
          <w:rFonts w:ascii="Times New Roman" w:eastAsia="Arial" w:hAnsi="Times New Roman" w:cs="Arial"/>
          <w:noProof/>
          <w:sz w:val="24"/>
          <w:szCs w:val="20"/>
        </w:rPr>
      </w:pPr>
    </w:p>
    <w:p w14:paraId="66B58753" w14:textId="2C019DF4"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Veicot šādu vispārēju izskatīšanu, politikas veidotājiem ir jānosaka prioritātes un jāatlasa politikas pasākumi, kas tiks vērtēti. Prioritāšu noteikšana ir nepieciešama bieži vien lielā politikas pasākumu apjoma dēļ, kas pastāv katrā tautsaimniecības nozarē. Ņemot vērā pilnīgai pārskatīšanai nepieciešamos resursus, tostarp ierobežoto prasmju piedāvājumu šādas pārskatīšanas veikšanai un šo resursu izmantošanas izmaksas, novērtētāji bieži vēlas ierobežot pārskatīšanas apmēru, attiecinot to tikai uz svarīgākajām nozarēm un būtiskākajiem normatīvajiem aktiem. Tomēr labums, ko sniedz pārskatīšana daudznozaru līmenī, var krietni pārsniegt šādas pārskatīšanas izmaksas, tāpēc var būt lietderīgi ieguldīt pietiekamus līdzekļus plašas pārskatīšanas īstenošanai.</w:t>
      </w:r>
    </w:p>
    <w:p w14:paraId="5D156D31" w14:textId="77777777" w:rsidR="000A6469" w:rsidRPr="004D11C9" w:rsidRDefault="000A6469" w:rsidP="004D11C9">
      <w:pPr>
        <w:jc w:val="both"/>
        <w:rPr>
          <w:rFonts w:ascii="Times New Roman" w:eastAsia="Arial" w:hAnsi="Times New Roman" w:cs="Arial"/>
          <w:noProof/>
          <w:sz w:val="24"/>
          <w:szCs w:val="20"/>
        </w:rPr>
      </w:pPr>
    </w:p>
    <w:p w14:paraId="1A0ADC2D"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Šajā nodaļā sniegtas dažas norādes par to, kā atlasīt nozares, kam pievērst galveno uzmanību, ja tiek plānota pārskatīšana visas tautsaimniecības līmenī. Tajā sniegti arī daži ierosinājumi par to, kā noteikt normatīvos aktus, kas attiecas uz konkrētu nozari, un kā noteikt prioritāros politikas pasākumus, kas jānovērtē katrā atsevišķā nozarē.</w:t>
      </w:r>
    </w:p>
    <w:p w14:paraId="2E9AF9CB" w14:textId="77777777" w:rsidR="00946605" w:rsidRDefault="00946605" w:rsidP="004D11C9">
      <w:pPr>
        <w:pStyle w:val="BodyText"/>
        <w:ind w:left="0" w:firstLine="0"/>
        <w:jc w:val="both"/>
        <w:rPr>
          <w:rFonts w:ascii="Times New Roman" w:hAnsi="Times New Roman"/>
          <w:noProof/>
          <w:sz w:val="24"/>
        </w:rPr>
      </w:pPr>
    </w:p>
    <w:p w14:paraId="2DAD68FD" w14:textId="55155642"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Šī nodaļa var būt īpaši noderīga saistībā ar tirgus izpēti. Šie bieži vien ir tirgi, kas veido noteiktu nozares daļu, nevis visu nozari. Piemēram, “finanšu nozarē” ietilpst daudzi tirgi, tostarp banku mazumtirdzniecības pakalpojumi, apdrošināšana, maksājumu sistēmas, hipotekārie aizdevumi u. c.</w:t>
      </w:r>
    </w:p>
    <w:p w14:paraId="70A1860D" w14:textId="77777777" w:rsidR="000A6469" w:rsidRPr="004D11C9" w:rsidRDefault="000A6469" w:rsidP="004D11C9">
      <w:pPr>
        <w:jc w:val="both"/>
        <w:rPr>
          <w:rFonts w:ascii="Times New Roman" w:eastAsia="Arial" w:hAnsi="Times New Roman" w:cs="Arial"/>
          <w:noProof/>
          <w:sz w:val="24"/>
          <w:szCs w:val="16"/>
        </w:rPr>
      </w:pPr>
    </w:p>
    <w:p w14:paraId="7FA0A03F" w14:textId="39D26122" w:rsidR="000A6469" w:rsidRPr="004D11C9" w:rsidRDefault="00946605" w:rsidP="00946605">
      <w:pPr>
        <w:pStyle w:val="Heading3"/>
        <w:tabs>
          <w:tab w:val="left" w:pos="398"/>
        </w:tabs>
        <w:ind w:left="0"/>
        <w:jc w:val="both"/>
        <w:rPr>
          <w:rFonts w:ascii="Times New Roman" w:hAnsi="Times New Roman"/>
          <w:noProof/>
          <w:sz w:val="24"/>
        </w:rPr>
      </w:pPr>
      <w:bookmarkStart w:id="28" w:name="1._Selecting_the_sectors"/>
      <w:bookmarkStart w:id="29" w:name="_bookmark8"/>
      <w:bookmarkStart w:id="30" w:name="_Toc62650469"/>
      <w:bookmarkEnd w:id="28"/>
      <w:bookmarkEnd w:id="29"/>
      <w:r>
        <w:rPr>
          <w:rFonts w:ascii="Times New Roman" w:hAnsi="Times New Roman"/>
          <w:sz w:val="24"/>
        </w:rPr>
        <w:t>1. Nozaru atlase</w:t>
      </w:r>
      <w:bookmarkEnd w:id="30"/>
    </w:p>
    <w:p w14:paraId="30FA005B" w14:textId="77777777" w:rsidR="00946605" w:rsidRDefault="00946605" w:rsidP="004D11C9">
      <w:pPr>
        <w:pStyle w:val="BodyText"/>
        <w:ind w:left="0" w:firstLine="0"/>
        <w:jc w:val="both"/>
        <w:rPr>
          <w:rFonts w:ascii="Times New Roman" w:hAnsi="Times New Roman"/>
          <w:noProof/>
          <w:sz w:val="24"/>
        </w:rPr>
      </w:pPr>
    </w:p>
    <w:p w14:paraId="50309715" w14:textId="01EC5EA1" w:rsidR="000A6469" w:rsidRDefault="000A6469" w:rsidP="004D11C9">
      <w:pPr>
        <w:pStyle w:val="BodyText"/>
        <w:ind w:left="0" w:firstLine="0"/>
        <w:jc w:val="both"/>
        <w:rPr>
          <w:rFonts w:ascii="Times New Roman" w:hAnsi="Times New Roman"/>
          <w:noProof/>
          <w:sz w:val="24"/>
        </w:rPr>
      </w:pPr>
      <w:r>
        <w:rPr>
          <w:rFonts w:ascii="Times New Roman" w:hAnsi="Times New Roman"/>
          <w:sz w:val="24"/>
        </w:rPr>
        <w:t>Kad valsts nolemj izskatīt visus spēkā esošos normatīvos aktus, lai likvidētu nevajadzīgus šķēršļus konkurencei, ir jāsāk ar to nozaru grupas atlasi, kam tiks pievērsta uzmanība. Kā vadlīnijas var izmantot vienu no šādiem prioritāšu noteikšanas principiem vai to kombināciju:</w:t>
      </w:r>
    </w:p>
    <w:p w14:paraId="63F70979" w14:textId="77777777" w:rsidR="00946605" w:rsidRPr="004D11C9" w:rsidRDefault="00946605" w:rsidP="004D11C9">
      <w:pPr>
        <w:pStyle w:val="BodyText"/>
        <w:ind w:left="0" w:firstLine="0"/>
        <w:jc w:val="both"/>
        <w:rPr>
          <w:rFonts w:ascii="Times New Roman" w:hAnsi="Times New Roman"/>
          <w:noProof/>
          <w:sz w:val="24"/>
        </w:rPr>
      </w:pPr>
    </w:p>
    <w:p w14:paraId="7320E6C1" w14:textId="77777777" w:rsidR="000A6469" w:rsidRPr="004D11C9" w:rsidRDefault="000A6469" w:rsidP="00946605">
      <w:pPr>
        <w:pStyle w:val="BodyText"/>
        <w:numPr>
          <w:ilvl w:val="1"/>
          <w:numId w:val="24"/>
        </w:numPr>
        <w:ind w:left="426" w:hanging="426"/>
        <w:jc w:val="both"/>
        <w:rPr>
          <w:rFonts w:ascii="Times New Roman" w:hAnsi="Times New Roman"/>
          <w:noProof/>
          <w:sz w:val="24"/>
        </w:rPr>
      </w:pPr>
      <w:r>
        <w:rPr>
          <w:rFonts w:ascii="Times New Roman" w:hAnsi="Times New Roman"/>
          <w:sz w:val="24"/>
        </w:rPr>
        <w:t>izvēlas nozares, kurās varētu pastāvēt lielākie konkurences ierobežojumi (ko var noteikt, izmantojot viegli pieejamu informāciju par konkurences ierobežojumiem, sūdzību biežumu par konkurences ierobežojumiem, cenām, uzcenojumiem un/vai prettrestu intervenču skaitu);</w:t>
      </w:r>
    </w:p>
    <w:p w14:paraId="50416A0E" w14:textId="77777777" w:rsidR="000A6469" w:rsidRPr="004D11C9" w:rsidRDefault="000A6469" w:rsidP="00946605">
      <w:pPr>
        <w:pStyle w:val="BodyText"/>
        <w:numPr>
          <w:ilvl w:val="1"/>
          <w:numId w:val="24"/>
        </w:numPr>
        <w:ind w:left="426" w:hanging="426"/>
        <w:jc w:val="both"/>
        <w:rPr>
          <w:rFonts w:ascii="Times New Roman" w:hAnsi="Times New Roman"/>
          <w:noProof/>
          <w:sz w:val="24"/>
        </w:rPr>
      </w:pPr>
      <w:r>
        <w:rPr>
          <w:rFonts w:ascii="Times New Roman" w:hAnsi="Times New Roman"/>
          <w:sz w:val="24"/>
        </w:rPr>
        <w:lastRenderedPageBreak/>
        <w:t>izvēlas nozares, kam ir plaša ietekme uz valsts starptautisko konkurētspēju izmaksu ziņā (piemēram, infrastruktūras nozares);</w:t>
      </w:r>
    </w:p>
    <w:p w14:paraId="788E834F" w14:textId="77777777" w:rsidR="000A6469" w:rsidRPr="004D11C9" w:rsidRDefault="000A6469" w:rsidP="00946605">
      <w:pPr>
        <w:pStyle w:val="BodyText"/>
        <w:numPr>
          <w:ilvl w:val="1"/>
          <w:numId w:val="24"/>
        </w:numPr>
        <w:ind w:left="426" w:hanging="426"/>
        <w:jc w:val="both"/>
        <w:rPr>
          <w:rFonts w:ascii="Times New Roman" w:hAnsi="Times New Roman"/>
          <w:noProof/>
          <w:sz w:val="24"/>
        </w:rPr>
      </w:pPr>
      <w:r>
        <w:rPr>
          <w:rFonts w:ascii="Times New Roman" w:hAnsi="Times New Roman"/>
          <w:sz w:val="24"/>
        </w:rPr>
        <w:t>izvēlas nozares, kam ir ievērojama ietekme uz patērētāju izdevumiem;</w:t>
      </w:r>
    </w:p>
    <w:p w14:paraId="0E5060F1" w14:textId="77777777" w:rsidR="000A6469" w:rsidRPr="004D11C9" w:rsidRDefault="000A6469" w:rsidP="00946605">
      <w:pPr>
        <w:pStyle w:val="BodyText"/>
        <w:numPr>
          <w:ilvl w:val="1"/>
          <w:numId w:val="24"/>
        </w:numPr>
        <w:ind w:left="426" w:hanging="426"/>
        <w:jc w:val="both"/>
        <w:rPr>
          <w:rFonts w:ascii="Times New Roman" w:hAnsi="Times New Roman"/>
          <w:noProof/>
          <w:sz w:val="24"/>
        </w:rPr>
      </w:pPr>
      <w:r>
        <w:rPr>
          <w:rFonts w:ascii="Times New Roman" w:hAnsi="Times New Roman"/>
          <w:sz w:val="24"/>
        </w:rPr>
        <w:t>izvēlas nozares, kas veido ievērojamu daļu no IKP;</w:t>
      </w:r>
    </w:p>
    <w:p w14:paraId="3CA3BF1D" w14:textId="77777777" w:rsidR="000A6469" w:rsidRPr="004D11C9" w:rsidRDefault="000A6469" w:rsidP="00946605">
      <w:pPr>
        <w:pStyle w:val="BodyText"/>
        <w:numPr>
          <w:ilvl w:val="1"/>
          <w:numId w:val="24"/>
        </w:numPr>
        <w:ind w:left="426" w:hanging="426"/>
        <w:jc w:val="both"/>
        <w:rPr>
          <w:rFonts w:ascii="Times New Roman" w:hAnsi="Times New Roman"/>
          <w:noProof/>
          <w:sz w:val="24"/>
        </w:rPr>
      </w:pPr>
      <w:r>
        <w:rPr>
          <w:rFonts w:ascii="Times New Roman" w:hAnsi="Times New Roman"/>
          <w:sz w:val="24"/>
        </w:rPr>
        <w:t>izvēlas nozares, kas veido ievērojamu daļu no eksporta;</w:t>
      </w:r>
    </w:p>
    <w:p w14:paraId="70E792E6" w14:textId="307C6DEA" w:rsidR="000A6469" w:rsidRPr="004D11C9" w:rsidRDefault="000A6469" w:rsidP="00946605">
      <w:pPr>
        <w:pStyle w:val="BodyText"/>
        <w:numPr>
          <w:ilvl w:val="1"/>
          <w:numId w:val="24"/>
        </w:numPr>
        <w:ind w:left="426" w:hanging="426"/>
        <w:jc w:val="both"/>
        <w:rPr>
          <w:rFonts w:ascii="Times New Roman" w:hAnsi="Times New Roman"/>
          <w:noProof/>
          <w:sz w:val="24"/>
        </w:rPr>
      </w:pPr>
      <w:r>
        <w:rPr>
          <w:rFonts w:ascii="Times New Roman" w:hAnsi="Times New Roman"/>
          <w:sz w:val="24"/>
        </w:rPr>
        <w:t>izvēlas nozares, kam ir augstāks nodarbinātības potenciāls, vai darbietilpīgas nozares;</w:t>
      </w:r>
    </w:p>
    <w:p w14:paraId="7EFB79D0" w14:textId="77777777" w:rsidR="000A6469" w:rsidRPr="004D11C9" w:rsidRDefault="000A6469" w:rsidP="00946605">
      <w:pPr>
        <w:pStyle w:val="BodyText"/>
        <w:numPr>
          <w:ilvl w:val="1"/>
          <w:numId w:val="24"/>
        </w:numPr>
        <w:ind w:left="426" w:hanging="426"/>
        <w:jc w:val="both"/>
        <w:rPr>
          <w:rFonts w:ascii="Times New Roman" w:hAnsi="Times New Roman"/>
          <w:noProof/>
          <w:sz w:val="24"/>
        </w:rPr>
      </w:pPr>
      <w:r>
        <w:rPr>
          <w:rFonts w:ascii="Times New Roman" w:hAnsi="Times New Roman"/>
          <w:sz w:val="24"/>
        </w:rPr>
        <w:t>izvēlas nozares, kurās situācija ir ievērojami mainījusies digitalizācijas dēļ.</w:t>
      </w:r>
    </w:p>
    <w:p w14:paraId="2682E12E" w14:textId="77777777" w:rsidR="00946605" w:rsidRDefault="00946605" w:rsidP="004D11C9">
      <w:pPr>
        <w:pStyle w:val="BodyText"/>
        <w:ind w:left="0" w:firstLine="0"/>
        <w:jc w:val="both"/>
        <w:rPr>
          <w:rFonts w:ascii="Times New Roman" w:hAnsi="Times New Roman"/>
          <w:noProof/>
          <w:sz w:val="24"/>
        </w:rPr>
      </w:pPr>
    </w:p>
    <w:p w14:paraId="107D0EEF" w14:textId="17334FA3"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Šos principus var apsvērt arī to tirgu noteikšanai, kam nepieciešama retrospektīva tirgus izpēte.</w:t>
      </w:r>
    </w:p>
    <w:p w14:paraId="28B2AFBB" w14:textId="77777777" w:rsidR="000A6469" w:rsidRPr="004D11C9" w:rsidRDefault="000A6469" w:rsidP="004D11C9">
      <w:pPr>
        <w:jc w:val="both"/>
        <w:rPr>
          <w:rFonts w:ascii="Times New Roman" w:eastAsia="Arial" w:hAnsi="Times New Roman" w:cs="Arial"/>
          <w:noProof/>
          <w:sz w:val="24"/>
          <w:szCs w:val="17"/>
        </w:rPr>
      </w:pPr>
    </w:p>
    <w:p w14:paraId="4609DE3E" w14:textId="4C25A055"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Šie principi palīdz noskaidrot konkrētu nozaru ekonomisko nozīmi un ļauj tās kategorizēt. Tas, kuras nozares būs vispiemērotākās novērtējuma veikšanai, ir atkarīgs no tās valsts iezīmēm, kas veic pārbaudi. Piemēram, valsts ar ļoti atvērtu tirgus ekonomiku var pievērsties nozarēm, kas sniedz vislielāko ieguldījumu tās eksportā.</w:t>
      </w:r>
    </w:p>
    <w:p w14:paraId="039FD947" w14:textId="5A5AFB83" w:rsidR="000A6469" w:rsidRDefault="000A6469" w:rsidP="004D11C9">
      <w:pPr>
        <w:jc w:val="both"/>
        <w:rPr>
          <w:rFonts w:ascii="Times New Roman" w:eastAsia="Arial" w:hAnsi="Times New Roman" w:cs="Arial"/>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946605" w14:paraId="559A1FAF" w14:textId="77777777" w:rsidTr="00946605">
        <w:tc>
          <w:tcPr>
            <w:tcW w:w="9062" w:type="dxa"/>
          </w:tcPr>
          <w:p w14:paraId="6D50F37E" w14:textId="680A9956" w:rsidR="00946605" w:rsidRPr="004D11C9" w:rsidRDefault="00946605" w:rsidP="00946605">
            <w:pPr>
              <w:jc w:val="center"/>
              <w:rPr>
                <w:rFonts w:ascii="Times New Roman" w:eastAsia="Arial" w:hAnsi="Times New Roman" w:cs="Arial"/>
                <w:b/>
                <w:bCs/>
                <w:noProof/>
                <w:sz w:val="24"/>
                <w:szCs w:val="20"/>
              </w:rPr>
            </w:pPr>
            <w:r>
              <w:rPr>
                <w:rFonts w:ascii="Times New Roman" w:hAnsi="Times New Roman"/>
                <w:b/>
                <w:sz w:val="24"/>
              </w:rPr>
              <w:t>4. ierāmējums. Spēkā esošo normatīvo aktu izskatīšana Meksikā</w:t>
            </w:r>
          </w:p>
        </w:tc>
      </w:tr>
      <w:tr w:rsidR="00946605" w14:paraId="4CC14464" w14:textId="77777777" w:rsidTr="00946605">
        <w:tc>
          <w:tcPr>
            <w:tcW w:w="9062" w:type="dxa"/>
          </w:tcPr>
          <w:p w14:paraId="7DD7C944" w14:textId="77777777" w:rsidR="00946605" w:rsidRPr="004D11C9" w:rsidRDefault="00946605" w:rsidP="00946605">
            <w:pPr>
              <w:jc w:val="both"/>
              <w:rPr>
                <w:rFonts w:ascii="Times New Roman" w:hAnsi="Times New Roman"/>
                <w:noProof/>
                <w:sz w:val="24"/>
              </w:rPr>
            </w:pPr>
            <w:r>
              <w:rPr>
                <w:rFonts w:ascii="Times New Roman" w:hAnsi="Times New Roman"/>
                <w:sz w:val="24"/>
              </w:rPr>
              <w:t>Meksika sadarbībā ar ESAO 2008. gadā uzsāka daudzgadu projektu Meksikas tautsaimniecības konkurētspējas uzlabošanai. Šis projekts paredzēja spēkā esošo normatīvo aktu un politikas pārskatīšanu ar mērķi likvidēt nevajadzīgus konkurences ierobežojumus.</w:t>
            </w:r>
          </w:p>
          <w:p w14:paraId="5A513741" w14:textId="77777777" w:rsidR="00946605" w:rsidRDefault="00946605" w:rsidP="00946605">
            <w:pPr>
              <w:jc w:val="both"/>
              <w:rPr>
                <w:rFonts w:ascii="Times New Roman" w:hAnsi="Times New Roman"/>
                <w:noProof/>
                <w:sz w:val="24"/>
              </w:rPr>
            </w:pPr>
          </w:p>
          <w:p w14:paraId="78C194B2" w14:textId="77777777" w:rsidR="00946605" w:rsidRDefault="00946605" w:rsidP="00946605">
            <w:pPr>
              <w:jc w:val="both"/>
              <w:rPr>
                <w:rFonts w:ascii="Times New Roman" w:hAnsi="Times New Roman"/>
                <w:noProof/>
                <w:sz w:val="24"/>
              </w:rPr>
            </w:pPr>
            <w:r>
              <w:rPr>
                <w:rFonts w:ascii="Times New Roman" w:hAnsi="Times New Roman"/>
                <w:sz w:val="24"/>
              </w:rPr>
              <w:t>Analizējamās nozares tika izvēlētas, pamatojoties uz to ietekmi uz tautsaimniecību. Tika izmantoti divi atšķirīgi kritēriji un noteiktas 15 nozares.</w:t>
            </w:r>
          </w:p>
          <w:p w14:paraId="357279EF" w14:textId="77777777" w:rsidR="00946605" w:rsidRDefault="00946605" w:rsidP="00946605">
            <w:pPr>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4493"/>
              <w:gridCol w:w="4503"/>
            </w:tblGrid>
            <w:tr w:rsidR="00946605" w14:paraId="47A2C878" w14:textId="77777777" w:rsidTr="007E3D44">
              <w:tc>
                <w:tcPr>
                  <w:tcW w:w="4531" w:type="dxa"/>
                </w:tcPr>
                <w:p w14:paraId="03BC96AD" w14:textId="77777777" w:rsidR="00946605" w:rsidRDefault="00946605" w:rsidP="00946605">
                  <w:pPr>
                    <w:jc w:val="center"/>
                    <w:rPr>
                      <w:rFonts w:ascii="Times New Roman" w:hAnsi="Times New Roman"/>
                      <w:noProof/>
                      <w:sz w:val="24"/>
                    </w:rPr>
                  </w:pPr>
                  <w:r>
                    <w:rPr>
                      <w:rFonts w:ascii="Times New Roman" w:hAnsi="Times New Roman"/>
                      <w:b/>
                      <w:sz w:val="24"/>
                    </w:rPr>
                    <w:t>Kritēriji</w:t>
                  </w:r>
                </w:p>
              </w:tc>
              <w:tc>
                <w:tcPr>
                  <w:tcW w:w="4531" w:type="dxa"/>
                </w:tcPr>
                <w:p w14:paraId="74ED1DF2" w14:textId="77777777" w:rsidR="00946605" w:rsidRDefault="00946605" w:rsidP="00946605">
                  <w:pPr>
                    <w:jc w:val="center"/>
                    <w:rPr>
                      <w:rFonts w:ascii="Times New Roman" w:hAnsi="Times New Roman"/>
                      <w:noProof/>
                      <w:sz w:val="24"/>
                    </w:rPr>
                  </w:pPr>
                  <w:r>
                    <w:rPr>
                      <w:rFonts w:ascii="Times New Roman" w:hAnsi="Times New Roman"/>
                      <w:b/>
                      <w:sz w:val="24"/>
                    </w:rPr>
                    <w:t>Nozares</w:t>
                  </w:r>
                </w:p>
              </w:tc>
            </w:tr>
            <w:tr w:rsidR="00946605" w14:paraId="63572981" w14:textId="77777777" w:rsidTr="007E3D44">
              <w:tc>
                <w:tcPr>
                  <w:tcW w:w="4531" w:type="dxa"/>
                </w:tcPr>
                <w:p w14:paraId="4AF191AA" w14:textId="77777777" w:rsidR="00946605" w:rsidRDefault="00946605" w:rsidP="00946605">
                  <w:pPr>
                    <w:jc w:val="both"/>
                    <w:rPr>
                      <w:rFonts w:ascii="Times New Roman" w:hAnsi="Times New Roman"/>
                      <w:noProof/>
                      <w:sz w:val="24"/>
                    </w:rPr>
                  </w:pPr>
                  <w:r>
                    <w:rPr>
                      <w:rFonts w:ascii="Times New Roman" w:hAnsi="Times New Roman"/>
                      <w:sz w:val="24"/>
                    </w:rPr>
                    <w:t>Nozares ar plašu ietekmi uz konkurētspēju</w:t>
                  </w:r>
                </w:p>
              </w:tc>
              <w:tc>
                <w:tcPr>
                  <w:tcW w:w="4531" w:type="dxa"/>
                </w:tcPr>
                <w:p w14:paraId="306DFA14" w14:textId="77777777" w:rsidR="00946605" w:rsidRPr="004D11C9" w:rsidRDefault="00946605" w:rsidP="00946605">
                  <w:pPr>
                    <w:numPr>
                      <w:ilvl w:val="0"/>
                      <w:numId w:val="23"/>
                    </w:numPr>
                    <w:tabs>
                      <w:tab w:val="left" w:pos="392"/>
                    </w:tabs>
                    <w:ind w:left="0" w:firstLine="0"/>
                    <w:jc w:val="both"/>
                    <w:rPr>
                      <w:rFonts w:ascii="Times New Roman" w:hAnsi="Times New Roman"/>
                      <w:noProof/>
                      <w:sz w:val="24"/>
                    </w:rPr>
                  </w:pPr>
                  <w:r>
                    <w:rPr>
                      <w:rFonts w:ascii="Times New Roman" w:hAnsi="Times New Roman"/>
                      <w:sz w:val="24"/>
                    </w:rPr>
                    <w:t>Telekomunikācijas</w:t>
                  </w:r>
                </w:p>
                <w:p w14:paraId="061FAA82" w14:textId="77777777" w:rsidR="00946605" w:rsidRPr="004D11C9" w:rsidRDefault="00946605" w:rsidP="00946605">
                  <w:pPr>
                    <w:numPr>
                      <w:ilvl w:val="0"/>
                      <w:numId w:val="23"/>
                    </w:numPr>
                    <w:tabs>
                      <w:tab w:val="left" w:pos="392"/>
                    </w:tabs>
                    <w:ind w:left="0" w:firstLine="0"/>
                    <w:jc w:val="both"/>
                    <w:rPr>
                      <w:rFonts w:ascii="Times New Roman" w:hAnsi="Times New Roman"/>
                      <w:noProof/>
                      <w:sz w:val="24"/>
                    </w:rPr>
                  </w:pPr>
                  <w:r>
                    <w:rPr>
                      <w:rFonts w:ascii="Times New Roman" w:hAnsi="Times New Roman"/>
                      <w:sz w:val="24"/>
                    </w:rPr>
                    <w:t>Finanšu pakalpojumi</w:t>
                  </w:r>
                </w:p>
                <w:p w14:paraId="07DCFD85" w14:textId="77777777" w:rsidR="00946605" w:rsidRPr="004D11C9" w:rsidRDefault="00946605" w:rsidP="00946605">
                  <w:pPr>
                    <w:numPr>
                      <w:ilvl w:val="0"/>
                      <w:numId w:val="23"/>
                    </w:numPr>
                    <w:tabs>
                      <w:tab w:val="left" w:pos="392"/>
                    </w:tabs>
                    <w:ind w:left="0" w:firstLine="0"/>
                    <w:jc w:val="both"/>
                    <w:rPr>
                      <w:rFonts w:ascii="Times New Roman" w:hAnsi="Times New Roman"/>
                      <w:noProof/>
                      <w:sz w:val="24"/>
                    </w:rPr>
                  </w:pPr>
                  <w:r>
                    <w:rPr>
                      <w:rFonts w:ascii="Times New Roman" w:hAnsi="Times New Roman"/>
                      <w:sz w:val="24"/>
                    </w:rPr>
                    <w:t>Enerģētika</w:t>
                  </w:r>
                </w:p>
                <w:p w14:paraId="43F684F3" w14:textId="77777777" w:rsidR="00946605" w:rsidRPr="00946605" w:rsidRDefault="00946605" w:rsidP="00946605">
                  <w:pPr>
                    <w:numPr>
                      <w:ilvl w:val="0"/>
                      <w:numId w:val="23"/>
                    </w:numPr>
                    <w:tabs>
                      <w:tab w:val="left" w:pos="392"/>
                    </w:tabs>
                    <w:ind w:left="0" w:firstLine="0"/>
                    <w:jc w:val="both"/>
                    <w:rPr>
                      <w:rFonts w:ascii="Times New Roman" w:hAnsi="Times New Roman"/>
                      <w:noProof/>
                      <w:sz w:val="24"/>
                    </w:rPr>
                  </w:pPr>
                  <w:r>
                    <w:rPr>
                      <w:rFonts w:ascii="Times New Roman" w:hAnsi="Times New Roman"/>
                      <w:sz w:val="24"/>
                    </w:rPr>
                    <w:t>Kravas pārvadājumi</w:t>
                  </w:r>
                </w:p>
              </w:tc>
            </w:tr>
            <w:tr w:rsidR="00946605" w14:paraId="0220576F" w14:textId="77777777" w:rsidTr="007E3D44">
              <w:tc>
                <w:tcPr>
                  <w:tcW w:w="4531" w:type="dxa"/>
                </w:tcPr>
                <w:p w14:paraId="21E021CA" w14:textId="77777777" w:rsidR="00946605" w:rsidRDefault="00946605" w:rsidP="00946605">
                  <w:pPr>
                    <w:jc w:val="both"/>
                    <w:rPr>
                      <w:rFonts w:ascii="Times New Roman" w:hAnsi="Times New Roman"/>
                      <w:noProof/>
                      <w:sz w:val="24"/>
                    </w:rPr>
                  </w:pPr>
                  <w:r>
                    <w:rPr>
                      <w:rFonts w:ascii="Times New Roman" w:hAnsi="Times New Roman"/>
                      <w:sz w:val="24"/>
                    </w:rPr>
                    <w:t>Nozares ar ievērojamiem patērētāju izdevumiem</w:t>
                  </w:r>
                </w:p>
              </w:tc>
              <w:tc>
                <w:tcPr>
                  <w:tcW w:w="4531" w:type="dxa"/>
                </w:tcPr>
                <w:p w14:paraId="2E7D19C0" w14:textId="77777777" w:rsidR="00946605" w:rsidRPr="004D11C9" w:rsidRDefault="00946605" w:rsidP="00946605">
                  <w:pPr>
                    <w:numPr>
                      <w:ilvl w:val="0"/>
                      <w:numId w:val="23"/>
                    </w:numPr>
                    <w:tabs>
                      <w:tab w:val="left" w:pos="392"/>
                    </w:tabs>
                    <w:ind w:left="0" w:firstLine="0"/>
                    <w:jc w:val="both"/>
                    <w:rPr>
                      <w:rFonts w:ascii="Times New Roman" w:hAnsi="Times New Roman"/>
                      <w:noProof/>
                      <w:sz w:val="24"/>
                    </w:rPr>
                  </w:pPr>
                  <w:r>
                    <w:rPr>
                      <w:rFonts w:ascii="Times New Roman" w:hAnsi="Times New Roman"/>
                      <w:sz w:val="24"/>
                    </w:rPr>
                    <w:t>Kukurūza un tortiljas</w:t>
                  </w:r>
                </w:p>
                <w:p w14:paraId="1051ACA6" w14:textId="77777777" w:rsidR="00946605" w:rsidRPr="004D11C9" w:rsidRDefault="00946605" w:rsidP="00946605">
                  <w:pPr>
                    <w:numPr>
                      <w:ilvl w:val="0"/>
                      <w:numId w:val="23"/>
                    </w:numPr>
                    <w:tabs>
                      <w:tab w:val="left" w:pos="392"/>
                    </w:tabs>
                    <w:ind w:left="0" w:firstLine="0"/>
                    <w:jc w:val="both"/>
                    <w:rPr>
                      <w:rFonts w:ascii="Times New Roman" w:hAnsi="Times New Roman"/>
                      <w:noProof/>
                      <w:sz w:val="24"/>
                    </w:rPr>
                  </w:pPr>
                  <w:r>
                    <w:rPr>
                      <w:rFonts w:ascii="Times New Roman" w:hAnsi="Times New Roman"/>
                      <w:sz w:val="24"/>
                    </w:rPr>
                    <w:t>Gāzēti dzērieni</w:t>
                  </w:r>
                </w:p>
                <w:p w14:paraId="2859243D" w14:textId="77777777" w:rsidR="00946605" w:rsidRPr="004D11C9" w:rsidRDefault="00946605" w:rsidP="00946605">
                  <w:pPr>
                    <w:numPr>
                      <w:ilvl w:val="0"/>
                      <w:numId w:val="23"/>
                    </w:numPr>
                    <w:tabs>
                      <w:tab w:val="left" w:pos="392"/>
                    </w:tabs>
                    <w:ind w:left="0" w:firstLine="0"/>
                    <w:jc w:val="both"/>
                    <w:rPr>
                      <w:rFonts w:ascii="Times New Roman" w:hAnsi="Times New Roman"/>
                      <w:noProof/>
                      <w:sz w:val="24"/>
                    </w:rPr>
                  </w:pPr>
                  <w:r>
                    <w:rPr>
                      <w:rFonts w:ascii="Times New Roman" w:hAnsi="Times New Roman"/>
                      <w:sz w:val="24"/>
                    </w:rPr>
                    <w:t>Alus</w:t>
                  </w:r>
                </w:p>
                <w:p w14:paraId="7ECFFA05" w14:textId="77777777" w:rsidR="00946605" w:rsidRPr="004D11C9" w:rsidRDefault="00946605" w:rsidP="00946605">
                  <w:pPr>
                    <w:numPr>
                      <w:ilvl w:val="0"/>
                      <w:numId w:val="23"/>
                    </w:numPr>
                    <w:tabs>
                      <w:tab w:val="left" w:pos="392"/>
                    </w:tabs>
                    <w:ind w:left="0" w:firstLine="0"/>
                    <w:jc w:val="both"/>
                    <w:rPr>
                      <w:rFonts w:ascii="Times New Roman" w:hAnsi="Times New Roman"/>
                      <w:noProof/>
                      <w:sz w:val="24"/>
                    </w:rPr>
                  </w:pPr>
                  <w:r>
                    <w:rPr>
                      <w:rFonts w:ascii="Times New Roman" w:hAnsi="Times New Roman"/>
                      <w:sz w:val="24"/>
                    </w:rPr>
                    <w:t>Pasažieru transports</w:t>
                  </w:r>
                </w:p>
                <w:p w14:paraId="0BB7850F" w14:textId="77777777" w:rsidR="00946605" w:rsidRPr="004D11C9" w:rsidRDefault="00946605" w:rsidP="00946605">
                  <w:pPr>
                    <w:numPr>
                      <w:ilvl w:val="0"/>
                      <w:numId w:val="23"/>
                    </w:numPr>
                    <w:tabs>
                      <w:tab w:val="left" w:pos="392"/>
                    </w:tabs>
                    <w:ind w:left="0" w:firstLine="0"/>
                    <w:jc w:val="both"/>
                    <w:rPr>
                      <w:rFonts w:ascii="Times New Roman" w:hAnsi="Times New Roman"/>
                      <w:noProof/>
                      <w:sz w:val="24"/>
                    </w:rPr>
                  </w:pPr>
                  <w:r>
                    <w:rPr>
                      <w:rFonts w:ascii="Times New Roman" w:hAnsi="Times New Roman"/>
                      <w:sz w:val="24"/>
                    </w:rPr>
                    <w:t>Piena produkti</w:t>
                  </w:r>
                </w:p>
                <w:p w14:paraId="1A785204" w14:textId="77777777" w:rsidR="00946605" w:rsidRPr="004D11C9" w:rsidRDefault="00946605" w:rsidP="00946605">
                  <w:pPr>
                    <w:numPr>
                      <w:ilvl w:val="0"/>
                      <w:numId w:val="23"/>
                    </w:numPr>
                    <w:tabs>
                      <w:tab w:val="left" w:pos="392"/>
                    </w:tabs>
                    <w:ind w:left="0" w:firstLine="0"/>
                    <w:jc w:val="both"/>
                    <w:rPr>
                      <w:rFonts w:ascii="Times New Roman" w:hAnsi="Times New Roman"/>
                      <w:noProof/>
                      <w:sz w:val="24"/>
                    </w:rPr>
                  </w:pPr>
                  <w:r>
                    <w:rPr>
                      <w:rFonts w:ascii="Times New Roman" w:hAnsi="Times New Roman"/>
                      <w:sz w:val="24"/>
                    </w:rPr>
                    <w:t>Personu aprūpe un mājaprūpe</w:t>
                  </w:r>
                </w:p>
                <w:p w14:paraId="14EF1476" w14:textId="77777777" w:rsidR="00946605" w:rsidRPr="004D11C9" w:rsidRDefault="00946605" w:rsidP="00946605">
                  <w:pPr>
                    <w:numPr>
                      <w:ilvl w:val="0"/>
                      <w:numId w:val="23"/>
                    </w:numPr>
                    <w:tabs>
                      <w:tab w:val="left" w:pos="392"/>
                    </w:tabs>
                    <w:ind w:left="0" w:firstLine="0"/>
                    <w:jc w:val="both"/>
                    <w:rPr>
                      <w:rFonts w:ascii="Times New Roman" w:hAnsi="Times New Roman"/>
                      <w:noProof/>
                      <w:sz w:val="24"/>
                    </w:rPr>
                  </w:pPr>
                  <w:r>
                    <w:rPr>
                      <w:rFonts w:ascii="Times New Roman" w:hAnsi="Times New Roman"/>
                      <w:sz w:val="24"/>
                    </w:rPr>
                    <w:t>Apdrošināšana</w:t>
                  </w:r>
                </w:p>
                <w:p w14:paraId="32F09E67" w14:textId="77777777" w:rsidR="00946605" w:rsidRPr="004D11C9" w:rsidRDefault="00946605" w:rsidP="00946605">
                  <w:pPr>
                    <w:numPr>
                      <w:ilvl w:val="0"/>
                      <w:numId w:val="23"/>
                    </w:numPr>
                    <w:tabs>
                      <w:tab w:val="left" w:pos="392"/>
                    </w:tabs>
                    <w:ind w:left="0" w:firstLine="0"/>
                    <w:jc w:val="both"/>
                    <w:rPr>
                      <w:rFonts w:ascii="Times New Roman" w:hAnsi="Times New Roman"/>
                      <w:noProof/>
                      <w:sz w:val="24"/>
                    </w:rPr>
                  </w:pPr>
                  <w:r>
                    <w:rPr>
                      <w:rFonts w:ascii="Times New Roman" w:hAnsi="Times New Roman"/>
                      <w:sz w:val="24"/>
                    </w:rPr>
                    <w:t>Banku mazumtirdzniecības pakalpojumi</w:t>
                  </w:r>
                </w:p>
                <w:p w14:paraId="53F99D59" w14:textId="77777777" w:rsidR="00946605" w:rsidRPr="004D11C9" w:rsidRDefault="00946605" w:rsidP="00946605">
                  <w:pPr>
                    <w:numPr>
                      <w:ilvl w:val="0"/>
                      <w:numId w:val="23"/>
                    </w:numPr>
                    <w:tabs>
                      <w:tab w:val="left" w:pos="392"/>
                    </w:tabs>
                    <w:ind w:left="0" w:firstLine="0"/>
                    <w:jc w:val="both"/>
                    <w:rPr>
                      <w:rFonts w:ascii="Times New Roman" w:hAnsi="Times New Roman"/>
                      <w:noProof/>
                      <w:sz w:val="24"/>
                    </w:rPr>
                  </w:pPr>
                  <w:r>
                    <w:rPr>
                      <w:rFonts w:ascii="Times New Roman" w:hAnsi="Times New Roman"/>
                      <w:sz w:val="24"/>
                    </w:rPr>
                    <w:t>Medikamenti</w:t>
                  </w:r>
                </w:p>
                <w:p w14:paraId="2A16478F" w14:textId="77777777" w:rsidR="00946605" w:rsidRPr="004D11C9" w:rsidRDefault="00946605" w:rsidP="00946605">
                  <w:pPr>
                    <w:numPr>
                      <w:ilvl w:val="0"/>
                      <w:numId w:val="23"/>
                    </w:numPr>
                    <w:tabs>
                      <w:tab w:val="left" w:pos="392"/>
                    </w:tabs>
                    <w:ind w:left="0" w:firstLine="0"/>
                    <w:jc w:val="both"/>
                    <w:rPr>
                      <w:rFonts w:ascii="Times New Roman" w:hAnsi="Times New Roman"/>
                      <w:noProof/>
                      <w:sz w:val="24"/>
                    </w:rPr>
                  </w:pPr>
                  <w:r>
                    <w:rPr>
                      <w:rFonts w:ascii="Times New Roman" w:hAnsi="Times New Roman"/>
                      <w:sz w:val="24"/>
                    </w:rPr>
                    <w:t>Slimnīcu pakalpojumi</w:t>
                  </w:r>
                </w:p>
                <w:p w14:paraId="33C405D4" w14:textId="77777777" w:rsidR="00946605" w:rsidRPr="00946605" w:rsidRDefault="00946605" w:rsidP="00946605">
                  <w:pPr>
                    <w:numPr>
                      <w:ilvl w:val="0"/>
                      <w:numId w:val="23"/>
                    </w:numPr>
                    <w:tabs>
                      <w:tab w:val="left" w:pos="392"/>
                    </w:tabs>
                    <w:ind w:left="0" w:firstLine="0"/>
                    <w:jc w:val="both"/>
                    <w:rPr>
                      <w:rFonts w:ascii="Times New Roman" w:hAnsi="Times New Roman"/>
                      <w:noProof/>
                      <w:sz w:val="24"/>
                    </w:rPr>
                  </w:pPr>
                  <w:r>
                    <w:rPr>
                      <w:rFonts w:ascii="Times New Roman" w:hAnsi="Times New Roman"/>
                      <w:sz w:val="24"/>
                    </w:rPr>
                    <w:t>Pensijas</w:t>
                  </w:r>
                </w:p>
              </w:tc>
            </w:tr>
          </w:tbl>
          <w:p w14:paraId="2DC6E064" w14:textId="77777777" w:rsidR="00946605" w:rsidRPr="004D11C9" w:rsidRDefault="00946605" w:rsidP="00946605">
            <w:pPr>
              <w:jc w:val="both"/>
              <w:rPr>
                <w:rFonts w:ascii="Times New Roman" w:eastAsia="Arial" w:hAnsi="Times New Roman" w:cs="Arial"/>
                <w:noProof/>
                <w:sz w:val="24"/>
                <w:szCs w:val="20"/>
              </w:rPr>
            </w:pPr>
          </w:p>
          <w:p w14:paraId="419B3678" w14:textId="77777777" w:rsidR="00946605" w:rsidRPr="004D11C9" w:rsidRDefault="00946605" w:rsidP="00946605">
            <w:pPr>
              <w:jc w:val="both"/>
              <w:rPr>
                <w:rFonts w:ascii="Times New Roman" w:hAnsi="Times New Roman"/>
                <w:noProof/>
                <w:sz w:val="24"/>
              </w:rPr>
            </w:pPr>
            <w:r>
              <w:rPr>
                <w:rFonts w:ascii="Times New Roman" w:hAnsi="Times New Roman"/>
                <w:sz w:val="24"/>
              </w:rPr>
              <w:t>Papildus šīm nozarēm Meksikas projektā tika noteiktas četras dažādas starpnozaru regulējuma jomas ar ievērojamu ietekmi uz konkurētspēju: fiskālā politika, starptautiskā tirdzniecība, subsīdijas un tehniskie noteikumi. Pārskatīšana tika paplašināta, lai ietvertu arī šīs jomas.</w:t>
            </w:r>
          </w:p>
          <w:p w14:paraId="7D37478F" w14:textId="77777777" w:rsidR="00946605" w:rsidRDefault="00946605" w:rsidP="004D11C9">
            <w:pPr>
              <w:jc w:val="both"/>
              <w:rPr>
                <w:rFonts w:ascii="Times New Roman" w:eastAsia="Arial" w:hAnsi="Times New Roman" w:cs="Arial"/>
                <w:noProof/>
                <w:sz w:val="24"/>
              </w:rPr>
            </w:pPr>
          </w:p>
        </w:tc>
      </w:tr>
    </w:tbl>
    <w:p w14:paraId="104FA433" w14:textId="77777777" w:rsidR="00946605" w:rsidRPr="004D11C9" w:rsidRDefault="00946605" w:rsidP="004D11C9">
      <w:pPr>
        <w:jc w:val="both"/>
        <w:rPr>
          <w:rFonts w:ascii="Times New Roman" w:eastAsia="Arial" w:hAnsi="Times New Roman" w:cs="Arial"/>
          <w:noProof/>
          <w:sz w:val="24"/>
          <w:szCs w:val="15"/>
        </w:rPr>
      </w:pPr>
      <w:bookmarkStart w:id="31" w:name="_bookmark9"/>
      <w:bookmarkEnd w:id="31"/>
    </w:p>
    <w:p w14:paraId="47F89063" w14:textId="7188FA11"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Pārskatīšanai izraudzīto nozaru skaits būs atkarīgs no pasākuma veida, bet tas jānosaka, ņemot vērā arī laiku, finanšu resursus un pieejamās tehniskās prasmes. Piemēram, Austrālijā to 1800 normatīvo aktu pārskatīšanas process, kuri, kā tika uzskatīts, radīja būtiskus konkurences ierobežojumus visā tautsaimniecībā, ilga aptuveni 5 gadus. Grieķijā 11 mēnešus ilgā laika </w:t>
      </w:r>
      <w:r>
        <w:rPr>
          <w:rFonts w:ascii="Times New Roman" w:hAnsi="Times New Roman"/>
          <w:sz w:val="24"/>
        </w:rPr>
        <w:lastRenderedPageBreak/>
        <w:t>posmā pirms normatīvo aktu projektu sagatavošanas, likumu un noteikumu pieņemšanas un īstenošanas tika pārbaudītas četras nozares, izskatot aptuveni 1000 normatīvos aktus.</w:t>
      </w:r>
    </w:p>
    <w:p w14:paraId="0514CEDB" w14:textId="77777777" w:rsidR="000A6469" w:rsidRPr="004D11C9" w:rsidRDefault="000A6469" w:rsidP="004D11C9">
      <w:pPr>
        <w:jc w:val="both"/>
        <w:rPr>
          <w:rFonts w:ascii="Times New Roman" w:eastAsia="Arial" w:hAnsi="Times New Roman" w:cs="Arial"/>
          <w:noProof/>
          <w:sz w:val="24"/>
          <w:szCs w:val="19"/>
        </w:rPr>
      </w:pPr>
    </w:p>
    <w:p w14:paraId="0A505FAF" w14:textId="22F535F7" w:rsidR="000A6469" w:rsidRPr="004D11C9" w:rsidRDefault="00946605" w:rsidP="00946605">
      <w:pPr>
        <w:pStyle w:val="Heading3"/>
        <w:tabs>
          <w:tab w:val="left" w:pos="561"/>
        </w:tabs>
        <w:ind w:left="0"/>
        <w:jc w:val="both"/>
        <w:rPr>
          <w:rFonts w:ascii="Times New Roman" w:hAnsi="Times New Roman"/>
          <w:noProof/>
          <w:sz w:val="24"/>
        </w:rPr>
      </w:pPr>
      <w:bookmarkStart w:id="32" w:name="2._Mapping_the_sectors"/>
      <w:bookmarkStart w:id="33" w:name="_bookmark10"/>
      <w:bookmarkStart w:id="34" w:name="_Toc62650470"/>
      <w:bookmarkEnd w:id="32"/>
      <w:bookmarkEnd w:id="33"/>
      <w:r>
        <w:rPr>
          <w:rFonts w:ascii="Times New Roman" w:hAnsi="Times New Roman"/>
          <w:sz w:val="24"/>
        </w:rPr>
        <w:t>2. Nozaru kartēšana</w:t>
      </w:r>
      <w:bookmarkEnd w:id="34"/>
    </w:p>
    <w:p w14:paraId="16105174" w14:textId="77777777" w:rsidR="00946605" w:rsidRDefault="00946605" w:rsidP="004D11C9">
      <w:pPr>
        <w:pStyle w:val="BodyText"/>
        <w:ind w:left="0" w:firstLine="0"/>
        <w:jc w:val="both"/>
        <w:rPr>
          <w:rFonts w:ascii="Times New Roman" w:hAnsi="Times New Roman"/>
          <w:noProof/>
          <w:sz w:val="24"/>
        </w:rPr>
      </w:pPr>
    </w:p>
    <w:p w14:paraId="487371EC" w14:textId="0CAE4EC3"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Pēc nozaru atlasīšanas ir jānosaka visi būtiskie normatīvie akti, kas attiecas uz šīm nozarēm un ir piemērojami šajās nozarēs. Tas nozīmē, ka ir jānosaka katras kartējamās nozares robežas, t. i., jānosaka nozarē ietilpstošās saimnieciskās darbības un, iespējams, netieši arī ārpus nozares esošās saimnieciskās darbības. Kartēšanu var veikt, pamatojoties uz standartizētās nozaru klasifikācijas sistēmām (</w:t>
      </w:r>
      <w:r>
        <w:rPr>
          <w:rFonts w:ascii="Times New Roman" w:hAnsi="Times New Roman"/>
          <w:i/>
          <w:sz w:val="24"/>
        </w:rPr>
        <w:t>SIC</w:t>
      </w:r>
      <w:r>
        <w:rPr>
          <w:rFonts w:ascii="Times New Roman" w:hAnsi="Times New Roman"/>
          <w:sz w:val="24"/>
        </w:rPr>
        <w:t xml:space="preserve">), piemēram, </w:t>
      </w:r>
      <w:r>
        <w:rPr>
          <w:rFonts w:ascii="Times New Roman" w:hAnsi="Times New Roman"/>
          <w:i/>
          <w:sz w:val="24"/>
        </w:rPr>
        <w:t>ISIC</w:t>
      </w:r>
      <w:r>
        <w:rPr>
          <w:rFonts w:ascii="Times New Roman" w:hAnsi="Times New Roman"/>
          <w:sz w:val="24"/>
        </w:rPr>
        <w:t xml:space="preserve">, </w:t>
      </w:r>
      <w:r>
        <w:rPr>
          <w:rFonts w:ascii="Times New Roman" w:hAnsi="Times New Roman"/>
          <w:i/>
          <w:sz w:val="24"/>
        </w:rPr>
        <w:t>NACE</w:t>
      </w:r>
      <w:r>
        <w:rPr>
          <w:rFonts w:ascii="Times New Roman" w:hAnsi="Times New Roman"/>
          <w:sz w:val="24"/>
        </w:rPr>
        <w:t xml:space="preserve"> vai </w:t>
      </w:r>
      <w:r>
        <w:rPr>
          <w:rFonts w:ascii="Times New Roman" w:hAnsi="Times New Roman"/>
          <w:i/>
          <w:sz w:val="24"/>
        </w:rPr>
        <w:t>NAICS</w:t>
      </w:r>
      <w:r>
        <w:rPr>
          <w:rFonts w:ascii="Times New Roman" w:hAnsi="Times New Roman"/>
          <w:sz w:val="24"/>
        </w:rPr>
        <w:t xml:space="preserve"> (paskaidrots turpmāk ierāmējumā), bet ir nepieciešams arī atbalsts no speciālistiem, piemēram, no attiecīgajām nozaru ministrijām un tirgus dalībniekiem, lai nodrošinātu visu attiecīgo darbību pareizu noteikšanu. Dažkārt noderīgu informāciju var sniegt arī nozares pētījumi, ko veikušas starptautiskas organizācijas, konsultācijas pakalpojumu sniedzēji un ministrijas.</w:t>
      </w:r>
    </w:p>
    <w:p w14:paraId="0FE6512A" w14:textId="0B1194FA" w:rsidR="000A6469" w:rsidRDefault="000A6469" w:rsidP="004D11C9">
      <w:pPr>
        <w:jc w:val="both"/>
        <w:rPr>
          <w:rFonts w:ascii="Times New Roman" w:eastAsia="Arial" w:hAnsi="Times New Roman" w:cs="Arial"/>
          <w:noProof/>
          <w:sz w:val="24"/>
          <w:szCs w:val="26"/>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946605" w14:paraId="1AC03BEB" w14:textId="77777777" w:rsidTr="00946605">
        <w:tc>
          <w:tcPr>
            <w:tcW w:w="9062" w:type="dxa"/>
          </w:tcPr>
          <w:p w14:paraId="7EDA60CB" w14:textId="2417BD25" w:rsidR="00946605" w:rsidRPr="00946605" w:rsidRDefault="00946605" w:rsidP="00946605">
            <w:pPr>
              <w:jc w:val="center"/>
              <w:rPr>
                <w:rFonts w:ascii="Times New Roman" w:hAnsi="Times New Roman"/>
                <w:b/>
                <w:noProof/>
                <w:sz w:val="24"/>
              </w:rPr>
            </w:pPr>
            <w:r>
              <w:rPr>
                <w:rFonts w:ascii="Times New Roman" w:hAnsi="Times New Roman"/>
                <w:b/>
                <w:sz w:val="24"/>
              </w:rPr>
              <w:t>5. ierāmējums. Standartizētās nozaru klasifikācijas sistēmas</w:t>
            </w:r>
          </w:p>
        </w:tc>
      </w:tr>
      <w:tr w:rsidR="00946605" w14:paraId="2E057D91" w14:textId="77777777" w:rsidTr="00946605">
        <w:tc>
          <w:tcPr>
            <w:tcW w:w="9062" w:type="dxa"/>
          </w:tcPr>
          <w:p w14:paraId="70E82C9F" w14:textId="77777777" w:rsidR="00946605" w:rsidRDefault="00946605" w:rsidP="00946605">
            <w:pPr>
              <w:jc w:val="both"/>
              <w:rPr>
                <w:rFonts w:ascii="Times New Roman" w:hAnsi="Times New Roman"/>
                <w:noProof/>
                <w:sz w:val="24"/>
              </w:rPr>
            </w:pPr>
            <w:r>
              <w:rPr>
                <w:rFonts w:ascii="Times New Roman" w:hAnsi="Times New Roman"/>
                <w:sz w:val="24"/>
              </w:rPr>
              <w:t>Ja regulatīvā pārbaude ir plašāka nekā tikai jauna regulējuma pārskatīšana, piemēram, ja tiek pārbaudīta kāda nozare, bieži vien ir sarežģīti noteikt attiecīgās nozares robežas. Robežu noteikšanas paņēmieni ir šādi:</w:t>
            </w:r>
          </w:p>
          <w:p w14:paraId="1604BB23" w14:textId="77777777" w:rsidR="00946605" w:rsidRPr="004D11C9" w:rsidRDefault="00946605" w:rsidP="00946605">
            <w:pPr>
              <w:jc w:val="both"/>
              <w:rPr>
                <w:rFonts w:ascii="Times New Roman" w:hAnsi="Times New Roman"/>
                <w:noProof/>
                <w:sz w:val="24"/>
              </w:rPr>
            </w:pPr>
          </w:p>
          <w:p w14:paraId="4E8BEC6E" w14:textId="77777777" w:rsidR="00946605" w:rsidRPr="004D11C9" w:rsidRDefault="00946605" w:rsidP="00946605">
            <w:pPr>
              <w:numPr>
                <w:ilvl w:val="1"/>
                <w:numId w:val="24"/>
              </w:numPr>
              <w:ind w:left="426" w:hanging="426"/>
              <w:jc w:val="both"/>
              <w:rPr>
                <w:rFonts w:ascii="Times New Roman" w:hAnsi="Times New Roman"/>
                <w:noProof/>
                <w:sz w:val="24"/>
              </w:rPr>
            </w:pPr>
            <w:r>
              <w:rPr>
                <w:rFonts w:ascii="Times New Roman" w:hAnsi="Times New Roman"/>
                <w:sz w:val="24"/>
              </w:rPr>
              <w:t>koncentrēties uz tiesisko regulējumu, kas attiecas uz vienu ministriju;</w:t>
            </w:r>
          </w:p>
          <w:p w14:paraId="68FA1312" w14:textId="77777777" w:rsidR="00946605" w:rsidRPr="004D11C9" w:rsidRDefault="00946605" w:rsidP="00946605">
            <w:pPr>
              <w:numPr>
                <w:ilvl w:val="1"/>
                <w:numId w:val="24"/>
              </w:numPr>
              <w:ind w:left="426" w:hanging="426"/>
              <w:jc w:val="both"/>
              <w:rPr>
                <w:rFonts w:ascii="Times New Roman" w:hAnsi="Times New Roman"/>
                <w:noProof/>
                <w:sz w:val="24"/>
              </w:rPr>
            </w:pPr>
            <w:r>
              <w:rPr>
                <w:rFonts w:ascii="Times New Roman" w:hAnsi="Times New Roman"/>
                <w:sz w:val="24"/>
              </w:rPr>
              <w:t>koncentrēties uz tiesisko regulējumu, kas noteikts vienā likumā vai vairākos nozares likumos un noteikumos;</w:t>
            </w:r>
          </w:p>
          <w:p w14:paraId="5CBA94F2" w14:textId="77777777" w:rsidR="00946605" w:rsidRPr="004D11C9" w:rsidRDefault="00946605" w:rsidP="00946605">
            <w:pPr>
              <w:numPr>
                <w:ilvl w:val="1"/>
                <w:numId w:val="24"/>
              </w:numPr>
              <w:ind w:left="426" w:hanging="426"/>
              <w:jc w:val="both"/>
              <w:rPr>
                <w:rFonts w:ascii="Times New Roman" w:hAnsi="Times New Roman"/>
                <w:noProof/>
                <w:sz w:val="24"/>
              </w:rPr>
            </w:pPr>
            <w:r>
              <w:rPr>
                <w:rFonts w:ascii="Times New Roman" w:hAnsi="Times New Roman"/>
                <w:sz w:val="24"/>
              </w:rPr>
              <w:t>koncentrēties uz darbību standarta definīcijām.</w:t>
            </w:r>
          </w:p>
          <w:p w14:paraId="7CF0E7F8" w14:textId="77777777" w:rsidR="00946605" w:rsidRDefault="00946605" w:rsidP="00946605">
            <w:pPr>
              <w:jc w:val="both"/>
              <w:rPr>
                <w:rFonts w:ascii="Times New Roman" w:hAnsi="Times New Roman"/>
                <w:noProof/>
                <w:sz w:val="24"/>
              </w:rPr>
            </w:pPr>
          </w:p>
          <w:p w14:paraId="4100100D" w14:textId="77777777" w:rsidR="00946605" w:rsidRDefault="00946605" w:rsidP="00946605">
            <w:pPr>
              <w:jc w:val="both"/>
              <w:rPr>
                <w:rFonts w:ascii="Times New Roman" w:hAnsi="Times New Roman"/>
                <w:noProof/>
                <w:sz w:val="24"/>
              </w:rPr>
            </w:pPr>
            <w:r>
              <w:rPr>
                <w:rFonts w:ascii="Times New Roman" w:hAnsi="Times New Roman"/>
                <w:sz w:val="24"/>
              </w:rPr>
              <w:t>Turpmāk norādītas trīs plaši zināmas standartizētas nozaru klasifikācijas sistēmas.</w:t>
            </w:r>
          </w:p>
          <w:p w14:paraId="3A749F69" w14:textId="77777777" w:rsidR="00946605" w:rsidRPr="004D11C9" w:rsidRDefault="00946605" w:rsidP="00946605">
            <w:pPr>
              <w:jc w:val="both"/>
              <w:rPr>
                <w:rFonts w:ascii="Times New Roman" w:hAnsi="Times New Roman"/>
                <w:noProof/>
                <w:sz w:val="24"/>
              </w:rPr>
            </w:pPr>
          </w:p>
          <w:p w14:paraId="27144D12" w14:textId="77777777" w:rsidR="00946605" w:rsidRPr="004D11C9" w:rsidRDefault="00946605" w:rsidP="00946605">
            <w:pPr>
              <w:numPr>
                <w:ilvl w:val="1"/>
                <w:numId w:val="24"/>
              </w:numPr>
              <w:ind w:left="426" w:hanging="426"/>
              <w:jc w:val="both"/>
              <w:rPr>
                <w:rFonts w:ascii="Times New Roman" w:eastAsia="Arial" w:hAnsi="Times New Roman" w:cs="Arial"/>
                <w:noProof/>
                <w:sz w:val="24"/>
                <w:szCs w:val="18"/>
              </w:rPr>
            </w:pPr>
            <w:r>
              <w:rPr>
                <w:rFonts w:ascii="Times New Roman" w:hAnsi="Times New Roman"/>
                <w:b/>
                <w:sz w:val="24"/>
              </w:rPr>
              <w:t>Starptautiskā standartizētā visu ekonomiskās darbības veidu klasifikācija</w:t>
            </w:r>
            <w:r>
              <w:rPr>
                <w:rFonts w:ascii="Times New Roman" w:hAnsi="Times New Roman"/>
                <w:sz w:val="24"/>
              </w:rPr>
              <w:t xml:space="preserve">. Šī ir Apvienoto Nāciju Organizācijas sistēma ekonomikas datu klasifikācijai: </w:t>
            </w:r>
            <w:r>
              <w:rPr>
                <w:rFonts w:ascii="Times New Roman" w:hAnsi="Times New Roman"/>
                <w:sz w:val="24"/>
                <w:u w:val="single"/>
              </w:rPr>
              <w:t>http://unstats.un.org/unsd/cr/registry/regcst.asp?Cl=27</w:t>
            </w:r>
            <w:r>
              <w:rPr>
                <w:rFonts w:ascii="Times New Roman" w:hAnsi="Times New Roman"/>
                <w:sz w:val="24"/>
              </w:rPr>
              <w:t>;</w:t>
            </w:r>
          </w:p>
          <w:p w14:paraId="50DD81C8" w14:textId="77777777" w:rsidR="00946605" w:rsidRPr="004D11C9" w:rsidRDefault="00946605" w:rsidP="00946605">
            <w:pPr>
              <w:numPr>
                <w:ilvl w:val="1"/>
                <w:numId w:val="24"/>
              </w:numPr>
              <w:ind w:left="426" w:hanging="426"/>
              <w:jc w:val="both"/>
              <w:rPr>
                <w:rFonts w:ascii="Times New Roman" w:eastAsia="Arial" w:hAnsi="Times New Roman" w:cs="Arial"/>
                <w:noProof/>
                <w:sz w:val="24"/>
                <w:szCs w:val="18"/>
              </w:rPr>
            </w:pPr>
            <w:r>
              <w:rPr>
                <w:rFonts w:ascii="Times New Roman" w:hAnsi="Times New Roman"/>
                <w:b/>
                <w:sz w:val="24"/>
              </w:rPr>
              <w:t>Saimniecisko darbību statistiskā klasifikācija Eiropas Kopienā (</w:t>
            </w:r>
            <w:r>
              <w:rPr>
                <w:rFonts w:ascii="Times New Roman" w:hAnsi="Times New Roman"/>
                <w:b/>
                <w:i/>
                <w:sz w:val="24"/>
              </w:rPr>
              <w:t>NACE</w:t>
            </w:r>
            <w:r>
              <w:rPr>
                <w:rFonts w:ascii="Times New Roman" w:hAnsi="Times New Roman"/>
                <w:b/>
                <w:sz w:val="24"/>
              </w:rPr>
              <w:t>)</w:t>
            </w:r>
          </w:p>
          <w:p w14:paraId="5CC8B21E" w14:textId="77777777" w:rsidR="00946605" w:rsidRPr="004D11C9" w:rsidRDefault="00946605" w:rsidP="00946605">
            <w:pPr>
              <w:ind w:left="426"/>
              <w:jc w:val="both"/>
              <w:rPr>
                <w:rFonts w:ascii="Times New Roman" w:eastAsia="Arial" w:hAnsi="Times New Roman" w:cs="Arial"/>
                <w:noProof/>
                <w:sz w:val="24"/>
                <w:szCs w:val="18"/>
              </w:rPr>
            </w:pPr>
            <w:r>
              <w:rPr>
                <w:rFonts w:ascii="Times New Roman" w:hAnsi="Times New Roman"/>
                <w:sz w:val="24"/>
              </w:rPr>
              <w:t xml:space="preserve">ir standartizēta Eiropas nozaru klasifikācijas sistēma, kuras pamatā ir ciparu kods, kas veidots no ne vairāk kā 6 cipariem: </w:t>
            </w:r>
            <w:r>
              <w:rPr>
                <w:rFonts w:ascii="Times New Roman" w:hAnsi="Times New Roman"/>
                <w:sz w:val="24"/>
                <w:u w:val="single"/>
              </w:rPr>
              <w:t>http://ec.europa.eu/eurostat/ramon/nomenclatures/index.cfm?TargetUrl=LST_NOM_DTL&amp;StrNom=NACE_REV2&amp;StrLanguageCode=EN&amp;IntPcKey=&amp;StrLayoutCode=HIERARCHIC;</w:t>
            </w:r>
          </w:p>
          <w:p w14:paraId="1A660849" w14:textId="77777777" w:rsidR="00946605" w:rsidRPr="004D11C9" w:rsidRDefault="00946605" w:rsidP="00946605">
            <w:pPr>
              <w:numPr>
                <w:ilvl w:val="1"/>
                <w:numId w:val="24"/>
              </w:numPr>
              <w:ind w:left="426" w:hanging="426"/>
              <w:jc w:val="both"/>
              <w:rPr>
                <w:rFonts w:ascii="Times New Roman" w:hAnsi="Times New Roman"/>
                <w:b/>
                <w:noProof/>
                <w:sz w:val="24"/>
              </w:rPr>
            </w:pPr>
            <w:r>
              <w:rPr>
                <w:rFonts w:ascii="Times New Roman" w:hAnsi="Times New Roman"/>
                <w:b/>
                <w:sz w:val="24"/>
              </w:rPr>
              <w:t>Ziemeļamerikas ekonomisko darbību klasifikācijas sistēma (</w:t>
            </w:r>
            <w:r>
              <w:rPr>
                <w:rFonts w:ascii="Times New Roman" w:hAnsi="Times New Roman"/>
                <w:b/>
                <w:i/>
                <w:sz w:val="24"/>
              </w:rPr>
              <w:t>NAICS</w:t>
            </w:r>
            <w:r>
              <w:rPr>
                <w:rFonts w:ascii="Times New Roman" w:hAnsi="Times New Roman"/>
                <w:b/>
                <w:sz w:val="24"/>
              </w:rPr>
              <w:t>)</w:t>
            </w:r>
          </w:p>
          <w:p w14:paraId="575894C3" w14:textId="77777777" w:rsidR="00946605" w:rsidRPr="00946605" w:rsidRDefault="00946605" w:rsidP="00946605">
            <w:pPr>
              <w:ind w:left="426"/>
              <w:jc w:val="both"/>
              <w:rPr>
                <w:rFonts w:ascii="Times New Roman" w:eastAsia="Arial" w:hAnsi="Times New Roman" w:cs="Arial"/>
                <w:noProof/>
                <w:sz w:val="24"/>
                <w:szCs w:val="18"/>
                <w:u w:val="single"/>
              </w:rPr>
            </w:pPr>
            <w:r>
              <w:rPr>
                <w:rFonts w:ascii="Times New Roman" w:hAnsi="Times New Roman"/>
                <w:sz w:val="24"/>
                <w:u w:val="single"/>
              </w:rPr>
              <w:t>www.census.gov/eos/www/naics/.</w:t>
            </w:r>
          </w:p>
          <w:p w14:paraId="7C4FD82D" w14:textId="77777777" w:rsidR="00946605" w:rsidRPr="004D11C9" w:rsidRDefault="00946605" w:rsidP="00946605">
            <w:pPr>
              <w:jc w:val="both"/>
              <w:rPr>
                <w:rFonts w:ascii="Times New Roman" w:eastAsia="Arial" w:hAnsi="Times New Roman" w:cs="Arial"/>
                <w:noProof/>
                <w:sz w:val="24"/>
                <w:szCs w:val="14"/>
              </w:rPr>
            </w:pPr>
          </w:p>
          <w:p w14:paraId="1E25204C" w14:textId="77777777" w:rsidR="00946605" w:rsidRPr="004D11C9" w:rsidRDefault="00946605" w:rsidP="00946605">
            <w:pPr>
              <w:jc w:val="both"/>
              <w:rPr>
                <w:rFonts w:ascii="Times New Roman" w:hAnsi="Times New Roman"/>
                <w:noProof/>
                <w:sz w:val="24"/>
              </w:rPr>
            </w:pPr>
            <w:r>
              <w:rPr>
                <w:rFonts w:ascii="Times New Roman" w:hAnsi="Times New Roman"/>
                <w:sz w:val="24"/>
              </w:rPr>
              <w:t>Klasifikācijas sistēmas parasti izmanto produktu un uzņēmumu galveno darbību klasifikācijai. Tomēr vienmēr būs tādas darbības, kas ir saistītas ar vairākām nozarēm, un tad ražotāju skars vairākas tiesiskā regulējuma nozares. Piemēram, prāmja pakalpojumu sniedzējs var nodrošināt gan kravu pārvadājumus, gan pasažieru pārvadājumus, kas, visticamāk, būs divas atsevišķi regulētas darbības jomas. Tādējādi prāmju regulējuma izskatīšanā tiktu ietverti abi šie aspekti. Konkurences vidi pasažieru pārvadāšanai ar prāmjiem var ietekmēt noteikumi par kravu jūras pārvadājumiem (un attiecīgie ostas noteikumi par iekraušanu un izkraušanu), ciktāl šādi noteikumi attiecas arī uz prāmjiem.</w:t>
            </w:r>
          </w:p>
          <w:p w14:paraId="46009114" w14:textId="77777777" w:rsidR="00946605" w:rsidRDefault="00946605" w:rsidP="00946605">
            <w:pPr>
              <w:jc w:val="both"/>
              <w:rPr>
                <w:rFonts w:ascii="Times New Roman" w:hAnsi="Times New Roman"/>
                <w:noProof/>
                <w:sz w:val="24"/>
              </w:rPr>
            </w:pPr>
          </w:p>
          <w:p w14:paraId="17951D80" w14:textId="4F85404C" w:rsidR="00946605" w:rsidRDefault="00946605" w:rsidP="00946605">
            <w:pPr>
              <w:jc w:val="both"/>
              <w:rPr>
                <w:rFonts w:ascii="Times New Roman" w:hAnsi="Times New Roman"/>
                <w:noProof/>
                <w:sz w:val="24"/>
              </w:rPr>
            </w:pPr>
            <w:r>
              <w:rPr>
                <w:rFonts w:ascii="Times New Roman" w:hAnsi="Times New Roman"/>
                <w:sz w:val="24"/>
              </w:rPr>
              <w:t xml:space="preserve">Standartizētu nozaru definīciju izmantošana var izraisīt nozaru neintuitīvu dalīšanu un šķelšanu. Piemēram, </w:t>
            </w:r>
            <w:r>
              <w:rPr>
                <w:rFonts w:ascii="Times New Roman" w:hAnsi="Times New Roman"/>
                <w:i/>
                <w:sz w:val="24"/>
              </w:rPr>
              <w:t>NACE</w:t>
            </w:r>
            <w:r>
              <w:rPr>
                <w:rFonts w:ascii="Times New Roman" w:hAnsi="Times New Roman"/>
                <w:sz w:val="24"/>
              </w:rPr>
              <w:t xml:space="preserve"> sistēma neklasificē liftus kā nozari, bet nodala liftu ražošanu ar </w:t>
            </w:r>
            <w:r>
              <w:rPr>
                <w:rFonts w:ascii="Times New Roman" w:hAnsi="Times New Roman"/>
                <w:sz w:val="24"/>
              </w:rPr>
              <w:lastRenderedPageBreak/>
              <w:t>vienu kodu (28) no liftu uzstādīšanas, remonta un apkopes ar citu kodu (43). Tāpēc ir svarīgi izlemt, vai tiek meklētas intuitīvas nozaru definīcijas.</w:t>
            </w:r>
          </w:p>
          <w:p w14:paraId="4E997F35" w14:textId="77777777" w:rsidR="00946605" w:rsidRPr="004D11C9" w:rsidRDefault="00946605" w:rsidP="00946605">
            <w:pPr>
              <w:jc w:val="both"/>
              <w:rPr>
                <w:rFonts w:ascii="Times New Roman" w:hAnsi="Times New Roman"/>
                <w:noProof/>
                <w:sz w:val="24"/>
              </w:rPr>
            </w:pPr>
          </w:p>
          <w:p w14:paraId="71B1E792" w14:textId="77777777" w:rsidR="00946605" w:rsidRDefault="00946605" w:rsidP="00946605">
            <w:pPr>
              <w:jc w:val="both"/>
              <w:rPr>
                <w:rFonts w:ascii="Times New Roman" w:hAnsi="Times New Roman"/>
                <w:noProof/>
                <w:sz w:val="24"/>
              </w:rPr>
            </w:pPr>
            <w:r>
              <w:rPr>
                <w:rFonts w:ascii="Times New Roman" w:hAnsi="Times New Roman"/>
                <w:sz w:val="24"/>
              </w:rPr>
              <w:t xml:space="preserve">Viena no intuitīvu definīciju priekšrocībām, kas balstīta uz plašu produktu kategoriju, ir tā, ka tās var labāk atspoguļot tās uzņēmējdarbības diapazonu, kas tiek veikta saistībā ar noteiktā produkta kategoriju. Uzņēmumi, kas ir orientējušies, piemēram, uz liftu nozari, var aptvert vairākus atbilstošus kodus. Šādos gadījumos ir grūti noteikt vienu kodu, kas būtu attiecināms uz uzņēmumu, jo tas veiks darbības, kuras ir jāapzīmē ar dažādiem kodiem. To privāto un citu uzņēmējdarbības interešu pārstāvji, kas tiek satikti konkurences novērtēšanas laikā, var būt informēti par konkurences ierobežojumiem dažādās intuitīvās definīcijas daļās. Pēc tam, ierobežojot rezultātus līdz vienam </w:t>
            </w:r>
            <w:r>
              <w:rPr>
                <w:rFonts w:ascii="Times New Roman" w:hAnsi="Times New Roman"/>
                <w:i/>
                <w:sz w:val="24"/>
              </w:rPr>
              <w:t>NACE</w:t>
            </w:r>
            <w:r>
              <w:rPr>
                <w:rFonts w:ascii="Times New Roman" w:hAnsi="Times New Roman"/>
                <w:sz w:val="24"/>
              </w:rPr>
              <w:t xml:space="preserve"> kodam, var tikt izslēgti ierobežojumi, kas ir identificēti tajā pašā intuitīvajā nozarē, bet ar citu </w:t>
            </w:r>
            <w:r>
              <w:rPr>
                <w:rFonts w:ascii="Times New Roman" w:hAnsi="Times New Roman"/>
                <w:i/>
                <w:sz w:val="24"/>
              </w:rPr>
              <w:t>NACE</w:t>
            </w:r>
            <w:r>
              <w:rPr>
                <w:rFonts w:ascii="Times New Roman" w:hAnsi="Times New Roman"/>
                <w:sz w:val="24"/>
              </w:rPr>
              <w:t xml:space="preserve"> kodu.</w:t>
            </w:r>
          </w:p>
          <w:p w14:paraId="510DCBA4" w14:textId="77777777" w:rsidR="00946605" w:rsidRPr="004D11C9" w:rsidRDefault="00946605" w:rsidP="00946605">
            <w:pPr>
              <w:jc w:val="both"/>
              <w:rPr>
                <w:rFonts w:ascii="Times New Roman" w:hAnsi="Times New Roman"/>
                <w:noProof/>
                <w:sz w:val="24"/>
              </w:rPr>
            </w:pPr>
          </w:p>
          <w:p w14:paraId="647D17C3" w14:textId="10039C5F" w:rsidR="00946605" w:rsidRPr="00946605" w:rsidRDefault="00946605" w:rsidP="004D11C9">
            <w:pPr>
              <w:jc w:val="both"/>
              <w:rPr>
                <w:rFonts w:ascii="Times New Roman" w:hAnsi="Times New Roman"/>
                <w:noProof/>
                <w:sz w:val="24"/>
              </w:rPr>
            </w:pPr>
            <w:r>
              <w:rPr>
                <w:rFonts w:ascii="Times New Roman" w:hAnsi="Times New Roman"/>
                <w:sz w:val="24"/>
              </w:rPr>
              <w:t xml:space="preserve">Standartizēto nozaru kodeksu priekšrocība ir tā, ka tie samazina diskusijas par iespējamajām nozares robežām, līdz ar to par šo robežu ir mazāk domstarpību. Tomēr cieši saistītas (un būtiskas) darbības var būt izslēgtas no pāmērīgi stingras interpretācijas. Piemēram, ierobežojumi attiecībā uz kviešu ražību no viena apsēta hektāra tehniski var būt lauksaimniecības ierobežojums, tomēr šādi ierobežojumi automātiski kļūst par saražotās kviešu produkcijas ierobežojumiem, tādēļ tos var uzskatīt par daļu no miltu ražošanas </w:t>
            </w:r>
            <w:r w:rsidR="00A901B1">
              <w:rPr>
                <w:rFonts w:ascii="Times New Roman" w:hAnsi="Times New Roman"/>
                <w:sz w:val="24"/>
              </w:rPr>
              <w:t>regulatīvās</w:t>
            </w:r>
            <w:r>
              <w:rPr>
                <w:rFonts w:ascii="Times New Roman" w:hAnsi="Times New Roman"/>
                <w:sz w:val="24"/>
              </w:rPr>
              <w:t xml:space="preserve"> vides (un par produkcijas ierobežojumu).</w:t>
            </w:r>
          </w:p>
        </w:tc>
      </w:tr>
    </w:tbl>
    <w:p w14:paraId="608478DC" w14:textId="77777777" w:rsidR="000A6469" w:rsidRPr="004D11C9" w:rsidRDefault="000A6469" w:rsidP="004D11C9">
      <w:pPr>
        <w:jc w:val="both"/>
        <w:rPr>
          <w:rFonts w:ascii="Times New Roman" w:eastAsia="Arial" w:hAnsi="Times New Roman" w:cs="Arial"/>
          <w:noProof/>
          <w:sz w:val="24"/>
          <w:szCs w:val="16"/>
        </w:rPr>
      </w:pPr>
    </w:p>
    <w:p w14:paraId="551D79CC"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Nākamais solis ir izveidot pilnīgu sarakstu ar visiem likumiem un noteikumiem, kas ietekmē saimnieciskās darbības katrā pārbaudāmajā nozarē. To darot, ir svarīgi atcerēties, ka papildus nozaru regulējumam pastāv arī horizontāli starpnozaru normatīvie akti (piemēram, plānošanas ierobežojumi vai vides standarti), kas var būtiski ietekmēt nozarē veikto saimniecisko darbību un radīt papildu konkurences ierobežojumus. Dažkārt valsts, reģionālā un pašvaldību līmenī pieņemtie normatīvie akti var savstarpēji mijiedarboties; ja atbilstīgi, ir jāizskata normatīvie akti visos attiecīgajos līmeņos.</w:t>
      </w:r>
    </w:p>
    <w:p w14:paraId="66D66179" w14:textId="77777777" w:rsidR="000A6469" w:rsidRPr="004D11C9" w:rsidRDefault="000A6469" w:rsidP="004D11C9">
      <w:pPr>
        <w:jc w:val="both"/>
        <w:rPr>
          <w:rFonts w:ascii="Times New Roman" w:eastAsia="Arial" w:hAnsi="Times New Roman" w:cs="Arial"/>
          <w:noProof/>
          <w:sz w:val="24"/>
          <w:szCs w:val="20"/>
        </w:rPr>
      </w:pPr>
    </w:p>
    <w:p w14:paraId="49663B0B"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Tam, lai noteiktu visus normatīvos aktus, kas ir piemērojami pārbaudāmajās nozarēs, var izmantot valstu normatīvo aktu datubāzes, taču informācija ir jālūdz arī ieinteresētajām personām, piemēram, nozares vai patērētāju apvienībām un kompetentajām nozaru ministrijām, kas ir iesaistītas izraudzītajās nozarēs.</w:t>
      </w:r>
    </w:p>
    <w:p w14:paraId="71F3F7E6" w14:textId="77777777" w:rsidR="000A6469" w:rsidRPr="004D11C9" w:rsidRDefault="000A6469" w:rsidP="004D11C9">
      <w:pPr>
        <w:jc w:val="both"/>
        <w:rPr>
          <w:rFonts w:ascii="Times New Roman" w:eastAsia="Arial" w:hAnsi="Times New Roman" w:cs="Arial"/>
          <w:noProof/>
          <w:sz w:val="24"/>
          <w:szCs w:val="20"/>
        </w:rPr>
      </w:pPr>
    </w:p>
    <w:p w14:paraId="339E9AF3" w14:textId="40149BF9"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Laiks, kas nepieciešams, lai kartētu regulējumu kādā nozarē, ir svarīgs faktors, un to nedrīkst novērtēt par zemu nozares konkurences novērtēšanas grafikā. Lai nodrošinātu, ka pārskatīšanā tiek iekļauti visi būtiskie normatīvie akti, ir svarīgi izveidot pilnīgu un atbilstošu likumu un noteikumu apkopojumu. Tajā jāiekļauj būtiskie īstenošanas noteikumi, piemēram, ministru dekrēti, apkārtraksti un citi noteikumu īstenošanas norādījumi.</w:t>
      </w:r>
    </w:p>
    <w:p w14:paraId="66AB2900" w14:textId="77777777" w:rsidR="000A6469" w:rsidRPr="004D11C9" w:rsidRDefault="000A6469" w:rsidP="004D11C9">
      <w:pPr>
        <w:jc w:val="both"/>
        <w:rPr>
          <w:rFonts w:ascii="Times New Roman" w:eastAsia="Arial" w:hAnsi="Times New Roman" w:cs="Arial"/>
          <w:noProof/>
          <w:sz w:val="24"/>
          <w:szCs w:val="20"/>
        </w:rPr>
      </w:pPr>
    </w:p>
    <w:p w14:paraId="4F50E534" w14:textId="721A566A"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Pilna būtisko valdības aktu un procesu apkopojuma izveide var būt iteratīvs process. Dažās sistēmās ne visi likumi un noteikumi tiek glabāti vienuviet un tos var nebūt iespējams meklēt elektroniski. Grozījumi vienā likumā var būt atrodami citā, vēlāk pieņemtā un šķietami nesaistītā likumā. Kad likumi un noteikumi ir kodificēti un elektroniski pieejami, būtisko likumu un noteikumu meklēšanas process paātrināsies, bet joprojām būs jārunā ar nozares ekspertiem, kā arī ir paredzams, ka šis process nenodrošinās visu nepieciešamo informāciju, jo pastāvēs arī ministru dekrēti, apkārtraksti un vadlīnijas, kas var nebūt atrodami šādās datubāzēs.</w:t>
      </w:r>
    </w:p>
    <w:p w14:paraId="6D75CD8F" w14:textId="77777777" w:rsidR="000A6469" w:rsidRPr="004D11C9" w:rsidRDefault="000A6469" w:rsidP="004D11C9">
      <w:pPr>
        <w:jc w:val="both"/>
        <w:rPr>
          <w:rFonts w:ascii="Times New Roman" w:eastAsia="Arial" w:hAnsi="Times New Roman" w:cs="Arial"/>
          <w:noProof/>
          <w:sz w:val="24"/>
          <w:szCs w:val="20"/>
        </w:rPr>
      </w:pPr>
    </w:p>
    <w:p w14:paraId="5B5BE6B3"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Nozares kartēšanā ir vērts izskatīt arī noteikumu piemērošanas procesus. Praksē regulējuma procesi var ietekmēt tiesisko regulējumu, ar ko saskaras potenciālais konkurents. Piemēram, ja </w:t>
      </w:r>
      <w:r>
        <w:rPr>
          <w:rFonts w:ascii="Times New Roman" w:hAnsi="Times New Roman"/>
          <w:sz w:val="24"/>
        </w:rPr>
        <w:lastRenderedPageBreak/>
        <w:t>konkurentam ir nepieciešama atļauja no kāda dienesta pirms uzņēmējdarbības uzsākšanas un šādu atļauju var izsniegt tikai viens dienesta darbinieks, taču viņš ir sešu mēnešu atvaļinājumā, tas ir faktisks, ar procesu saistīts šķērslis jaunas uzņēmējdarbības sākšanai. Šādas procesa problēmas ir jāreģistrē, ja par tām ir saņemta informācija, jo konkurences novērtējumā ieteikumus var sniegt gan par procesu, gan par tiesisko regulējumu.</w:t>
      </w:r>
    </w:p>
    <w:p w14:paraId="6FAE55B0" w14:textId="1F4BEC77" w:rsidR="000A6469" w:rsidRPr="004D11C9" w:rsidRDefault="000A6469" w:rsidP="004D11C9">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946605" w14:paraId="35BE072C" w14:textId="77777777" w:rsidTr="00946605">
        <w:tc>
          <w:tcPr>
            <w:tcW w:w="9062" w:type="dxa"/>
          </w:tcPr>
          <w:p w14:paraId="59BFFF9D" w14:textId="211E8DFD" w:rsidR="00946605" w:rsidRDefault="00946605" w:rsidP="00946605">
            <w:pPr>
              <w:jc w:val="center"/>
              <w:rPr>
                <w:rFonts w:ascii="Times New Roman" w:eastAsia="Arial" w:hAnsi="Times New Roman" w:cs="Arial"/>
                <w:noProof/>
                <w:sz w:val="24"/>
                <w:szCs w:val="20"/>
              </w:rPr>
            </w:pPr>
            <w:r>
              <w:rPr>
                <w:rFonts w:ascii="Times New Roman" w:hAnsi="Times New Roman"/>
                <w:b/>
                <w:sz w:val="24"/>
              </w:rPr>
              <w:t>6. ierāmējums. Būtiskā tiesiskā regulējuma atrašanas sarežģītība</w:t>
            </w:r>
          </w:p>
        </w:tc>
      </w:tr>
      <w:tr w:rsidR="00946605" w14:paraId="2FC860F2" w14:textId="77777777" w:rsidTr="00946605">
        <w:tc>
          <w:tcPr>
            <w:tcW w:w="9062" w:type="dxa"/>
          </w:tcPr>
          <w:p w14:paraId="43CBE933" w14:textId="77777777" w:rsidR="00946605" w:rsidRPr="004D11C9" w:rsidRDefault="00946605" w:rsidP="00946605">
            <w:pPr>
              <w:jc w:val="both"/>
              <w:rPr>
                <w:rFonts w:ascii="Times New Roman" w:eastAsia="Arial" w:hAnsi="Times New Roman" w:cs="Arial"/>
                <w:noProof/>
                <w:sz w:val="24"/>
                <w:szCs w:val="18"/>
              </w:rPr>
            </w:pPr>
            <w:r>
              <w:rPr>
                <w:rFonts w:ascii="Times New Roman" w:hAnsi="Times New Roman"/>
                <w:sz w:val="24"/>
              </w:rPr>
              <w:t>Grieķijā daļa no tūrisma tiesiskā regulējuma bija iekļauta plašākā likumā par huligānismu sporta stadionos. Šādu tiesisko regulējumu ir sarežģīti atrast bez ministrijas vai privātā sektora nozares ekspertu palīdzības.</w:t>
            </w:r>
          </w:p>
          <w:p w14:paraId="00BE2D43" w14:textId="77777777" w:rsidR="00946605" w:rsidRPr="004D11C9" w:rsidRDefault="00946605" w:rsidP="00946605">
            <w:pPr>
              <w:jc w:val="both"/>
              <w:rPr>
                <w:rFonts w:ascii="Times New Roman" w:eastAsia="Arial" w:hAnsi="Times New Roman" w:cs="Arial"/>
                <w:noProof/>
                <w:sz w:val="24"/>
                <w:szCs w:val="21"/>
              </w:rPr>
            </w:pPr>
          </w:p>
          <w:p w14:paraId="17C305F6" w14:textId="60AB513F" w:rsidR="00946605" w:rsidRPr="00946605" w:rsidRDefault="00946605" w:rsidP="004D11C9">
            <w:pPr>
              <w:jc w:val="both"/>
              <w:rPr>
                <w:rFonts w:ascii="Times New Roman" w:eastAsia="Arial" w:hAnsi="Times New Roman" w:cs="Arial"/>
                <w:noProof/>
                <w:sz w:val="24"/>
                <w:szCs w:val="18"/>
              </w:rPr>
            </w:pPr>
            <w:r>
              <w:rPr>
                <w:rFonts w:ascii="Times New Roman" w:hAnsi="Times New Roman"/>
                <w:i/>
                <w:sz w:val="24"/>
              </w:rPr>
              <w:t>Avots</w:t>
            </w:r>
            <w:r>
              <w:rPr>
                <w:rFonts w:ascii="Times New Roman" w:hAnsi="Times New Roman"/>
                <w:sz w:val="24"/>
              </w:rPr>
              <w:t>: ESAO (2014).</w:t>
            </w:r>
          </w:p>
        </w:tc>
      </w:tr>
    </w:tbl>
    <w:p w14:paraId="2C43FA87" w14:textId="77777777" w:rsidR="000A6469" w:rsidRPr="004D11C9" w:rsidRDefault="000A6469" w:rsidP="004D11C9">
      <w:pPr>
        <w:jc w:val="both"/>
        <w:rPr>
          <w:rFonts w:ascii="Times New Roman" w:eastAsia="Arial" w:hAnsi="Times New Roman" w:cs="Arial"/>
          <w:noProof/>
          <w:sz w:val="24"/>
          <w:szCs w:val="15"/>
        </w:rPr>
      </w:pPr>
      <w:bookmarkStart w:id="35" w:name="_bookmark12"/>
      <w:bookmarkEnd w:id="35"/>
    </w:p>
    <w:p w14:paraId="46EEDE0A" w14:textId="77777777" w:rsidR="000A6469" w:rsidRPr="004D11C9" w:rsidRDefault="000A6469" w:rsidP="004D11C9">
      <w:pPr>
        <w:pStyle w:val="Heading6"/>
        <w:ind w:left="0"/>
        <w:jc w:val="both"/>
        <w:rPr>
          <w:rFonts w:ascii="Times New Roman" w:hAnsi="Times New Roman"/>
          <w:noProof/>
          <w:sz w:val="24"/>
        </w:rPr>
      </w:pPr>
      <w:r>
        <w:rPr>
          <w:rFonts w:ascii="Times New Roman" w:hAnsi="Times New Roman"/>
          <w:sz w:val="24"/>
        </w:rPr>
        <w:t>2. attēls. Nozares regulējuma kartēšanas posmi</w:t>
      </w:r>
    </w:p>
    <w:p w14:paraId="54C90D08" w14:textId="2758C2B4" w:rsidR="000A6469" w:rsidRDefault="000A6469" w:rsidP="004D11C9">
      <w:pPr>
        <w:jc w:val="both"/>
        <w:rPr>
          <w:rFonts w:ascii="Times New Roman" w:eastAsia="Arial" w:hAnsi="Times New Roman" w:cs="Arial"/>
          <w:b/>
          <w:bCs/>
          <w:noProof/>
          <w:sz w:val="24"/>
          <w:szCs w:val="20"/>
        </w:rPr>
      </w:pPr>
    </w:p>
    <w:p w14:paraId="13324943" w14:textId="03AED821" w:rsidR="00946605" w:rsidRDefault="00946605" w:rsidP="004D11C9">
      <w:pPr>
        <w:jc w:val="both"/>
        <w:rPr>
          <w:rFonts w:ascii="Times New Roman" w:eastAsia="Arial" w:hAnsi="Times New Roman" w:cs="Arial"/>
          <w:b/>
          <w:bCs/>
          <w:noProof/>
          <w:sz w:val="24"/>
          <w:szCs w:val="20"/>
        </w:rPr>
      </w:pPr>
      <w:r>
        <w:rPr>
          <w:rFonts w:ascii="Times New Roman" w:hAnsi="Times New Roman"/>
          <w:b/>
          <w:bCs/>
          <w:noProof/>
          <w:sz w:val="24"/>
          <w:szCs w:val="20"/>
        </w:rPr>
        <w:drawing>
          <wp:inline distT="0" distB="0" distL="0" distR="0" wp14:anchorId="0A0863FD" wp14:editId="422E4236">
            <wp:extent cx="5358765" cy="3296285"/>
            <wp:effectExtent l="0" t="0" r="0" b="0"/>
            <wp:docPr id="6452" name="Picture 6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58765" cy="3296285"/>
                    </a:xfrm>
                    <a:prstGeom prst="rect">
                      <a:avLst/>
                    </a:prstGeom>
                    <a:noFill/>
                    <a:ln>
                      <a:noFill/>
                    </a:ln>
                  </pic:spPr>
                </pic:pic>
              </a:graphicData>
            </a:graphic>
          </wp:inline>
        </w:drawing>
      </w:r>
    </w:p>
    <w:p w14:paraId="7CC8D2FD" w14:textId="3F533B02" w:rsidR="00946605" w:rsidRDefault="00946605" w:rsidP="004D11C9">
      <w:pPr>
        <w:jc w:val="both"/>
        <w:rPr>
          <w:rFonts w:ascii="Times New Roman" w:eastAsia="Arial" w:hAnsi="Times New Roman" w:cs="Arial"/>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4531"/>
        <w:gridCol w:w="4531"/>
      </w:tblGrid>
      <w:tr w:rsidR="00121F0E" w14:paraId="75A42381" w14:textId="77777777" w:rsidTr="00486953">
        <w:tc>
          <w:tcPr>
            <w:tcW w:w="4531" w:type="dxa"/>
          </w:tcPr>
          <w:p w14:paraId="21EFBA79" w14:textId="6C585B80" w:rsidR="00121F0E" w:rsidRPr="00121F0E" w:rsidRDefault="00121F0E" w:rsidP="00121F0E">
            <w:pPr>
              <w:jc w:val="center"/>
              <w:rPr>
                <w:rFonts w:ascii="Times New Roman" w:hAnsi="Times New Roman"/>
                <w:b/>
                <w:bCs/>
                <w:sz w:val="24"/>
              </w:rPr>
            </w:pPr>
            <w:r w:rsidRPr="00121F0E">
              <w:rPr>
                <w:rFonts w:ascii="Times New Roman" w:hAnsi="Times New Roman"/>
                <w:b/>
                <w:bCs/>
                <w:sz w:val="24"/>
              </w:rPr>
              <w:t>Angļu val.</w:t>
            </w:r>
          </w:p>
        </w:tc>
        <w:tc>
          <w:tcPr>
            <w:tcW w:w="4531" w:type="dxa"/>
          </w:tcPr>
          <w:p w14:paraId="04D189E7" w14:textId="766EE017" w:rsidR="00121F0E" w:rsidRPr="00121F0E" w:rsidRDefault="00121F0E" w:rsidP="00121F0E">
            <w:pPr>
              <w:jc w:val="center"/>
              <w:rPr>
                <w:rFonts w:ascii="Times New Roman" w:eastAsia="Arial" w:hAnsi="Times New Roman" w:cs="Arial"/>
                <w:b/>
                <w:bCs/>
                <w:noProof/>
                <w:sz w:val="24"/>
                <w:szCs w:val="20"/>
              </w:rPr>
            </w:pPr>
            <w:r w:rsidRPr="00121F0E">
              <w:rPr>
                <w:rFonts w:ascii="Times New Roman" w:eastAsia="Arial" w:hAnsi="Times New Roman" w:cs="Arial"/>
                <w:b/>
                <w:bCs/>
                <w:noProof/>
                <w:sz w:val="24"/>
                <w:szCs w:val="20"/>
              </w:rPr>
              <w:t>Latviešu val.</w:t>
            </w:r>
          </w:p>
        </w:tc>
      </w:tr>
      <w:tr w:rsidR="00121F0E" w14:paraId="07715DBB" w14:textId="77777777" w:rsidTr="00486953">
        <w:tc>
          <w:tcPr>
            <w:tcW w:w="4531" w:type="dxa"/>
          </w:tcPr>
          <w:p w14:paraId="0D204DE3" w14:textId="14670CC1" w:rsidR="00121F0E" w:rsidRDefault="00121F0E" w:rsidP="00121F0E">
            <w:pPr>
              <w:jc w:val="both"/>
              <w:rPr>
                <w:rFonts w:ascii="Times New Roman" w:eastAsia="Arial" w:hAnsi="Times New Roman" w:cs="Arial"/>
                <w:noProof/>
                <w:sz w:val="24"/>
                <w:szCs w:val="20"/>
              </w:rPr>
            </w:pPr>
            <w:r>
              <w:rPr>
                <w:rFonts w:ascii="Times New Roman" w:eastAsia="Arial" w:hAnsi="Times New Roman" w:cs="Arial"/>
                <w:noProof/>
                <w:sz w:val="24"/>
                <w:szCs w:val="20"/>
              </w:rPr>
              <w:t>Identify boundary of market or sector</w:t>
            </w:r>
          </w:p>
        </w:tc>
        <w:tc>
          <w:tcPr>
            <w:tcW w:w="4531" w:type="dxa"/>
          </w:tcPr>
          <w:p w14:paraId="2B58C459" w14:textId="53D29E0D" w:rsidR="00121F0E" w:rsidRDefault="00121F0E" w:rsidP="00121F0E">
            <w:pPr>
              <w:jc w:val="both"/>
              <w:rPr>
                <w:rFonts w:ascii="Times New Roman" w:eastAsia="Arial" w:hAnsi="Times New Roman" w:cs="Arial"/>
                <w:noProof/>
                <w:sz w:val="24"/>
                <w:szCs w:val="20"/>
              </w:rPr>
            </w:pPr>
            <w:r>
              <w:rPr>
                <w:rFonts w:ascii="Times New Roman" w:hAnsi="Times New Roman"/>
                <w:sz w:val="24"/>
              </w:rPr>
              <w:t>Identificē tirgus vai nozares robežas</w:t>
            </w:r>
          </w:p>
        </w:tc>
      </w:tr>
      <w:tr w:rsidR="00121F0E" w14:paraId="16479F06" w14:textId="77777777" w:rsidTr="00486953">
        <w:tc>
          <w:tcPr>
            <w:tcW w:w="4531" w:type="dxa"/>
          </w:tcPr>
          <w:p w14:paraId="232588C8" w14:textId="5060FDC3" w:rsidR="00121F0E" w:rsidRDefault="00121F0E" w:rsidP="00121F0E">
            <w:pPr>
              <w:jc w:val="both"/>
              <w:rPr>
                <w:rFonts w:ascii="Times New Roman" w:eastAsia="Arial" w:hAnsi="Times New Roman" w:cs="Arial"/>
                <w:noProof/>
                <w:sz w:val="24"/>
                <w:szCs w:val="20"/>
              </w:rPr>
            </w:pPr>
            <w:r>
              <w:rPr>
                <w:rFonts w:ascii="Times New Roman" w:eastAsia="Arial" w:hAnsi="Times New Roman" w:cs="Arial"/>
                <w:noProof/>
                <w:sz w:val="24"/>
                <w:szCs w:val="20"/>
              </w:rPr>
              <w:t>Use Standard Industry Classifications if they exist; if not, consult relevant ministries or stakeholders</w:t>
            </w:r>
          </w:p>
        </w:tc>
        <w:tc>
          <w:tcPr>
            <w:tcW w:w="4531" w:type="dxa"/>
          </w:tcPr>
          <w:p w14:paraId="71FD1CD2" w14:textId="52064658" w:rsidR="00121F0E" w:rsidRDefault="00121F0E" w:rsidP="00121F0E">
            <w:pPr>
              <w:jc w:val="both"/>
              <w:rPr>
                <w:rFonts w:ascii="Times New Roman" w:eastAsia="Arial" w:hAnsi="Times New Roman" w:cs="Arial"/>
                <w:noProof/>
                <w:sz w:val="24"/>
                <w:szCs w:val="20"/>
              </w:rPr>
            </w:pPr>
            <w:r>
              <w:rPr>
                <w:rFonts w:ascii="Times New Roman" w:hAnsi="Times New Roman"/>
                <w:sz w:val="24"/>
              </w:rPr>
              <w:t>Izmanto standartizētu nozaru klasifikācijas sistēmu, ja tāda pastāv; ja tāda nepastāv, apspriežas ar attiecīgo ministriju vai ieinteresētajām pusēm</w:t>
            </w:r>
          </w:p>
        </w:tc>
      </w:tr>
      <w:tr w:rsidR="00121F0E" w14:paraId="25B9D70B" w14:textId="77777777" w:rsidTr="00486953">
        <w:tc>
          <w:tcPr>
            <w:tcW w:w="4531" w:type="dxa"/>
          </w:tcPr>
          <w:p w14:paraId="54AC7109" w14:textId="33F3FDC7" w:rsidR="00121F0E" w:rsidRDefault="00121F0E" w:rsidP="00121F0E">
            <w:pPr>
              <w:jc w:val="both"/>
              <w:rPr>
                <w:rFonts w:ascii="Times New Roman" w:eastAsia="Arial" w:hAnsi="Times New Roman" w:cs="Arial"/>
                <w:noProof/>
                <w:sz w:val="24"/>
                <w:szCs w:val="20"/>
              </w:rPr>
            </w:pPr>
            <w:r>
              <w:rPr>
                <w:rFonts w:ascii="Times New Roman" w:eastAsia="Arial" w:hAnsi="Times New Roman" w:cs="Arial"/>
                <w:noProof/>
                <w:sz w:val="24"/>
                <w:szCs w:val="20"/>
              </w:rPr>
              <w:t>Collect legislation regulations and relevant government acts</w:t>
            </w:r>
          </w:p>
        </w:tc>
        <w:tc>
          <w:tcPr>
            <w:tcW w:w="4531" w:type="dxa"/>
          </w:tcPr>
          <w:p w14:paraId="76794786" w14:textId="55C56DD7" w:rsidR="00121F0E" w:rsidRDefault="00121F0E" w:rsidP="00121F0E">
            <w:pPr>
              <w:jc w:val="both"/>
              <w:rPr>
                <w:rFonts w:ascii="Times New Roman" w:eastAsia="Arial" w:hAnsi="Times New Roman" w:cs="Arial"/>
                <w:noProof/>
                <w:sz w:val="24"/>
                <w:szCs w:val="20"/>
              </w:rPr>
            </w:pPr>
            <w:r>
              <w:rPr>
                <w:rFonts w:ascii="Times New Roman" w:hAnsi="Times New Roman"/>
                <w:sz w:val="24"/>
              </w:rPr>
              <w:t>Apkopo normatīvos aktus un būtiskos valdības aktus</w:t>
            </w:r>
          </w:p>
        </w:tc>
      </w:tr>
      <w:tr w:rsidR="00121F0E" w14:paraId="52169CFA" w14:textId="77777777" w:rsidTr="00486953">
        <w:tc>
          <w:tcPr>
            <w:tcW w:w="4531" w:type="dxa"/>
          </w:tcPr>
          <w:p w14:paraId="325B9043" w14:textId="77777777" w:rsidR="00121F0E" w:rsidRDefault="00121F0E" w:rsidP="00121F0E">
            <w:pPr>
              <w:jc w:val="both"/>
              <w:rPr>
                <w:rFonts w:ascii="Times New Roman" w:eastAsia="Arial" w:hAnsi="Times New Roman" w:cs="Arial"/>
                <w:noProof/>
                <w:sz w:val="24"/>
                <w:szCs w:val="20"/>
              </w:rPr>
            </w:pPr>
            <w:r>
              <w:rPr>
                <w:rFonts w:ascii="Times New Roman" w:eastAsia="Arial" w:hAnsi="Times New Roman" w:cs="Arial"/>
                <w:noProof/>
                <w:sz w:val="24"/>
                <w:szCs w:val="20"/>
              </w:rPr>
              <w:t>Consult:</w:t>
            </w:r>
          </w:p>
          <w:p w14:paraId="7DBA336D" w14:textId="77777777" w:rsidR="00121F0E" w:rsidRPr="00486953" w:rsidRDefault="00121F0E" w:rsidP="00121F0E">
            <w:pPr>
              <w:pStyle w:val="ListParagraph"/>
              <w:numPr>
                <w:ilvl w:val="0"/>
                <w:numId w:val="35"/>
              </w:numPr>
              <w:ind w:left="393"/>
              <w:jc w:val="both"/>
              <w:rPr>
                <w:rFonts w:ascii="Times New Roman" w:eastAsia="Arial" w:hAnsi="Times New Roman" w:cs="Arial"/>
                <w:noProof/>
                <w:sz w:val="24"/>
                <w:szCs w:val="20"/>
              </w:rPr>
            </w:pPr>
            <w:r w:rsidRPr="00486953">
              <w:rPr>
                <w:rFonts w:ascii="Times New Roman" w:eastAsia="Arial" w:hAnsi="Times New Roman" w:cs="Arial"/>
                <w:noProof/>
                <w:sz w:val="24"/>
                <w:szCs w:val="20"/>
              </w:rPr>
              <w:t>Legal databases</w:t>
            </w:r>
          </w:p>
          <w:p w14:paraId="6B53DBAC" w14:textId="77777777" w:rsidR="00121F0E" w:rsidRPr="00486953" w:rsidRDefault="00121F0E" w:rsidP="00121F0E">
            <w:pPr>
              <w:pStyle w:val="ListParagraph"/>
              <w:numPr>
                <w:ilvl w:val="0"/>
                <w:numId w:val="35"/>
              </w:numPr>
              <w:ind w:left="393"/>
              <w:jc w:val="both"/>
              <w:rPr>
                <w:rFonts w:ascii="Times New Roman" w:eastAsia="Arial" w:hAnsi="Times New Roman" w:cs="Arial"/>
                <w:noProof/>
                <w:sz w:val="24"/>
                <w:szCs w:val="20"/>
              </w:rPr>
            </w:pPr>
            <w:r w:rsidRPr="00486953">
              <w:rPr>
                <w:rFonts w:ascii="Times New Roman" w:eastAsia="Arial" w:hAnsi="Times New Roman" w:cs="Arial"/>
                <w:noProof/>
                <w:sz w:val="24"/>
                <w:szCs w:val="20"/>
              </w:rPr>
              <w:t>Line ministries</w:t>
            </w:r>
          </w:p>
          <w:p w14:paraId="657B821B" w14:textId="0B1F5817" w:rsidR="00121F0E" w:rsidRPr="00121F0E" w:rsidRDefault="00121F0E" w:rsidP="00121F0E">
            <w:pPr>
              <w:pStyle w:val="ListParagraph"/>
              <w:numPr>
                <w:ilvl w:val="0"/>
                <w:numId w:val="35"/>
              </w:numPr>
              <w:ind w:left="393"/>
              <w:jc w:val="both"/>
              <w:rPr>
                <w:rFonts w:ascii="Times New Roman" w:eastAsia="Arial" w:hAnsi="Times New Roman" w:cs="Arial"/>
                <w:noProof/>
                <w:sz w:val="24"/>
                <w:szCs w:val="20"/>
              </w:rPr>
            </w:pPr>
            <w:r w:rsidRPr="00486953">
              <w:rPr>
                <w:rFonts w:ascii="Times New Roman" w:eastAsia="Arial" w:hAnsi="Times New Roman" w:cs="Arial"/>
                <w:noProof/>
                <w:sz w:val="24"/>
                <w:szCs w:val="20"/>
              </w:rPr>
              <w:t>Stakeholders who understand the regulatory process</w:t>
            </w:r>
          </w:p>
        </w:tc>
        <w:tc>
          <w:tcPr>
            <w:tcW w:w="4531" w:type="dxa"/>
          </w:tcPr>
          <w:p w14:paraId="1213C313" w14:textId="77777777" w:rsidR="00121F0E" w:rsidRDefault="00121F0E" w:rsidP="00121F0E">
            <w:pPr>
              <w:jc w:val="both"/>
              <w:rPr>
                <w:rFonts w:ascii="Times New Roman" w:eastAsia="Arial" w:hAnsi="Times New Roman" w:cs="Arial"/>
                <w:noProof/>
                <w:sz w:val="24"/>
                <w:szCs w:val="20"/>
              </w:rPr>
            </w:pPr>
            <w:r>
              <w:rPr>
                <w:rFonts w:ascii="Times New Roman" w:hAnsi="Times New Roman"/>
                <w:sz w:val="24"/>
              </w:rPr>
              <w:t>Meklē informāciju:</w:t>
            </w:r>
          </w:p>
          <w:p w14:paraId="1B2F6DF2" w14:textId="77777777" w:rsidR="00121F0E" w:rsidRPr="00486953" w:rsidRDefault="00121F0E" w:rsidP="00121F0E">
            <w:pPr>
              <w:pStyle w:val="ListParagraph"/>
              <w:numPr>
                <w:ilvl w:val="0"/>
                <w:numId w:val="35"/>
              </w:numPr>
              <w:ind w:left="393"/>
              <w:jc w:val="both"/>
              <w:rPr>
                <w:rFonts w:ascii="Times New Roman" w:eastAsia="Arial" w:hAnsi="Times New Roman" w:cs="Arial"/>
                <w:noProof/>
                <w:sz w:val="24"/>
                <w:szCs w:val="20"/>
              </w:rPr>
            </w:pPr>
            <w:r>
              <w:rPr>
                <w:rFonts w:ascii="Times New Roman" w:hAnsi="Times New Roman"/>
                <w:sz w:val="24"/>
              </w:rPr>
              <w:t>normatīvo aktu datubāzes;</w:t>
            </w:r>
          </w:p>
          <w:p w14:paraId="05999FAE" w14:textId="77777777" w:rsidR="00121F0E" w:rsidRPr="00486953" w:rsidRDefault="00121F0E" w:rsidP="00121F0E">
            <w:pPr>
              <w:pStyle w:val="ListParagraph"/>
              <w:numPr>
                <w:ilvl w:val="0"/>
                <w:numId w:val="35"/>
              </w:numPr>
              <w:ind w:left="393"/>
              <w:jc w:val="both"/>
              <w:rPr>
                <w:rFonts w:ascii="Times New Roman" w:eastAsia="Arial" w:hAnsi="Times New Roman" w:cs="Arial"/>
                <w:noProof/>
                <w:sz w:val="24"/>
                <w:szCs w:val="20"/>
              </w:rPr>
            </w:pPr>
            <w:r>
              <w:rPr>
                <w:rFonts w:ascii="Times New Roman" w:hAnsi="Times New Roman"/>
                <w:sz w:val="24"/>
              </w:rPr>
              <w:t>nozares ministrijas;</w:t>
            </w:r>
          </w:p>
          <w:p w14:paraId="4E3B4017" w14:textId="718F839D" w:rsidR="00121F0E" w:rsidRDefault="00121F0E" w:rsidP="00121F0E">
            <w:pPr>
              <w:pStyle w:val="ListParagraph"/>
              <w:numPr>
                <w:ilvl w:val="0"/>
                <w:numId w:val="35"/>
              </w:numPr>
              <w:ind w:left="393"/>
              <w:jc w:val="both"/>
              <w:rPr>
                <w:rFonts w:ascii="Times New Roman" w:eastAsia="Arial" w:hAnsi="Times New Roman" w:cs="Arial"/>
                <w:noProof/>
                <w:sz w:val="24"/>
                <w:szCs w:val="20"/>
              </w:rPr>
            </w:pPr>
            <w:r>
              <w:rPr>
                <w:rFonts w:ascii="Times New Roman" w:hAnsi="Times New Roman"/>
                <w:sz w:val="24"/>
              </w:rPr>
              <w:t>ieinteresētās puses, kas saprot regulatīvo procesu</w:t>
            </w:r>
          </w:p>
        </w:tc>
      </w:tr>
      <w:tr w:rsidR="00121F0E" w14:paraId="562135FF" w14:textId="77777777" w:rsidTr="00486953">
        <w:tc>
          <w:tcPr>
            <w:tcW w:w="4531" w:type="dxa"/>
          </w:tcPr>
          <w:p w14:paraId="48910EDE" w14:textId="4C830E8C" w:rsidR="00121F0E" w:rsidRDefault="00121F0E" w:rsidP="00121F0E">
            <w:pPr>
              <w:jc w:val="both"/>
              <w:rPr>
                <w:rFonts w:ascii="Times New Roman" w:eastAsia="Arial" w:hAnsi="Times New Roman" w:cs="Arial"/>
                <w:noProof/>
                <w:sz w:val="24"/>
                <w:szCs w:val="20"/>
              </w:rPr>
            </w:pPr>
            <w:r>
              <w:rPr>
                <w:rFonts w:ascii="Times New Roman" w:eastAsia="Arial" w:hAnsi="Times New Roman" w:cs="Arial"/>
                <w:noProof/>
                <w:sz w:val="24"/>
                <w:szCs w:val="20"/>
              </w:rPr>
              <w:t>Sector-specific</w:t>
            </w:r>
          </w:p>
        </w:tc>
        <w:tc>
          <w:tcPr>
            <w:tcW w:w="4531" w:type="dxa"/>
          </w:tcPr>
          <w:p w14:paraId="7FF431A3" w14:textId="29B92116" w:rsidR="00121F0E" w:rsidRDefault="00121F0E" w:rsidP="00121F0E">
            <w:pPr>
              <w:jc w:val="both"/>
              <w:rPr>
                <w:rFonts w:ascii="Times New Roman" w:eastAsia="Arial" w:hAnsi="Times New Roman" w:cs="Arial"/>
                <w:noProof/>
                <w:sz w:val="24"/>
                <w:szCs w:val="20"/>
              </w:rPr>
            </w:pPr>
            <w:r>
              <w:rPr>
                <w:rFonts w:ascii="Times New Roman" w:hAnsi="Times New Roman"/>
                <w:sz w:val="24"/>
              </w:rPr>
              <w:t>Attiecas uz konkrētu nozari</w:t>
            </w:r>
          </w:p>
        </w:tc>
      </w:tr>
      <w:tr w:rsidR="00121F0E" w14:paraId="62117BBA" w14:textId="77777777" w:rsidTr="00486953">
        <w:tc>
          <w:tcPr>
            <w:tcW w:w="4531" w:type="dxa"/>
          </w:tcPr>
          <w:p w14:paraId="5321542C" w14:textId="5AD1E06F" w:rsidR="00121F0E" w:rsidRDefault="00121F0E" w:rsidP="00121F0E">
            <w:pPr>
              <w:jc w:val="both"/>
              <w:rPr>
                <w:rFonts w:ascii="Times New Roman" w:eastAsia="Arial" w:hAnsi="Times New Roman" w:cs="Arial"/>
                <w:noProof/>
                <w:sz w:val="24"/>
                <w:szCs w:val="20"/>
              </w:rPr>
            </w:pPr>
            <w:r>
              <w:rPr>
                <w:rFonts w:ascii="Times New Roman" w:eastAsia="Arial" w:hAnsi="Times New Roman" w:cs="Arial"/>
                <w:noProof/>
                <w:sz w:val="24"/>
                <w:szCs w:val="20"/>
              </w:rPr>
              <w:lastRenderedPageBreak/>
              <w:t>Horizontal with significant effect</w:t>
            </w:r>
          </w:p>
        </w:tc>
        <w:tc>
          <w:tcPr>
            <w:tcW w:w="4531" w:type="dxa"/>
          </w:tcPr>
          <w:p w14:paraId="40A70256" w14:textId="3E3716FE" w:rsidR="00121F0E" w:rsidRDefault="00121F0E" w:rsidP="00121F0E">
            <w:pPr>
              <w:jc w:val="both"/>
              <w:rPr>
                <w:rFonts w:ascii="Times New Roman" w:eastAsia="Arial" w:hAnsi="Times New Roman" w:cs="Arial"/>
                <w:noProof/>
                <w:sz w:val="24"/>
                <w:szCs w:val="20"/>
              </w:rPr>
            </w:pPr>
            <w:r>
              <w:rPr>
                <w:rFonts w:ascii="Times New Roman" w:hAnsi="Times New Roman"/>
                <w:sz w:val="24"/>
              </w:rPr>
              <w:t>Ievērojama ietekme horizontālā līmenī</w:t>
            </w:r>
          </w:p>
        </w:tc>
      </w:tr>
    </w:tbl>
    <w:p w14:paraId="770B8262" w14:textId="0F95CE75" w:rsidR="00946605" w:rsidRPr="00946605" w:rsidRDefault="00946605" w:rsidP="004D11C9">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486953" w14:paraId="5A3A9D15" w14:textId="77777777" w:rsidTr="00486953">
        <w:tc>
          <w:tcPr>
            <w:tcW w:w="9062" w:type="dxa"/>
          </w:tcPr>
          <w:p w14:paraId="056A4DE2" w14:textId="76AF8935" w:rsidR="00486953" w:rsidRPr="00486953" w:rsidRDefault="00486953" w:rsidP="00486953">
            <w:pPr>
              <w:jc w:val="center"/>
              <w:rPr>
                <w:rFonts w:ascii="Times New Roman" w:eastAsia="Arial" w:hAnsi="Times New Roman" w:cs="Arial"/>
                <w:noProof/>
                <w:sz w:val="24"/>
                <w:szCs w:val="20"/>
              </w:rPr>
            </w:pPr>
            <w:r>
              <w:rPr>
                <w:rFonts w:ascii="Times New Roman" w:hAnsi="Times New Roman"/>
                <w:b/>
                <w:sz w:val="24"/>
              </w:rPr>
              <w:t>7. ierāmējums. Tūrisma nozares kartēšana Grieķijā</w:t>
            </w:r>
          </w:p>
        </w:tc>
      </w:tr>
      <w:tr w:rsidR="00486953" w14:paraId="1476CA13" w14:textId="77777777" w:rsidTr="00486953">
        <w:tc>
          <w:tcPr>
            <w:tcW w:w="9062" w:type="dxa"/>
          </w:tcPr>
          <w:p w14:paraId="490A3DAC" w14:textId="77777777" w:rsidR="00486953" w:rsidRPr="004D11C9" w:rsidRDefault="00486953" w:rsidP="00486953">
            <w:pPr>
              <w:jc w:val="both"/>
              <w:rPr>
                <w:rFonts w:ascii="Times New Roman" w:eastAsia="Arial" w:hAnsi="Times New Roman" w:cs="Arial"/>
                <w:noProof/>
                <w:sz w:val="24"/>
                <w:szCs w:val="18"/>
              </w:rPr>
            </w:pPr>
            <w:r>
              <w:rPr>
                <w:rFonts w:ascii="Times New Roman" w:hAnsi="Times New Roman"/>
                <w:sz w:val="24"/>
              </w:rPr>
              <w:t xml:space="preserve">Standartizētu nozares kodu izmantošanas pieeja nebija piemērojama tūrisma nozares noteikšanai Grieķijā, jo </w:t>
            </w:r>
            <w:r>
              <w:rPr>
                <w:rFonts w:ascii="Times New Roman" w:hAnsi="Times New Roman"/>
                <w:i/>
                <w:sz w:val="24"/>
              </w:rPr>
              <w:t>NACE</w:t>
            </w:r>
            <w:r>
              <w:rPr>
                <w:rFonts w:ascii="Times New Roman" w:hAnsi="Times New Roman"/>
                <w:sz w:val="24"/>
              </w:rPr>
              <w:t xml:space="preserve"> klasifikācijā šādas kategorijas nav. Ņemot vērā šo ierobežojumu, ESAO projekta grupa, kas pārskatīja nozares regulējumu, noteica, ka, no vienas puses, tūrisma nozarē ietilpst darbības, kas ir Tūrisma ministrijas un/vai tās pārraudzībā esošo struktūru kompetencē, un darbības, kas ir Jūras lietu un Egejas jūras ministrijas Jūras tūrisma direktorāta un Jūras atpūtas un tūrisma departamenta kompetencē, un, no otras puses, tūrisma nozarē ietilpst visas darbības, kas piemērojamajā tiesiskajā regulējumā tiek klasificētas kā “tūrisma” darbības.</w:t>
            </w:r>
          </w:p>
          <w:p w14:paraId="28ECC175" w14:textId="77777777" w:rsidR="00486953" w:rsidRPr="004D11C9" w:rsidRDefault="00486953" w:rsidP="00486953">
            <w:pPr>
              <w:jc w:val="both"/>
              <w:rPr>
                <w:rFonts w:ascii="Times New Roman" w:eastAsia="Arial" w:hAnsi="Times New Roman" w:cs="Arial"/>
                <w:b/>
                <w:bCs/>
                <w:noProof/>
                <w:sz w:val="24"/>
                <w:szCs w:val="21"/>
              </w:rPr>
            </w:pPr>
          </w:p>
          <w:p w14:paraId="15A9217F" w14:textId="616C7785" w:rsidR="00486953" w:rsidRPr="00486953" w:rsidRDefault="00486953" w:rsidP="004D11C9">
            <w:pPr>
              <w:jc w:val="both"/>
              <w:rPr>
                <w:rFonts w:ascii="Times New Roman" w:eastAsia="Arial" w:hAnsi="Times New Roman" w:cs="Arial"/>
                <w:noProof/>
                <w:sz w:val="24"/>
                <w:szCs w:val="18"/>
              </w:rPr>
            </w:pPr>
            <w:r>
              <w:rPr>
                <w:rFonts w:ascii="Times New Roman" w:hAnsi="Times New Roman"/>
                <w:i/>
                <w:sz w:val="24"/>
              </w:rPr>
              <w:t>Avots</w:t>
            </w:r>
            <w:r>
              <w:rPr>
                <w:rFonts w:ascii="Times New Roman" w:hAnsi="Times New Roman"/>
                <w:sz w:val="24"/>
              </w:rPr>
              <w:t>: ESAO (2014).</w:t>
            </w:r>
          </w:p>
        </w:tc>
      </w:tr>
    </w:tbl>
    <w:p w14:paraId="4C505CAD" w14:textId="77777777" w:rsidR="000A6469" w:rsidRPr="004D11C9" w:rsidRDefault="000A6469" w:rsidP="004D11C9">
      <w:pPr>
        <w:jc w:val="both"/>
        <w:rPr>
          <w:rFonts w:ascii="Times New Roman" w:eastAsia="Arial" w:hAnsi="Times New Roman" w:cs="Arial"/>
          <w:b/>
          <w:bCs/>
          <w:noProof/>
          <w:sz w:val="24"/>
          <w:szCs w:val="19"/>
        </w:rPr>
      </w:pPr>
      <w:bookmarkStart w:id="36" w:name="_bookmark13"/>
      <w:bookmarkEnd w:id="36"/>
    </w:p>
    <w:p w14:paraId="42004678" w14:textId="728F6149" w:rsidR="000A6469" w:rsidRPr="001A796E" w:rsidRDefault="00486953" w:rsidP="001A796E">
      <w:pPr>
        <w:pStyle w:val="Heading3"/>
        <w:tabs>
          <w:tab w:val="left" w:pos="561"/>
        </w:tabs>
        <w:ind w:left="0"/>
        <w:jc w:val="both"/>
        <w:rPr>
          <w:rFonts w:ascii="Times New Roman" w:hAnsi="Times New Roman"/>
          <w:bCs w:val="0"/>
          <w:noProof/>
          <w:sz w:val="24"/>
        </w:rPr>
      </w:pPr>
      <w:bookmarkStart w:id="37" w:name="3._Identifying_the_key_policies"/>
      <w:bookmarkStart w:id="38" w:name="_bookmark14"/>
      <w:bookmarkStart w:id="39" w:name="_Toc62650471"/>
      <w:bookmarkEnd w:id="37"/>
      <w:bookmarkEnd w:id="38"/>
      <w:r w:rsidRPr="001A796E">
        <w:rPr>
          <w:rFonts w:ascii="Times New Roman" w:hAnsi="Times New Roman"/>
          <w:bCs w:val="0"/>
          <w:sz w:val="24"/>
        </w:rPr>
        <w:t>3. Galveno politikas pasākumu noteikšana</w:t>
      </w:r>
      <w:bookmarkEnd w:id="39"/>
    </w:p>
    <w:p w14:paraId="1F9C3978" w14:textId="77777777" w:rsidR="000A6469" w:rsidRPr="004D11C9" w:rsidRDefault="000A6469" w:rsidP="004D11C9">
      <w:pPr>
        <w:jc w:val="both"/>
        <w:rPr>
          <w:rFonts w:ascii="Times New Roman" w:eastAsia="Arial" w:hAnsi="Times New Roman" w:cs="Arial"/>
          <w:b/>
          <w:bCs/>
          <w:noProof/>
          <w:sz w:val="24"/>
          <w:szCs w:val="21"/>
        </w:rPr>
      </w:pPr>
    </w:p>
    <w:p w14:paraId="47557C32"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Paredzams, ka saraksts ar visiem normatīvajiem aktiem, kas ir būtiski konkrētai tautsaimniecības nozarei, būs ļoti apjomīgs. Tādēļ var būt nepieciešami papildu vienkāršojumi. Lai ierobežotu to politikas pasākumu sarakstu, kam jāpievērš uzmanība, var rīkoties šādi:</w:t>
      </w:r>
    </w:p>
    <w:p w14:paraId="358A6E92" w14:textId="77777777" w:rsidR="000A6469" w:rsidRPr="004D11C9" w:rsidRDefault="000A6469" w:rsidP="004D11C9">
      <w:pPr>
        <w:jc w:val="both"/>
        <w:rPr>
          <w:rFonts w:ascii="Times New Roman" w:eastAsia="Arial" w:hAnsi="Times New Roman" w:cs="Arial"/>
          <w:noProof/>
          <w:sz w:val="24"/>
          <w:szCs w:val="20"/>
        </w:rPr>
      </w:pPr>
    </w:p>
    <w:p w14:paraId="1AC099CE" w14:textId="69AE93F0" w:rsidR="000A6469" w:rsidRPr="004D11C9" w:rsidRDefault="00486953" w:rsidP="00486953">
      <w:pPr>
        <w:pStyle w:val="BodyText"/>
        <w:tabs>
          <w:tab w:val="left" w:pos="1163"/>
        </w:tabs>
        <w:ind w:left="0" w:firstLine="0"/>
        <w:jc w:val="both"/>
        <w:rPr>
          <w:rFonts w:ascii="Times New Roman" w:hAnsi="Times New Roman"/>
          <w:noProof/>
          <w:sz w:val="24"/>
        </w:rPr>
      </w:pPr>
      <w:r>
        <w:rPr>
          <w:rFonts w:ascii="Times New Roman" w:hAnsi="Times New Roman"/>
          <w:sz w:val="24"/>
        </w:rPr>
        <w:t>1. vispirms atlasa ietvarlikumus, kas attiecas uz visu nozari;</w:t>
      </w:r>
    </w:p>
    <w:p w14:paraId="69D9213E" w14:textId="173D7E26" w:rsidR="000A6469" w:rsidRPr="004D11C9" w:rsidRDefault="00486953" w:rsidP="00486953">
      <w:pPr>
        <w:pStyle w:val="BodyText"/>
        <w:tabs>
          <w:tab w:val="left" w:pos="1163"/>
        </w:tabs>
        <w:ind w:left="0" w:firstLine="0"/>
        <w:jc w:val="both"/>
        <w:rPr>
          <w:rFonts w:ascii="Times New Roman" w:hAnsi="Times New Roman"/>
          <w:noProof/>
          <w:sz w:val="24"/>
        </w:rPr>
      </w:pPr>
      <w:r>
        <w:rPr>
          <w:rFonts w:ascii="Times New Roman" w:hAnsi="Times New Roman"/>
          <w:sz w:val="24"/>
        </w:rPr>
        <w:t>2. izslēdz novecojušos normatīvos aktus, kas ir aizstāti ar jaunākiem normatīvajiem aktiem (ievērojot, ka dažkārt normatīvajā aktā tiek atcelts vai aizstāts tikai viens pants);</w:t>
      </w:r>
    </w:p>
    <w:p w14:paraId="49DD2436" w14:textId="134A5693" w:rsidR="000A6469" w:rsidRPr="004D11C9" w:rsidRDefault="00486953" w:rsidP="00486953">
      <w:pPr>
        <w:pStyle w:val="BodyText"/>
        <w:tabs>
          <w:tab w:val="left" w:pos="1163"/>
        </w:tabs>
        <w:ind w:left="0" w:firstLine="0"/>
        <w:jc w:val="both"/>
        <w:rPr>
          <w:rFonts w:ascii="Times New Roman" w:hAnsi="Times New Roman"/>
          <w:noProof/>
          <w:sz w:val="24"/>
        </w:rPr>
      </w:pPr>
      <w:r>
        <w:rPr>
          <w:rFonts w:ascii="Times New Roman" w:hAnsi="Times New Roman"/>
          <w:sz w:val="24"/>
        </w:rPr>
        <w:t>3. izslēdz novecojušos normatīvos aktus, kas joprojām ir spēkā, bet kropļo konkurenci, iesakot atcelt šos normatīvos aktus;</w:t>
      </w:r>
    </w:p>
    <w:p w14:paraId="43C2F98B" w14:textId="71A6D8C1" w:rsidR="000A6469" w:rsidRPr="004D11C9" w:rsidRDefault="00486953" w:rsidP="00486953">
      <w:pPr>
        <w:pStyle w:val="BodyText"/>
        <w:tabs>
          <w:tab w:val="left" w:pos="1163"/>
        </w:tabs>
        <w:ind w:left="0" w:firstLine="0"/>
        <w:jc w:val="both"/>
        <w:rPr>
          <w:rFonts w:ascii="Times New Roman" w:hAnsi="Times New Roman"/>
          <w:noProof/>
          <w:sz w:val="24"/>
        </w:rPr>
      </w:pPr>
      <w:r>
        <w:rPr>
          <w:rFonts w:ascii="Times New Roman" w:hAnsi="Times New Roman"/>
          <w:sz w:val="24"/>
        </w:rPr>
        <w:t>4. neņem vērā tos normatīvos aktus, ar ko transponē starptautiskos nolīgumus un līgumus vai pārnacionālas direktīvas (piemēram, ES direktīvas), ja tos nav atļauts papildināt un grozīt.</w:t>
      </w:r>
    </w:p>
    <w:p w14:paraId="29EC1FBD" w14:textId="77777777" w:rsidR="000A6469" w:rsidRPr="004D11C9" w:rsidRDefault="000A6469" w:rsidP="004D11C9">
      <w:pPr>
        <w:jc w:val="both"/>
        <w:rPr>
          <w:rFonts w:ascii="Times New Roman" w:eastAsia="Arial" w:hAnsi="Times New Roman" w:cs="Arial"/>
          <w:noProof/>
          <w:sz w:val="24"/>
          <w:szCs w:val="20"/>
        </w:rPr>
      </w:pPr>
    </w:p>
    <w:p w14:paraId="628A721F"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Šajā posmā ir jāizmanto pārbaudes lapa, lai noteiktu tos politikas pasākumus, kam var būt nelabvēlīga ietekme uz konkurenci.</w:t>
      </w:r>
    </w:p>
    <w:p w14:paraId="7448EEA4" w14:textId="34600044" w:rsidR="000A6469" w:rsidRPr="004D11C9" w:rsidRDefault="000A6469" w:rsidP="004D11C9">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486953" w14:paraId="3A4BA0D6" w14:textId="77777777" w:rsidTr="00486953">
        <w:tc>
          <w:tcPr>
            <w:tcW w:w="9062" w:type="dxa"/>
          </w:tcPr>
          <w:p w14:paraId="4ACD71C9" w14:textId="77777777" w:rsidR="00486953" w:rsidRPr="004D11C9" w:rsidRDefault="00486953" w:rsidP="00486953">
            <w:pPr>
              <w:jc w:val="both"/>
              <w:rPr>
                <w:rFonts w:ascii="Times New Roman" w:hAnsi="Times New Roman"/>
                <w:b/>
                <w:noProof/>
                <w:sz w:val="24"/>
              </w:rPr>
            </w:pPr>
            <w:r>
              <w:rPr>
                <w:rFonts w:ascii="Times New Roman" w:hAnsi="Times New Roman"/>
                <w:b/>
                <w:sz w:val="24"/>
              </w:rPr>
              <w:t>Detalizēts piemērs.</w:t>
            </w:r>
          </w:p>
          <w:p w14:paraId="12AE0D94" w14:textId="144B7874" w:rsidR="00486953" w:rsidRPr="00486953" w:rsidRDefault="00486953" w:rsidP="004D11C9">
            <w:pPr>
              <w:jc w:val="both"/>
              <w:rPr>
                <w:rFonts w:ascii="Times New Roman" w:hAnsi="Times New Roman"/>
                <w:b/>
                <w:noProof/>
                <w:sz w:val="24"/>
              </w:rPr>
            </w:pPr>
            <w:r>
              <w:rPr>
                <w:rFonts w:ascii="Times New Roman" w:hAnsi="Times New Roman"/>
                <w:b/>
                <w:sz w:val="24"/>
              </w:rPr>
              <w:t>Ieteikumi par konkurenci farmaceitisko līdzekļu nozarē</w:t>
            </w:r>
          </w:p>
        </w:tc>
      </w:tr>
      <w:tr w:rsidR="00486953" w14:paraId="1E86D3EF" w14:textId="77777777" w:rsidTr="00486953">
        <w:tc>
          <w:tcPr>
            <w:tcW w:w="9062" w:type="dxa"/>
          </w:tcPr>
          <w:p w14:paraId="227C7878" w14:textId="69936484" w:rsidR="00486953" w:rsidRPr="004D11C9" w:rsidRDefault="00486953" w:rsidP="00486953">
            <w:pPr>
              <w:jc w:val="both"/>
              <w:rPr>
                <w:rFonts w:ascii="Times New Roman" w:hAnsi="Times New Roman"/>
                <w:i/>
                <w:noProof/>
                <w:sz w:val="24"/>
              </w:rPr>
            </w:pPr>
            <w:r>
              <w:rPr>
                <w:rFonts w:ascii="Times New Roman" w:hAnsi="Times New Roman"/>
                <w:i/>
                <w:sz w:val="24"/>
              </w:rPr>
              <w:t xml:space="preserve">Šajā ierāmējumā ir sākts detalizēta piemēra izklāsts, kurā būs atspoguļoti katrā šīs rokasgrāmatas nodaļā apspriestie soļi. Šajā pirmajā daļā ir sniegta ievadinformācija par nozari, konkrētiem noteikumiem un </w:t>
            </w:r>
            <w:r w:rsidR="00A901B1">
              <w:rPr>
                <w:rFonts w:ascii="Times New Roman" w:hAnsi="Times New Roman"/>
                <w:i/>
                <w:sz w:val="24"/>
              </w:rPr>
              <w:t>regulatīvo</w:t>
            </w:r>
            <w:r>
              <w:rPr>
                <w:rFonts w:ascii="Times New Roman" w:hAnsi="Times New Roman"/>
                <w:i/>
                <w:sz w:val="24"/>
              </w:rPr>
              <w:t xml:space="preserve"> vidi. Piemērā netiek precīzi atspoguļots kāds konkrēts regulējums konkrētā valstī, bet gan, izmantojot vienu gadījumu, tiek parādīts, kā konkurences novērtējums var darboties praksē. Tas, ka piemērā ir apspriesti farmaceitiskie produkti, nenozīmē, ka farmaceitisko līdzekļu regulējumam ir īpaši nepieciešams konkurences novērtējums.</w:t>
            </w:r>
          </w:p>
          <w:p w14:paraId="1C264EF1" w14:textId="77777777" w:rsidR="00486953" w:rsidRPr="004D11C9" w:rsidRDefault="00486953" w:rsidP="00486953">
            <w:pPr>
              <w:jc w:val="both"/>
              <w:rPr>
                <w:rFonts w:ascii="Times New Roman" w:eastAsia="Arial" w:hAnsi="Times New Roman" w:cs="Arial"/>
                <w:i/>
                <w:noProof/>
                <w:sz w:val="24"/>
                <w:szCs w:val="14"/>
              </w:rPr>
            </w:pPr>
          </w:p>
          <w:p w14:paraId="04AF21A3" w14:textId="77777777" w:rsidR="00486953" w:rsidRPr="004D11C9" w:rsidRDefault="00486953" w:rsidP="00486953">
            <w:pPr>
              <w:jc w:val="both"/>
              <w:rPr>
                <w:rFonts w:ascii="Times New Roman" w:hAnsi="Times New Roman"/>
                <w:b/>
                <w:noProof/>
                <w:sz w:val="24"/>
              </w:rPr>
            </w:pPr>
            <w:r>
              <w:rPr>
                <w:rFonts w:ascii="Times New Roman" w:hAnsi="Times New Roman"/>
                <w:b/>
                <w:sz w:val="24"/>
              </w:rPr>
              <w:t>Ievads</w:t>
            </w:r>
          </w:p>
          <w:p w14:paraId="4DAA1287" w14:textId="77777777" w:rsidR="00486953" w:rsidRPr="004D11C9" w:rsidRDefault="00486953" w:rsidP="00486953">
            <w:pPr>
              <w:jc w:val="both"/>
              <w:rPr>
                <w:rFonts w:ascii="Times New Roman" w:eastAsia="Arial" w:hAnsi="Times New Roman" w:cs="Arial"/>
                <w:b/>
                <w:bCs/>
                <w:noProof/>
                <w:sz w:val="24"/>
                <w:szCs w:val="14"/>
              </w:rPr>
            </w:pPr>
          </w:p>
          <w:p w14:paraId="1095943F" w14:textId="77777777" w:rsidR="00486953" w:rsidRPr="004D11C9" w:rsidRDefault="00486953" w:rsidP="00486953">
            <w:pPr>
              <w:jc w:val="both"/>
              <w:rPr>
                <w:rFonts w:ascii="Times New Roman" w:eastAsia="Arial" w:hAnsi="Times New Roman" w:cs="Arial"/>
                <w:noProof/>
                <w:sz w:val="24"/>
                <w:szCs w:val="18"/>
              </w:rPr>
            </w:pPr>
            <w:r>
              <w:rPr>
                <w:rFonts w:ascii="Times New Roman" w:hAnsi="Times New Roman"/>
                <w:sz w:val="24"/>
              </w:rPr>
              <w:t xml:space="preserve">Šajā ziņojumā izklāstīti Veselības ministrijas konstatētie fakti un ieteikumi, reaģējot uz veselības ministra 2013. gada janvāra rīkojumu ministrijai izpētīt un ieteikt iespējamās konkurenci veicinošās reformas farmaceitisko līdzekļu nozarē. Rīkojuma pamatā ir valdības apņemšanās palielināt labumu, ko patērētājiem un tautsaimniecībai rada konkurence, kā arī pētījumu izraisītas bažas par to, ka farmaceitisko līdzekļu izmaksas valstī ir pārmērīgi augstas salīdzinājumā ar citām valstīm. Farmaceitisko līdzekļu izmaksas 9,7 miljardu USD apmērā </w:t>
            </w:r>
            <w:r>
              <w:rPr>
                <w:rFonts w:ascii="Times New Roman" w:hAnsi="Times New Roman"/>
                <w:sz w:val="24"/>
              </w:rPr>
              <w:lastRenderedPageBreak/>
              <w:t>2011. gadā veidoja gandrīz 20 % no visām veselības aprūpes izmaksām, savukārt ESAO kopumā šādu izmaksu īpatsvars vidēji bija 16 %.</w:t>
            </w:r>
          </w:p>
          <w:p w14:paraId="5564E823" w14:textId="77777777" w:rsidR="00486953" w:rsidRPr="004D11C9" w:rsidRDefault="00486953" w:rsidP="00486953">
            <w:pPr>
              <w:jc w:val="both"/>
              <w:rPr>
                <w:rFonts w:ascii="Times New Roman" w:eastAsia="Arial" w:hAnsi="Times New Roman" w:cs="Arial"/>
                <w:noProof/>
                <w:sz w:val="24"/>
                <w:szCs w:val="26"/>
              </w:rPr>
            </w:pPr>
          </w:p>
          <w:p w14:paraId="1B2A69D9" w14:textId="77777777" w:rsidR="00486953" w:rsidRDefault="00486953" w:rsidP="00486953">
            <w:pPr>
              <w:jc w:val="both"/>
              <w:rPr>
                <w:rFonts w:ascii="Times New Roman" w:hAnsi="Times New Roman"/>
                <w:noProof/>
                <w:sz w:val="24"/>
              </w:rPr>
            </w:pPr>
            <w:r>
              <w:rPr>
                <w:rFonts w:ascii="Times New Roman" w:hAnsi="Times New Roman"/>
                <w:sz w:val="24"/>
              </w:rPr>
              <w:t>Faktori, ko ministrs ir uzdevis ministrijai ņemt vērā ieteikumu izstrādē:</w:t>
            </w:r>
          </w:p>
          <w:p w14:paraId="452B6939" w14:textId="77777777" w:rsidR="00486953" w:rsidRPr="004D11C9" w:rsidRDefault="00486953" w:rsidP="00486953">
            <w:pPr>
              <w:jc w:val="both"/>
              <w:rPr>
                <w:rFonts w:ascii="Times New Roman" w:hAnsi="Times New Roman"/>
                <w:noProof/>
                <w:sz w:val="24"/>
              </w:rPr>
            </w:pPr>
          </w:p>
          <w:p w14:paraId="2D707CCF" w14:textId="77777777" w:rsidR="00486953" w:rsidRPr="004D11C9" w:rsidRDefault="00486953" w:rsidP="00486953">
            <w:pPr>
              <w:numPr>
                <w:ilvl w:val="1"/>
                <w:numId w:val="24"/>
              </w:numPr>
              <w:ind w:left="426" w:hanging="426"/>
              <w:jc w:val="both"/>
              <w:rPr>
                <w:rFonts w:ascii="Times New Roman" w:hAnsi="Times New Roman"/>
                <w:noProof/>
                <w:sz w:val="24"/>
              </w:rPr>
            </w:pPr>
            <w:r>
              <w:rPr>
                <w:rFonts w:ascii="Times New Roman" w:hAnsi="Times New Roman"/>
                <w:sz w:val="24"/>
              </w:rPr>
              <w:t>ieteikumu ietekme uz farmaceitisko līdzekļu izmaksām;</w:t>
            </w:r>
          </w:p>
          <w:p w14:paraId="4F70E784" w14:textId="77777777" w:rsidR="00486953" w:rsidRPr="004D11C9" w:rsidRDefault="00486953" w:rsidP="00486953">
            <w:pPr>
              <w:numPr>
                <w:ilvl w:val="1"/>
                <w:numId w:val="24"/>
              </w:numPr>
              <w:ind w:left="426" w:hanging="426"/>
              <w:jc w:val="both"/>
              <w:rPr>
                <w:rFonts w:ascii="Times New Roman" w:hAnsi="Times New Roman"/>
                <w:noProof/>
                <w:sz w:val="24"/>
              </w:rPr>
            </w:pPr>
            <w:r>
              <w:rPr>
                <w:rFonts w:ascii="Times New Roman" w:hAnsi="Times New Roman"/>
                <w:sz w:val="24"/>
              </w:rPr>
              <w:t>ieteikumu īstenošana un pastāvošie šķēršļi un izmaksas;</w:t>
            </w:r>
          </w:p>
          <w:p w14:paraId="396E9662" w14:textId="77777777" w:rsidR="00486953" w:rsidRPr="004D11C9" w:rsidRDefault="00486953" w:rsidP="00486953">
            <w:pPr>
              <w:numPr>
                <w:ilvl w:val="1"/>
                <w:numId w:val="24"/>
              </w:numPr>
              <w:ind w:left="426" w:hanging="426"/>
              <w:jc w:val="both"/>
              <w:rPr>
                <w:rFonts w:ascii="Times New Roman" w:hAnsi="Times New Roman"/>
                <w:noProof/>
                <w:sz w:val="24"/>
              </w:rPr>
            </w:pPr>
            <w:r>
              <w:rPr>
                <w:rFonts w:ascii="Times New Roman" w:hAnsi="Times New Roman"/>
                <w:sz w:val="24"/>
              </w:rPr>
              <w:t>ieteikumu ietekme uz veselības aprūpes sistēmas kvalitāti un efektivitāti;</w:t>
            </w:r>
          </w:p>
          <w:p w14:paraId="628C08DD" w14:textId="77777777" w:rsidR="00486953" w:rsidRPr="004D11C9" w:rsidRDefault="00486953" w:rsidP="00486953">
            <w:pPr>
              <w:numPr>
                <w:ilvl w:val="1"/>
                <w:numId w:val="24"/>
              </w:numPr>
              <w:ind w:left="426" w:hanging="426"/>
              <w:jc w:val="both"/>
              <w:rPr>
                <w:rFonts w:ascii="Times New Roman" w:hAnsi="Times New Roman"/>
                <w:noProof/>
                <w:sz w:val="24"/>
              </w:rPr>
            </w:pPr>
            <w:r>
              <w:rPr>
                <w:rFonts w:ascii="Times New Roman" w:hAnsi="Times New Roman"/>
                <w:sz w:val="24"/>
              </w:rPr>
              <w:t>paredzamais sabiedrības un veselības nozares atbalsts ieteikumiem vai iebildumi pret šādiem ieteikumiem.</w:t>
            </w:r>
          </w:p>
          <w:p w14:paraId="313CE944" w14:textId="77777777" w:rsidR="00486953" w:rsidRPr="004D11C9" w:rsidRDefault="00486953" w:rsidP="00486953">
            <w:pPr>
              <w:jc w:val="both"/>
              <w:rPr>
                <w:rFonts w:ascii="Times New Roman" w:eastAsia="Arial" w:hAnsi="Times New Roman" w:cs="Arial"/>
                <w:noProof/>
                <w:sz w:val="24"/>
                <w:szCs w:val="13"/>
              </w:rPr>
            </w:pPr>
          </w:p>
          <w:p w14:paraId="08CDAD86" w14:textId="77777777" w:rsidR="00486953" w:rsidRPr="004D11C9" w:rsidRDefault="00486953" w:rsidP="00486953">
            <w:pPr>
              <w:jc w:val="both"/>
              <w:rPr>
                <w:rFonts w:ascii="Times New Roman" w:eastAsia="Arial" w:hAnsi="Times New Roman" w:cs="Arial"/>
                <w:noProof/>
                <w:sz w:val="24"/>
                <w:szCs w:val="18"/>
              </w:rPr>
            </w:pPr>
            <w:r>
              <w:rPr>
                <w:rFonts w:ascii="Times New Roman" w:hAnsi="Times New Roman"/>
                <w:sz w:val="24"/>
              </w:rPr>
              <w:t>Ziņojums ir veidots tā, kā minēts turpmāk. Ziņojuma 1. daļā sniegta vispārēja informācija par farmaceitiskajiem līdzekļiem. Ziņojuma 2. daļā ir noteikts ministrijas veiktās pārbaudes tvērums, ņemot vērā farmācijas nozarei piemērotā tiesiskā regulējuma, normatīvo aktu un politikas potenciālu nepamatoti kropļot konkurenci. Ziņojuma 3. daļā, izmantojot ESAO konkurences novērtēšanas pārbaudes lapu (“pārbaudes lapa”), ir noteikti noteikumi, kam var būt ievērojama pret konkurenci vērsta ietekme. Ziņojuma 4. daļā sniegts sākotnējais konkurences novērtējums par ierobežojumiem, kas identificēti, izmantojot pārbaudes lapu, lai noskaidrotu ierobežojumus, kuri pamato padziļinātas analīzes nepieciešamību, un izklāstīti padziļinātās analīzes galvenie secinājumi. Ziņojuma 5. daļā izklāstīti iespējamie risinājumi, kā novērst 4. daļā minētās konkurences problēmas. Ziņojuma 6. daļā analizētas un salīdzinātas potenciālās reformas iespējas. Visbeidzot, 7. daļā ir sniegti ieteikumi par reformām.</w:t>
            </w:r>
          </w:p>
          <w:p w14:paraId="55869CA9" w14:textId="77777777" w:rsidR="00486953" w:rsidRPr="004D11C9" w:rsidRDefault="00486953" w:rsidP="00486953">
            <w:pPr>
              <w:jc w:val="both"/>
              <w:rPr>
                <w:rFonts w:ascii="Times New Roman" w:eastAsia="Arial" w:hAnsi="Times New Roman" w:cs="Arial"/>
                <w:noProof/>
                <w:sz w:val="24"/>
                <w:szCs w:val="14"/>
              </w:rPr>
            </w:pPr>
          </w:p>
          <w:p w14:paraId="2834D4F7" w14:textId="77777777" w:rsidR="00486953" w:rsidRPr="004D11C9" w:rsidRDefault="00486953" w:rsidP="00486953">
            <w:pPr>
              <w:jc w:val="both"/>
              <w:rPr>
                <w:rFonts w:ascii="Times New Roman" w:hAnsi="Times New Roman"/>
                <w:b/>
                <w:noProof/>
                <w:sz w:val="24"/>
              </w:rPr>
            </w:pPr>
            <w:r>
              <w:rPr>
                <w:rFonts w:ascii="Times New Roman" w:hAnsi="Times New Roman"/>
                <w:b/>
                <w:sz w:val="24"/>
              </w:rPr>
              <w:t>1. daļa. Vispārēja informācija</w:t>
            </w:r>
          </w:p>
          <w:p w14:paraId="0DDACBD8" w14:textId="77777777" w:rsidR="00486953" w:rsidRPr="004D11C9" w:rsidRDefault="00486953" w:rsidP="00486953">
            <w:pPr>
              <w:jc w:val="both"/>
              <w:rPr>
                <w:rFonts w:ascii="Times New Roman" w:eastAsia="Arial" w:hAnsi="Times New Roman" w:cs="Arial"/>
                <w:b/>
                <w:bCs/>
                <w:noProof/>
                <w:sz w:val="24"/>
                <w:szCs w:val="14"/>
              </w:rPr>
            </w:pPr>
          </w:p>
          <w:p w14:paraId="1DCAD538" w14:textId="77777777" w:rsidR="00486953" w:rsidRDefault="00486953" w:rsidP="00486953">
            <w:pPr>
              <w:jc w:val="both"/>
              <w:rPr>
                <w:rFonts w:ascii="Times New Roman" w:eastAsia="Arial" w:hAnsi="Times New Roman" w:cs="Arial"/>
                <w:noProof/>
                <w:sz w:val="24"/>
                <w:szCs w:val="18"/>
              </w:rPr>
            </w:pPr>
            <w:r>
              <w:rPr>
                <w:rFonts w:ascii="Times New Roman" w:hAnsi="Times New Roman"/>
                <w:sz w:val="24"/>
              </w:rPr>
              <w:t>Farmaceitiskie līdzekļi ir ierobežotas pieejamības medikamenti, ko var izsniegt pacientiem vienīgi tad, ja tie ir iekļauti valsts izsniedzamo zāļu sarakstā. Lai farmaceitiskie līdzekļi tiktu iekļauti valsts sarakstā, tie ir jāapstiprina Veselības ministrijas Farmācijas novērtēšanas nodaļai (“</w:t>
            </w:r>
            <w:r>
              <w:rPr>
                <w:rFonts w:ascii="Times New Roman" w:hAnsi="Times New Roman"/>
                <w:i/>
                <w:sz w:val="24"/>
              </w:rPr>
              <w:t>PAD</w:t>
            </w:r>
            <w:r>
              <w:rPr>
                <w:rFonts w:ascii="Times New Roman" w:hAnsi="Times New Roman"/>
                <w:sz w:val="24"/>
              </w:rPr>
              <w:t>”). Lai noteiktu, vai pievienot farmaceitisko līdzekli sarakstam, nodaļa ņem vērā ražotāja sniegtos pierādījumus par līdzekļa terapeitisko iedarbību un lietošanas drošumu.</w:t>
            </w:r>
          </w:p>
          <w:p w14:paraId="09627E38" w14:textId="77777777" w:rsidR="00486953" w:rsidRPr="004D11C9" w:rsidRDefault="00486953" w:rsidP="00486953">
            <w:pPr>
              <w:jc w:val="both"/>
              <w:rPr>
                <w:rFonts w:ascii="Times New Roman" w:eastAsia="Arial" w:hAnsi="Times New Roman" w:cs="Arial"/>
                <w:noProof/>
                <w:sz w:val="24"/>
                <w:szCs w:val="18"/>
              </w:rPr>
            </w:pPr>
          </w:p>
          <w:p w14:paraId="2290D8A7" w14:textId="77777777" w:rsidR="00486953" w:rsidRDefault="00486953" w:rsidP="00486953">
            <w:pPr>
              <w:jc w:val="both"/>
              <w:rPr>
                <w:rFonts w:ascii="Times New Roman" w:hAnsi="Times New Roman"/>
                <w:noProof/>
                <w:sz w:val="24"/>
              </w:rPr>
            </w:pPr>
            <w:r>
              <w:rPr>
                <w:rFonts w:ascii="Times New Roman" w:hAnsi="Times New Roman"/>
                <w:sz w:val="24"/>
              </w:rPr>
              <w:t>Lielākā daļa farmaceitisko līdzekļu ir mazo molekulu medikamenti (</w:t>
            </w:r>
            <w:r>
              <w:rPr>
                <w:rFonts w:ascii="Times New Roman" w:hAnsi="Times New Roman"/>
                <w:i/>
                <w:sz w:val="24"/>
              </w:rPr>
              <w:t>SMP</w:t>
            </w:r>
            <w:r>
              <w:rPr>
                <w:rFonts w:ascii="Times New Roman" w:hAnsi="Times New Roman"/>
                <w:sz w:val="24"/>
              </w:rPr>
              <w:t>), kam ir viena vai vairākas ķīmiski sintezētas aktīvās vielas (AV). Tomēr palielinās tādu farmaceitisko līdzekļu īpatsvars, kam ir bioloģiska izcelsme, proti, kas ir iegūti no dabīgiem avotiem (bioloģiskie preparāti). Atšķirībā no ķīmiski sintezētām zālēm ar zināmu struktūru vairums bioloģisko preparātu ir sarežģīti savienojumi, ko nav viegli identificēt vai raksturot.</w:t>
            </w:r>
          </w:p>
          <w:p w14:paraId="29D43BE3" w14:textId="77777777" w:rsidR="00486953" w:rsidRPr="004D11C9" w:rsidRDefault="00486953" w:rsidP="00486953">
            <w:pPr>
              <w:jc w:val="both"/>
              <w:rPr>
                <w:rFonts w:ascii="Times New Roman" w:hAnsi="Times New Roman"/>
                <w:noProof/>
                <w:sz w:val="24"/>
              </w:rPr>
            </w:pPr>
          </w:p>
          <w:p w14:paraId="4E0A364D" w14:textId="77777777" w:rsidR="00486953" w:rsidRPr="004D11C9" w:rsidRDefault="00486953" w:rsidP="00486953">
            <w:pPr>
              <w:jc w:val="both"/>
              <w:rPr>
                <w:rFonts w:ascii="Times New Roman" w:eastAsia="Arial" w:hAnsi="Times New Roman" w:cs="Arial"/>
                <w:noProof/>
                <w:sz w:val="24"/>
                <w:szCs w:val="18"/>
              </w:rPr>
            </w:pPr>
            <w:r>
              <w:rPr>
                <w:rFonts w:ascii="Times New Roman" w:hAnsi="Times New Roman"/>
                <w:sz w:val="24"/>
              </w:rPr>
              <w:t>Attiecībā uz farmaceitiskajiem līdzekļiem, kas satur jaunu AV, ir piemērojams sākotnējais 20 gadu patenta tiesību aizsardzības periods. Lai šīs zāles iekļautu valsts izsniedzamo zāļu sarakstā, jāsniedz detalizēti pierādījumi, tostarp plaši klīniskie pētījumi, kas pamato to terapeitisko vērtību un lietošanas drošumu. Arī attiecībā uz šo zāļu uzlabotajām vai mainītajām versijām tiek piemērots 20 gadu patenta aizsardzības periods, ja tās ir uzskatāmas par pietiekami novatoriskām, lai tās varētu patentēt. Farmaceitiskā līdzekļa patenta aizsardzību var pagarināt, ja pēc patenta piešķiršanas ilgstoši aizkavējas to apstiprināšana laišanai tirgū.</w:t>
            </w:r>
          </w:p>
          <w:p w14:paraId="78D202B5" w14:textId="77777777" w:rsidR="00486953" w:rsidRPr="004D11C9" w:rsidRDefault="00486953" w:rsidP="00486953">
            <w:pPr>
              <w:jc w:val="both"/>
              <w:rPr>
                <w:rFonts w:ascii="Times New Roman" w:eastAsia="Arial" w:hAnsi="Times New Roman" w:cs="Arial"/>
                <w:noProof/>
                <w:sz w:val="24"/>
                <w:szCs w:val="19"/>
              </w:rPr>
            </w:pPr>
          </w:p>
          <w:p w14:paraId="2BBED8AF" w14:textId="77777777" w:rsidR="00486953" w:rsidRPr="004D11C9" w:rsidRDefault="00486953" w:rsidP="00486953">
            <w:pPr>
              <w:jc w:val="both"/>
              <w:rPr>
                <w:rFonts w:ascii="Times New Roman" w:eastAsia="Arial" w:hAnsi="Times New Roman" w:cs="Arial"/>
                <w:noProof/>
                <w:sz w:val="24"/>
                <w:szCs w:val="18"/>
              </w:rPr>
            </w:pPr>
            <w:r>
              <w:rPr>
                <w:rFonts w:ascii="Times New Roman" w:hAnsi="Times New Roman"/>
                <w:sz w:val="24"/>
              </w:rPr>
              <w:t xml:space="preserve">Lai ģenerisku </w:t>
            </w:r>
            <w:r>
              <w:rPr>
                <w:rFonts w:ascii="Times New Roman" w:hAnsi="Times New Roman"/>
                <w:i/>
                <w:sz w:val="24"/>
              </w:rPr>
              <w:t>SMP</w:t>
            </w:r>
            <w:r>
              <w:rPr>
                <w:rFonts w:ascii="Times New Roman" w:hAnsi="Times New Roman"/>
                <w:sz w:val="24"/>
              </w:rPr>
              <w:t xml:space="preserve"> versiju (ģeneriskas zāles) pievienotu valsts izsniedzamo zāļu sarakstam, ražotājam ir jāiesniedz </w:t>
            </w:r>
            <w:r>
              <w:rPr>
                <w:rFonts w:ascii="Times New Roman" w:hAnsi="Times New Roman"/>
                <w:i/>
                <w:sz w:val="24"/>
              </w:rPr>
              <w:t>PAD</w:t>
            </w:r>
            <w:r>
              <w:rPr>
                <w:rFonts w:ascii="Times New Roman" w:hAnsi="Times New Roman"/>
                <w:sz w:val="24"/>
              </w:rPr>
              <w:t xml:space="preserve"> pierādījumi, kas apliecina, ka šī versija ir bioloģiski līdzīga attiecīgajām ar firmas zīmi marķētajām zālēm, jo tās AV atbrīvošanās ātruma pakāpe atbilst ar firmas zīmi marķēto zāļu pieļaujamajam atbrīvošanās ātruma pakāpes diapazonam.</w:t>
            </w:r>
          </w:p>
          <w:p w14:paraId="538B8006" w14:textId="77777777" w:rsidR="00486953" w:rsidRPr="004D11C9" w:rsidRDefault="00486953" w:rsidP="00486953">
            <w:pPr>
              <w:jc w:val="both"/>
              <w:rPr>
                <w:rFonts w:ascii="Times New Roman" w:eastAsia="Arial" w:hAnsi="Times New Roman" w:cs="Arial"/>
                <w:noProof/>
                <w:sz w:val="24"/>
                <w:szCs w:val="13"/>
              </w:rPr>
            </w:pPr>
          </w:p>
          <w:p w14:paraId="29BB46D7" w14:textId="77777777" w:rsidR="00486953" w:rsidRDefault="00486953" w:rsidP="00486953">
            <w:pPr>
              <w:jc w:val="both"/>
              <w:rPr>
                <w:rFonts w:ascii="Times New Roman" w:hAnsi="Times New Roman"/>
                <w:noProof/>
                <w:sz w:val="24"/>
              </w:rPr>
            </w:pPr>
            <w:r>
              <w:rPr>
                <w:rFonts w:ascii="Times New Roman" w:hAnsi="Times New Roman"/>
                <w:sz w:val="24"/>
              </w:rPr>
              <w:lastRenderedPageBreak/>
              <w:t xml:space="preserve">Tā kā bioloģiskie preparāti ir salīdzinoši sarežģīti, </w:t>
            </w:r>
            <w:r>
              <w:rPr>
                <w:rFonts w:ascii="Times New Roman" w:hAnsi="Times New Roman"/>
                <w:i/>
                <w:sz w:val="24"/>
              </w:rPr>
              <w:t>PAD</w:t>
            </w:r>
            <w:r>
              <w:rPr>
                <w:rFonts w:ascii="Times New Roman" w:hAnsi="Times New Roman"/>
                <w:sz w:val="24"/>
              </w:rPr>
              <w:t xml:space="preserve"> pieprasa ražotājiem plašākus pierādījumus par šiem preparātiem, lai tos varētu iekļaut valsts izsniedzamo zāļu sarakstā. Šajos pierādījumos ir jāietver klīniskie pētījumi, kas pierāda, ka uzlabotā bioloģiskā preparāta terapeitiskie rezultāti ir līdzvērtīgi attiecīgā ar firmas zīmi marķētā bioloģiskā preparāta terapeitiskajiem rezultātiem.</w:t>
            </w:r>
          </w:p>
          <w:p w14:paraId="109965B9" w14:textId="77777777" w:rsidR="00486953" w:rsidRPr="004D11C9" w:rsidRDefault="00486953" w:rsidP="00486953">
            <w:pPr>
              <w:jc w:val="both"/>
              <w:rPr>
                <w:rFonts w:ascii="Times New Roman" w:hAnsi="Times New Roman"/>
                <w:noProof/>
                <w:sz w:val="24"/>
              </w:rPr>
            </w:pPr>
          </w:p>
          <w:p w14:paraId="67E025D9" w14:textId="77777777" w:rsidR="00486953" w:rsidRDefault="00486953" w:rsidP="00486953">
            <w:pPr>
              <w:jc w:val="both"/>
              <w:rPr>
                <w:rFonts w:ascii="Times New Roman" w:hAnsi="Times New Roman"/>
                <w:noProof/>
                <w:sz w:val="24"/>
              </w:rPr>
            </w:pPr>
            <w:r>
              <w:rPr>
                <w:rFonts w:ascii="Times New Roman" w:hAnsi="Times New Roman"/>
                <w:sz w:val="24"/>
              </w:rPr>
              <w:t>Pacientiem farmaceitiskos līdzekļus var izsniegt tikai tad, ja tos ir izrakstījis ārsts vai noteiktos gadījumos – cits kvalificēts veselības aprūpes speciālists. Izņemot farmaceitiskos līdzekļus, ko ārsti ierobežotā apjomā izsniedz tieši saviem pacientiem, farmaceitisko līdzekļu izsniegšanu nodrošina licencēti farmaceiti. Farmaceitiem ir pienākums izsniegt patentētus produktus, ko ir parakstījuši ārsti, bet tiem ir tiesības aizstāt ar firmas zīmi marķēto produktu ar atbilstošu ģenerisku produktu, ja vien receptē nav norādīts, ka šāda aizstāšana nav pieļaujama.</w:t>
            </w:r>
          </w:p>
          <w:p w14:paraId="1D18E627" w14:textId="77777777" w:rsidR="00486953" w:rsidRPr="004D11C9" w:rsidRDefault="00486953" w:rsidP="00486953">
            <w:pPr>
              <w:jc w:val="both"/>
              <w:rPr>
                <w:rFonts w:ascii="Times New Roman" w:hAnsi="Times New Roman"/>
                <w:noProof/>
                <w:sz w:val="24"/>
              </w:rPr>
            </w:pPr>
          </w:p>
          <w:p w14:paraId="5F42245B" w14:textId="77777777" w:rsidR="00486953" w:rsidRDefault="00486953" w:rsidP="00486953">
            <w:pPr>
              <w:jc w:val="both"/>
              <w:rPr>
                <w:rFonts w:ascii="Times New Roman" w:hAnsi="Times New Roman"/>
                <w:noProof/>
                <w:sz w:val="24"/>
              </w:rPr>
            </w:pPr>
            <w:r>
              <w:rPr>
                <w:rFonts w:ascii="Times New Roman" w:hAnsi="Times New Roman"/>
                <w:sz w:val="24"/>
              </w:rPr>
              <w:t>Medicīniski nepieciešamo zāļu izmaksas tiek segtas no valsts organizētā Valsts farmaceitisko līdzekļu apdrošināšanas plāna (</w:t>
            </w:r>
            <w:r>
              <w:rPr>
                <w:rFonts w:ascii="Times New Roman" w:hAnsi="Times New Roman"/>
                <w:i/>
                <w:sz w:val="24"/>
              </w:rPr>
              <w:t>NPIP</w:t>
            </w:r>
            <w:r>
              <w:rPr>
                <w:rFonts w:ascii="Times New Roman" w:hAnsi="Times New Roman"/>
                <w:sz w:val="24"/>
              </w:rPr>
              <w:t xml:space="preserve">), ievērojot pacientu līdzmaksājumu shēmu, kas balstīta uz pacientu vecumu, materiālo nodrošinātību un maksimālo ikgadējo pacienta tiešo maksājumu. Lai saņemtu kompensāciju no </w:t>
            </w:r>
            <w:r>
              <w:rPr>
                <w:rFonts w:ascii="Times New Roman" w:hAnsi="Times New Roman"/>
                <w:i/>
                <w:sz w:val="24"/>
              </w:rPr>
              <w:t>NPIP</w:t>
            </w:r>
            <w:r>
              <w:rPr>
                <w:rFonts w:ascii="Times New Roman" w:hAnsi="Times New Roman"/>
                <w:sz w:val="24"/>
              </w:rPr>
              <w:t xml:space="preserve">, farmaceitiskajam līdzeklim ir jābūt apstiprinātam iekļaušanai </w:t>
            </w:r>
            <w:r>
              <w:rPr>
                <w:rFonts w:ascii="Times New Roman" w:hAnsi="Times New Roman"/>
                <w:i/>
                <w:sz w:val="24"/>
              </w:rPr>
              <w:t>NPIP</w:t>
            </w:r>
            <w:r>
              <w:rPr>
                <w:rFonts w:ascii="Times New Roman" w:hAnsi="Times New Roman"/>
                <w:sz w:val="24"/>
              </w:rPr>
              <w:t xml:space="preserve"> izsniedzamo zāļu sarakstā, pamatojoties uz tā izmaksām un terapeitisko vērtību. Pacientiem ir jāsedz to zāļu izmaksas, kas nav iekļautas </w:t>
            </w:r>
            <w:r>
              <w:rPr>
                <w:rFonts w:ascii="Times New Roman" w:hAnsi="Times New Roman"/>
                <w:i/>
                <w:sz w:val="24"/>
              </w:rPr>
              <w:t>NPIP</w:t>
            </w:r>
            <w:r>
              <w:rPr>
                <w:rFonts w:ascii="Times New Roman" w:hAnsi="Times New Roman"/>
                <w:sz w:val="24"/>
              </w:rPr>
              <w:t xml:space="preserve"> izsniedzamo zāļu sarakstā vai nav uzskatāmas par medicīniski nepieciešamām zālēm.</w:t>
            </w:r>
          </w:p>
          <w:p w14:paraId="0779AE20" w14:textId="77777777" w:rsidR="00486953" w:rsidRPr="004D11C9" w:rsidRDefault="00486953" w:rsidP="00486953">
            <w:pPr>
              <w:jc w:val="both"/>
              <w:rPr>
                <w:rFonts w:ascii="Times New Roman" w:hAnsi="Times New Roman"/>
                <w:noProof/>
                <w:sz w:val="24"/>
              </w:rPr>
            </w:pPr>
          </w:p>
          <w:p w14:paraId="6219A6CA" w14:textId="77777777" w:rsidR="00486953" w:rsidRPr="004D11C9" w:rsidRDefault="00486953" w:rsidP="00486953">
            <w:pPr>
              <w:jc w:val="both"/>
              <w:rPr>
                <w:rFonts w:ascii="Times New Roman" w:eastAsia="Arial" w:hAnsi="Times New Roman" w:cs="Arial"/>
                <w:noProof/>
                <w:sz w:val="24"/>
                <w:szCs w:val="18"/>
              </w:rPr>
            </w:pPr>
            <w:r>
              <w:rPr>
                <w:rFonts w:ascii="Times New Roman" w:hAnsi="Times New Roman"/>
                <w:sz w:val="24"/>
              </w:rPr>
              <w:t xml:space="preserve">Papildu finansējums </w:t>
            </w:r>
            <w:r>
              <w:rPr>
                <w:rFonts w:ascii="Times New Roman" w:hAnsi="Times New Roman"/>
                <w:i/>
                <w:sz w:val="24"/>
              </w:rPr>
              <w:t>NPIP</w:t>
            </w:r>
            <w:r>
              <w:rPr>
                <w:rFonts w:ascii="Times New Roman" w:hAnsi="Times New Roman"/>
                <w:sz w:val="24"/>
              </w:rPr>
              <w:t xml:space="preserve"> tiek nodrošināts no privāto apdrošinātāju zāļu iegādes plāniem. No privāto plānu līdzekļiem var būt segti daži vai visi pacientu līdzmaksājumi, kā arī to farmaceitisko līdzekļu izmaksas, kas ir iekļauti valsts izsniedzamo zāļu sarakstā, bet nav iekļauti </w:t>
            </w:r>
            <w:r>
              <w:rPr>
                <w:rFonts w:ascii="Times New Roman" w:hAnsi="Times New Roman"/>
                <w:i/>
                <w:sz w:val="24"/>
              </w:rPr>
              <w:t>NPIP</w:t>
            </w:r>
            <w:r>
              <w:rPr>
                <w:rFonts w:ascii="Times New Roman" w:hAnsi="Times New Roman"/>
                <w:sz w:val="24"/>
              </w:rPr>
              <w:t xml:space="preserve"> sarakstā.</w:t>
            </w:r>
          </w:p>
          <w:p w14:paraId="0D2070D2" w14:textId="77777777" w:rsidR="00486953" w:rsidRPr="004D11C9" w:rsidRDefault="00486953" w:rsidP="00486953">
            <w:pPr>
              <w:jc w:val="both"/>
              <w:rPr>
                <w:rFonts w:ascii="Times New Roman" w:eastAsia="Arial" w:hAnsi="Times New Roman" w:cs="Arial"/>
                <w:noProof/>
                <w:sz w:val="24"/>
                <w:szCs w:val="10"/>
              </w:rPr>
            </w:pPr>
          </w:p>
          <w:p w14:paraId="3094EF2C" w14:textId="77777777" w:rsidR="00486953" w:rsidRPr="004D11C9" w:rsidRDefault="00486953" w:rsidP="00486953">
            <w:pPr>
              <w:jc w:val="both"/>
              <w:rPr>
                <w:rFonts w:ascii="Times New Roman" w:hAnsi="Times New Roman"/>
                <w:b/>
                <w:noProof/>
                <w:sz w:val="24"/>
              </w:rPr>
            </w:pPr>
            <w:r>
              <w:rPr>
                <w:rFonts w:ascii="Times New Roman" w:hAnsi="Times New Roman"/>
                <w:b/>
                <w:sz w:val="24"/>
              </w:rPr>
              <w:t>2. daļa. PĀRBAUDES TVĒRUMS</w:t>
            </w:r>
          </w:p>
          <w:p w14:paraId="5CA83E61" w14:textId="77777777" w:rsidR="00486953" w:rsidRPr="004D11C9" w:rsidRDefault="00486953" w:rsidP="00486953">
            <w:pPr>
              <w:jc w:val="both"/>
              <w:rPr>
                <w:rFonts w:ascii="Times New Roman" w:eastAsia="Arial" w:hAnsi="Times New Roman" w:cs="Arial"/>
                <w:b/>
                <w:bCs/>
                <w:noProof/>
                <w:sz w:val="24"/>
                <w:szCs w:val="14"/>
              </w:rPr>
            </w:pPr>
          </w:p>
          <w:p w14:paraId="3D6DEF72" w14:textId="77777777" w:rsidR="00486953" w:rsidRDefault="00486953" w:rsidP="00486953">
            <w:pPr>
              <w:jc w:val="both"/>
              <w:rPr>
                <w:rFonts w:ascii="Times New Roman" w:hAnsi="Times New Roman"/>
                <w:noProof/>
                <w:sz w:val="24"/>
              </w:rPr>
            </w:pPr>
            <w:r>
              <w:rPr>
                <w:rFonts w:ascii="Times New Roman" w:hAnsi="Times New Roman"/>
                <w:sz w:val="24"/>
              </w:rPr>
              <w:t>Farmaceitiskie līdzekļi savas būtības dēļ ir pakļauti augsta līmeņa regulēšanai visos piegādes līmeņos, sākot no AV ražošanas un beidzot ar to izsniegšanu. Lai sīkāk analizētu jomas, kurās ir vislielākais potenciāls sasniegt ievērojamus konkurences uzlabojumus, ministrijas darbinieki noteica galvenās primāro normatīvo aktu un sekundāro vai deleģēto normatīvo aktu, profesionālā un cita regulējuma un politikas (regulējuma) jomas farmaceitisko līdzekļu nozarē. No turpmākās analīzes tika izslēgtas tās regulējuma jomas, kurās pastāvēja vien neliela iespēja, ka ievērojami konkurences uzlabojumi tiks panākti uz veselības aizsardzības un drošuma rēķina, vai kurās šāda iespēja nepastāvēja vispār, regulējuma jomas ar ierobežotu reformu iespējamību un/vai citu iemeslu dēļ izslēdzamas regulējuma jomas.</w:t>
            </w:r>
          </w:p>
          <w:p w14:paraId="3D87CAF2" w14:textId="77777777" w:rsidR="00486953" w:rsidRPr="004D11C9" w:rsidRDefault="00486953" w:rsidP="00486953">
            <w:pPr>
              <w:jc w:val="both"/>
              <w:rPr>
                <w:rFonts w:ascii="Times New Roman" w:hAnsi="Times New Roman"/>
                <w:noProof/>
                <w:sz w:val="24"/>
              </w:rPr>
            </w:pPr>
          </w:p>
          <w:p w14:paraId="1D817A49" w14:textId="77777777" w:rsidR="00486953" w:rsidRPr="004D11C9" w:rsidRDefault="00486953" w:rsidP="00486953">
            <w:pPr>
              <w:jc w:val="both"/>
              <w:rPr>
                <w:rFonts w:ascii="Times New Roman" w:hAnsi="Times New Roman"/>
                <w:b/>
                <w:i/>
                <w:noProof/>
                <w:sz w:val="24"/>
              </w:rPr>
            </w:pPr>
            <w:r>
              <w:rPr>
                <w:rFonts w:ascii="Times New Roman" w:hAnsi="Times New Roman"/>
                <w:b/>
                <w:i/>
                <w:sz w:val="24"/>
              </w:rPr>
              <w:t>Galvenās regulējuma jomas, kas tika izslēgtas no turpmākas analīzes</w:t>
            </w:r>
          </w:p>
          <w:p w14:paraId="0B3D0A3B" w14:textId="77777777" w:rsidR="00486953" w:rsidRPr="004D11C9" w:rsidRDefault="00486953" w:rsidP="00486953">
            <w:pPr>
              <w:jc w:val="both"/>
              <w:rPr>
                <w:rFonts w:ascii="Times New Roman" w:eastAsia="Arial" w:hAnsi="Times New Roman" w:cs="Arial"/>
                <w:b/>
                <w:bCs/>
                <w:i/>
                <w:noProof/>
                <w:sz w:val="24"/>
                <w:szCs w:val="14"/>
              </w:rPr>
            </w:pPr>
          </w:p>
          <w:p w14:paraId="3FBE2664" w14:textId="77777777" w:rsidR="00486953" w:rsidRPr="00486953" w:rsidRDefault="00486953" w:rsidP="00486953">
            <w:pPr>
              <w:numPr>
                <w:ilvl w:val="1"/>
                <w:numId w:val="24"/>
              </w:numPr>
              <w:ind w:left="426" w:hanging="426"/>
              <w:jc w:val="both"/>
              <w:rPr>
                <w:rFonts w:ascii="Times New Roman" w:hAnsi="Times New Roman"/>
                <w:noProof/>
                <w:sz w:val="24"/>
              </w:rPr>
            </w:pPr>
            <w:r>
              <w:rPr>
                <w:rFonts w:ascii="Times New Roman" w:hAnsi="Times New Roman"/>
                <w:i/>
                <w:sz w:val="24"/>
              </w:rPr>
              <w:t xml:space="preserve">Ārstu un farmaceitu profesionālā kvalifikācija. </w:t>
            </w:r>
            <w:r>
              <w:rPr>
                <w:rFonts w:ascii="Times New Roman" w:hAnsi="Times New Roman"/>
                <w:sz w:val="24"/>
              </w:rPr>
              <w:t>Kvalifikācija, kas nepieciešama ārsta profesionālās darbības uzsākšanai, ir ļoti tehniska un saistīta ar būtiskiem pacientu veselības aizsardzības un drošības apsvērumiem. Lai arī šādas kvalifikācijas prasības var ierobežot ārstu un farmaceitu skaitu valstī, tās ir tikai netieši saistītas ar farmaceitisko līdzekļu izmaksām.</w:t>
            </w:r>
          </w:p>
          <w:p w14:paraId="7CD3A390" w14:textId="77777777" w:rsidR="00486953" w:rsidRPr="00486953" w:rsidRDefault="00486953" w:rsidP="00486953">
            <w:pPr>
              <w:numPr>
                <w:ilvl w:val="1"/>
                <w:numId w:val="24"/>
              </w:numPr>
              <w:ind w:left="426" w:hanging="426"/>
              <w:jc w:val="both"/>
              <w:rPr>
                <w:rFonts w:ascii="Times New Roman" w:hAnsi="Times New Roman"/>
                <w:noProof/>
                <w:sz w:val="24"/>
              </w:rPr>
            </w:pPr>
            <w:r>
              <w:rPr>
                <w:rFonts w:ascii="Times New Roman" w:hAnsi="Times New Roman"/>
                <w:i/>
                <w:sz w:val="24"/>
              </w:rPr>
              <w:t xml:space="preserve">Prasības bioekvivalentu zāļu laišanai tirgū. </w:t>
            </w:r>
            <w:r>
              <w:rPr>
                <w:rFonts w:ascii="Times New Roman" w:hAnsi="Times New Roman"/>
                <w:sz w:val="24"/>
              </w:rPr>
              <w:t xml:space="preserve">Lai arī bioloģiskie preparāti ir būtisks un augošs farmaceitisko līdzekļu izmaksu avots, bioekvivalentu preparātu izstrāde un atbilstoša testēšana, kas nepieciešama to apstiprināšanai, pašlaik ir attīstības sākuma stadijā. Ņemot vērā šos apsvērumus, </w:t>
            </w:r>
            <w:r>
              <w:rPr>
                <w:rFonts w:ascii="Times New Roman" w:hAnsi="Times New Roman"/>
                <w:i/>
                <w:sz w:val="24"/>
              </w:rPr>
              <w:t>PAD</w:t>
            </w:r>
            <w:r>
              <w:rPr>
                <w:rFonts w:ascii="Times New Roman" w:hAnsi="Times New Roman"/>
                <w:sz w:val="24"/>
              </w:rPr>
              <w:t xml:space="preserve"> pastāvīgi pārskata šos jautājumus, kas turpmāk nodrošinās efektīvu forumu iespējamo konkurences problēmu risināšanai.</w:t>
            </w:r>
          </w:p>
          <w:p w14:paraId="5E36D853" w14:textId="77777777" w:rsidR="00486953" w:rsidRPr="004D11C9" w:rsidRDefault="00486953" w:rsidP="00486953">
            <w:pPr>
              <w:numPr>
                <w:ilvl w:val="1"/>
                <w:numId w:val="24"/>
              </w:numPr>
              <w:ind w:left="426" w:hanging="426"/>
              <w:jc w:val="both"/>
              <w:rPr>
                <w:rFonts w:ascii="Times New Roman" w:eastAsia="Arial" w:hAnsi="Times New Roman" w:cs="Arial"/>
                <w:noProof/>
                <w:sz w:val="24"/>
                <w:szCs w:val="18"/>
              </w:rPr>
            </w:pPr>
            <w:r>
              <w:rPr>
                <w:rFonts w:ascii="Times New Roman" w:hAnsi="Times New Roman"/>
                <w:i/>
                <w:sz w:val="24"/>
              </w:rPr>
              <w:lastRenderedPageBreak/>
              <w:t xml:space="preserve">Patenta termiņš. </w:t>
            </w:r>
            <w:r>
              <w:rPr>
                <w:rFonts w:ascii="Times New Roman" w:hAnsi="Times New Roman"/>
                <w:sz w:val="24"/>
              </w:rPr>
              <w:t>Lai arī patenti ir galvenais šķērslis ģenerisko zāļu laišanai tirgū, pašreizējais patentu termiņš, proti, 20 gadi no iesniegšanas dienas, ir starptautiski atzīta norma, kas ir iekļauta valsts starptautiskajos tirdzniecības un intelektuālā īpašuma aizsardzības nolīgumos.</w:t>
            </w:r>
          </w:p>
          <w:p w14:paraId="7915E2A8" w14:textId="77777777" w:rsidR="00486953" w:rsidRPr="004D11C9" w:rsidRDefault="00486953" w:rsidP="00486953">
            <w:pPr>
              <w:numPr>
                <w:ilvl w:val="1"/>
                <w:numId w:val="24"/>
              </w:numPr>
              <w:ind w:left="426" w:hanging="426"/>
              <w:jc w:val="both"/>
              <w:rPr>
                <w:rFonts w:ascii="Times New Roman" w:hAnsi="Times New Roman"/>
                <w:noProof/>
                <w:sz w:val="24"/>
              </w:rPr>
            </w:pPr>
            <w:r>
              <w:rPr>
                <w:rFonts w:ascii="Times New Roman" w:hAnsi="Times New Roman"/>
                <w:i/>
                <w:sz w:val="24"/>
              </w:rPr>
              <w:t xml:space="preserve">Drošuma un terapeitiskie standarti farmaceitisko līdzekļu pievienošanai valsts izsniedzamo zāļu sarakstā. </w:t>
            </w:r>
            <w:r>
              <w:rPr>
                <w:rFonts w:ascii="Times New Roman" w:hAnsi="Times New Roman"/>
                <w:sz w:val="24"/>
              </w:rPr>
              <w:t>Stingri terapeitiskie un drošuma standarti ir būtiski pacientu veselības un drošuma aizsardzībai un uzlabošanai attiecībā uz jaunām zālēm. Veselības aizsardzības un drošuma apsvērumi ir neapšaubāmi svarīgāki par iespējamajām bažām par to, ka stingru standartu piemērošana jaunām zālēm var ietekmēt to konkurētspējīgu laišanu tirgū. Turklāt esošo iekļaušanas standartu sīka pārskatīšana būtu sarežģīta un laikietilpīga un tiktu veikta bez pierādījumiem vai plaši izplatītām bažām par to, ka esošie standarti nevajadzīgi ierobežo jaunu zāļu laišanu tirgū.</w:t>
            </w:r>
          </w:p>
          <w:p w14:paraId="57A5468F" w14:textId="77777777" w:rsidR="00486953" w:rsidRPr="004D11C9" w:rsidRDefault="00486953" w:rsidP="00486953">
            <w:pPr>
              <w:numPr>
                <w:ilvl w:val="1"/>
                <w:numId w:val="24"/>
              </w:numPr>
              <w:ind w:left="426" w:hanging="426"/>
              <w:jc w:val="both"/>
              <w:rPr>
                <w:rFonts w:ascii="Times New Roman" w:eastAsia="Arial" w:hAnsi="Times New Roman" w:cs="Arial"/>
                <w:noProof/>
                <w:sz w:val="24"/>
                <w:szCs w:val="18"/>
              </w:rPr>
            </w:pPr>
            <w:r>
              <w:rPr>
                <w:rFonts w:ascii="Times New Roman" w:hAnsi="Times New Roman"/>
                <w:i/>
                <w:sz w:val="24"/>
              </w:rPr>
              <w:t xml:space="preserve">AV un zāļu ražošanas licencēšanas ierobežojumi. </w:t>
            </w:r>
            <w:r>
              <w:rPr>
                <w:rFonts w:ascii="Times New Roman" w:hAnsi="Times New Roman"/>
                <w:sz w:val="24"/>
              </w:rPr>
              <w:t>Farmaceitisko līdzekļu drošuma un terapeitiskās efektivitātes nodrošināšana ir būtisks mērķis, kas ir arī aktīvo vielu un farmaceitisko līdzekļu ražotņu licencēšanas pamatā. Licencēšanas prasības ir nediskriminējošas, jo nedala ražotājus vietējos ražotājos un ārvalstu ražotājos, un par Veselības ministrijas licencēšanas praksi nav saņemtas sūdzības.</w:t>
            </w:r>
          </w:p>
          <w:p w14:paraId="026602D2" w14:textId="01E577DA" w:rsidR="00486953" w:rsidRPr="00486953" w:rsidRDefault="00486953" w:rsidP="004D11C9">
            <w:pPr>
              <w:numPr>
                <w:ilvl w:val="1"/>
                <w:numId w:val="24"/>
              </w:numPr>
              <w:ind w:left="426" w:hanging="426"/>
              <w:jc w:val="both"/>
              <w:rPr>
                <w:rFonts w:ascii="Times New Roman" w:eastAsia="Arial" w:hAnsi="Times New Roman" w:cs="Arial"/>
                <w:noProof/>
                <w:sz w:val="24"/>
                <w:szCs w:val="18"/>
              </w:rPr>
            </w:pPr>
            <w:r>
              <w:rPr>
                <w:rFonts w:ascii="Times New Roman" w:hAnsi="Times New Roman"/>
                <w:i/>
                <w:sz w:val="24"/>
              </w:rPr>
              <w:t xml:space="preserve">Privātā sektora paplašinātā funkcija apdrošināšanas jomā. </w:t>
            </w:r>
            <w:r>
              <w:rPr>
                <w:rFonts w:ascii="Times New Roman" w:hAnsi="Times New Roman"/>
                <w:sz w:val="24"/>
              </w:rPr>
              <w:t xml:space="preserve">Ņemot vērā plašo sabiedrības atbalstu </w:t>
            </w:r>
            <w:r>
              <w:rPr>
                <w:rFonts w:ascii="Times New Roman" w:hAnsi="Times New Roman"/>
                <w:i/>
                <w:sz w:val="24"/>
              </w:rPr>
              <w:t>NPIP</w:t>
            </w:r>
            <w:r>
              <w:rPr>
                <w:rFonts w:ascii="Times New Roman" w:hAnsi="Times New Roman"/>
                <w:sz w:val="24"/>
              </w:rPr>
              <w:t xml:space="preserve">, jaunā valdība ir paziņojusi, ka tā nesamazinās </w:t>
            </w:r>
            <w:r>
              <w:rPr>
                <w:rFonts w:ascii="Times New Roman" w:hAnsi="Times New Roman"/>
                <w:i/>
                <w:sz w:val="24"/>
              </w:rPr>
              <w:t>NPIP</w:t>
            </w:r>
            <w:r>
              <w:rPr>
                <w:rFonts w:ascii="Times New Roman" w:hAnsi="Times New Roman"/>
                <w:sz w:val="24"/>
              </w:rPr>
              <w:t xml:space="preserve"> funkciju.</w:t>
            </w:r>
          </w:p>
        </w:tc>
      </w:tr>
    </w:tbl>
    <w:p w14:paraId="61F707B1" w14:textId="5CEF0D15" w:rsidR="00867DDD" w:rsidRPr="004D11C9" w:rsidRDefault="00867DDD" w:rsidP="004D11C9">
      <w:pPr>
        <w:jc w:val="both"/>
        <w:rPr>
          <w:rFonts w:ascii="Times New Roman" w:eastAsia="Arial" w:hAnsi="Times New Roman" w:cs="Arial"/>
          <w:noProof/>
          <w:sz w:val="24"/>
          <w:szCs w:val="20"/>
        </w:rPr>
      </w:pPr>
    </w:p>
    <w:p w14:paraId="59D5BB2A" w14:textId="5B339D0B" w:rsidR="00486953" w:rsidRDefault="00486953">
      <w:pPr>
        <w:rPr>
          <w:rFonts w:ascii="Times New Roman" w:eastAsia="Arial" w:hAnsi="Times New Roman" w:cs="Arial"/>
          <w:noProof/>
          <w:sz w:val="24"/>
          <w:szCs w:val="20"/>
        </w:rPr>
      </w:pPr>
      <w:r>
        <w:br w:type="page"/>
      </w:r>
    </w:p>
    <w:p w14:paraId="00D4AAFE" w14:textId="77777777" w:rsidR="000A6469" w:rsidRPr="004D11C9" w:rsidRDefault="000A6469" w:rsidP="004D11C9">
      <w:pPr>
        <w:jc w:val="both"/>
        <w:rPr>
          <w:rFonts w:ascii="Times New Roman" w:eastAsia="Times New Roman" w:hAnsi="Times New Roman" w:cs="Times New Roman"/>
          <w:noProof/>
          <w:sz w:val="24"/>
          <w:szCs w:val="29"/>
        </w:rPr>
      </w:pPr>
    </w:p>
    <w:p w14:paraId="0213BEEE" w14:textId="44EB207D" w:rsidR="000A6469" w:rsidRPr="004D11C9" w:rsidRDefault="000A6469" w:rsidP="00887892">
      <w:pPr>
        <w:pStyle w:val="Heading1"/>
        <w:spacing w:before="0"/>
        <w:ind w:left="0"/>
        <w:jc w:val="both"/>
        <w:rPr>
          <w:rFonts w:ascii="Times New Roman" w:hAnsi="Times New Roman"/>
          <w:noProof/>
          <w:sz w:val="24"/>
        </w:rPr>
      </w:pPr>
      <w:bookmarkStart w:id="40" w:name="Chapter_3_Competition_screening_using_th"/>
      <w:bookmarkStart w:id="41" w:name="_bookmark16"/>
      <w:bookmarkStart w:id="42" w:name="_Toc62650472"/>
      <w:bookmarkEnd w:id="40"/>
      <w:bookmarkEnd w:id="41"/>
      <w:r w:rsidRPr="00121F0E">
        <w:rPr>
          <w:rFonts w:ascii="Times New Roman" w:hAnsi="Times New Roman"/>
          <w:sz w:val="28"/>
          <w:szCs w:val="56"/>
        </w:rPr>
        <w:t>3. nodaļa</w:t>
      </w:r>
      <w:r w:rsidR="00887892">
        <w:rPr>
          <w:rFonts w:ascii="Times New Roman" w:hAnsi="Times New Roman"/>
          <w:sz w:val="24"/>
        </w:rPr>
        <w:br/>
      </w:r>
      <w:r>
        <w:rPr>
          <w:rFonts w:ascii="Times New Roman" w:hAnsi="Times New Roman"/>
          <w:sz w:val="24"/>
        </w:rPr>
        <w:t>Konkurences izvērtēšana, izmantojot pārbaudes lapu</w:t>
      </w:r>
      <w:bookmarkEnd w:id="42"/>
    </w:p>
    <w:p w14:paraId="4A906330" w14:textId="77777777" w:rsidR="000A6469" w:rsidRPr="004D11C9" w:rsidRDefault="000A6469" w:rsidP="004D11C9">
      <w:pPr>
        <w:jc w:val="both"/>
        <w:rPr>
          <w:rFonts w:ascii="Times New Roman" w:eastAsia="Arial" w:hAnsi="Times New Roman" w:cs="Arial"/>
          <w:b/>
          <w:bCs/>
          <w:noProof/>
          <w:sz w:val="24"/>
          <w:szCs w:val="36"/>
        </w:rPr>
      </w:pPr>
    </w:p>
    <w:p w14:paraId="203A0128"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Konkurences izvērtēšanas metodē tiek izmantots pārbaudes lapā iekļautu sākotnēju jautājumu kopums, kas parāda, vai ierosinātajiem noteikumiem ir ievērojams potenciāls, lai kaitētu konkurencei. Pārbaudes lapa ir iekļauta šīs rokasgrāmatas sākumā. Paredzams, ka lielākā daļa noteikumu neuzrādīs pozitīvu rezultātu pārbaudes lapā. Ja pārbaudes lapa uzrāda pozitīvu rezultātu, tiek ierosināts ietekmes uz konkurenci sākotnējais novērtējums. Daudzos gadījumos sākotnējā novērtējumā tiek secināts, ka paredzams būtisks kaitējums konkurencei. Tajās situācijās, kurās pastāv visaugstākā kaitējuma iespējamība, ir nepieciešama konkurences ierobežojumu izpēte (skat. 4. nodaļu).</w:t>
      </w:r>
    </w:p>
    <w:p w14:paraId="6C4B2868" w14:textId="77777777" w:rsidR="000A6469" w:rsidRPr="004D11C9" w:rsidRDefault="000A6469" w:rsidP="004D11C9">
      <w:pPr>
        <w:jc w:val="both"/>
        <w:rPr>
          <w:rFonts w:ascii="Times New Roman" w:eastAsia="Arial" w:hAnsi="Times New Roman" w:cs="Arial"/>
          <w:noProof/>
          <w:sz w:val="24"/>
          <w:szCs w:val="20"/>
        </w:rPr>
      </w:pPr>
    </w:p>
    <w:p w14:paraId="1A5A058F" w14:textId="46497DF8"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Turpmāk šajā nodaļā ir izklāstītas četras pārbaudes lapas kategorijas un sniegti piemēri par katrā šādā kategorijā ietilpstošiem noteikumiem.</w:t>
      </w:r>
    </w:p>
    <w:p w14:paraId="0A940875" w14:textId="77777777" w:rsidR="000A6469" w:rsidRPr="004D11C9" w:rsidRDefault="000A6469" w:rsidP="004D11C9">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263"/>
        <w:gridCol w:w="6799"/>
      </w:tblGrid>
      <w:tr w:rsidR="00486953" w14:paraId="7C9CD76C" w14:textId="77777777" w:rsidTr="00121F0E">
        <w:tc>
          <w:tcPr>
            <w:tcW w:w="2263" w:type="dxa"/>
          </w:tcPr>
          <w:p w14:paraId="6C7FD028" w14:textId="10A76B96" w:rsidR="00486953" w:rsidRPr="00486953" w:rsidRDefault="00486953" w:rsidP="004D11C9">
            <w:pPr>
              <w:jc w:val="both"/>
              <w:rPr>
                <w:rFonts w:ascii="Times New Roman" w:eastAsia="Arial" w:hAnsi="Times New Roman" w:cs="Arial"/>
                <w:noProof/>
                <w:sz w:val="24"/>
                <w:szCs w:val="32"/>
              </w:rPr>
            </w:pPr>
            <w:r>
              <w:rPr>
                <w:rFonts w:ascii="Times New Roman" w:hAnsi="Times New Roman"/>
                <w:b/>
                <w:sz w:val="24"/>
              </w:rPr>
              <w:t>A pārbaudes lapa</w:t>
            </w:r>
          </w:p>
        </w:tc>
        <w:tc>
          <w:tcPr>
            <w:tcW w:w="6799" w:type="dxa"/>
          </w:tcPr>
          <w:p w14:paraId="7E617A46" w14:textId="672E015C" w:rsidR="00486953" w:rsidRPr="00486953" w:rsidRDefault="00486953" w:rsidP="004D11C9">
            <w:pPr>
              <w:jc w:val="both"/>
              <w:rPr>
                <w:rFonts w:ascii="Times New Roman" w:eastAsia="Arial" w:hAnsi="Times New Roman" w:cs="Arial"/>
                <w:noProof/>
                <w:sz w:val="24"/>
              </w:rPr>
            </w:pPr>
            <w:r>
              <w:rPr>
                <w:rFonts w:ascii="Times New Roman" w:hAnsi="Times New Roman"/>
                <w:b/>
                <w:sz w:val="24"/>
              </w:rPr>
              <w:t>Piegādātāju skaita vai loka ierobežojumi</w:t>
            </w:r>
          </w:p>
        </w:tc>
      </w:tr>
    </w:tbl>
    <w:p w14:paraId="6C152B3F" w14:textId="3ACBBE98" w:rsidR="000A6469" w:rsidRPr="004D11C9" w:rsidRDefault="000A6469" w:rsidP="004D11C9">
      <w:pPr>
        <w:jc w:val="both"/>
        <w:rPr>
          <w:rFonts w:ascii="Times New Roman" w:eastAsia="Arial" w:hAnsi="Times New Roman" w:cs="Arial"/>
          <w:noProof/>
          <w:sz w:val="24"/>
          <w:szCs w:val="20"/>
        </w:rPr>
      </w:pPr>
    </w:p>
    <w:p w14:paraId="19325C9A" w14:textId="125D1399" w:rsidR="000A6469" w:rsidRPr="004D11C9" w:rsidRDefault="000A6469" w:rsidP="004D11C9">
      <w:pPr>
        <w:pStyle w:val="BodyText"/>
        <w:ind w:left="0" w:firstLine="0"/>
        <w:jc w:val="both"/>
        <w:rPr>
          <w:rFonts w:ascii="Times New Roman" w:hAnsi="Times New Roman"/>
          <w:noProof/>
          <w:sz w:val="24"/>
        </w:rPr>
      </w:pPr>
      <w:bookmarkStart w:id="43" w:name="Limits_on_the_number_or_range_of_supplie"/>
      <w:bookmarkEnd w:id="43"/>
      <w:r>
        <w:rPr>
          <w:rFonts w:ascii="Times New Roman" w:hAnsi="Times New Roman"/>
          <w:sz w:val="24"/>
        </w:rPr>
        <w:t>Piegādātāju skaita ierobežošana rada risku, ka izveidosies tirgus vara</w:t>
      </w:r>
      <w:r w:rsidR="00486953">
        <w:rPr>
          <w:rStyle w:val="FootnoteReference"/>
          <w:rFonts w:ascii="Times New Roman" w:hAnsi="Times New Roman"/>
          <w:noProof/>
          <w:sz w:val="24"/>
        </w:rPr>
        <w:footnoteReference w:id="2"/>
      </w:r>
      <w:r>
        <w:rPr>
          <w:rFonts w:ascii="Times New Roman" w:hAnsi="Times New Roman"/>
          <w:sz w:val="24"/>
        </w:rPr>
        <w:t xml:space="preserve"> un samazināsies konkurence. Turklāt tirgū pārstāvētie uzņēmumi var nespēt vislabāk apmierināt patērētāju vēlmes – jo īpaši ilgtermiņā. Ja piegādātāju skaits samazinās, pieaug sadarbības (vai slepenas vienošanās) iespējamība starp atlikušajiem piegādātajiem un var palielināties atsevišķu piegādātāju iespējas paaugstināt cenas. Konkurences samazināšanās dēļ var zust stimuls efektīvi apmierināt patērētāju pieprasījumu un sarukt ekonomiskā efektivitāte. Lai arī pastāv pamatoti ar politiku saistīti iemesli, kuru dēļ politikas veidotāji dažkārt var ierobežot piegādātāju skaitu vai loku, tomēr, kā tas ir minēts turpmāk, labums, kas tiek gūts, ierobežojot ieiešanu tirgū, ir rūpīgi jālīdzsvaro ar faktu, ka jaunu piegādātāju viegla ienākšana tirgū var palīdzēt atturēt tirgū pārstāvētos piegādātājus no tirgus varas izmantošanas. Tirgus vara var izraisīt augstākas cenas, zemāku kvalitāti un mazāk inovāciju.</w:t>
      </w:r>
    </w:p>
    <w:p w14:paraId="3C173346" w14:textId="77777777" w:rsidR="000A6469" w:rsidRPr="004D11C9" w:rsidRDefault="000A6469" w:rsidP="004D11C9">
      <w:pPr>
        <w:jc w:val="both"/>
        <w:rPr>
          <w:rFonts w:ascii="Times New Roman" w:eastAsia="Arial" w:hAnsi="Times New Roman" w:cs="Arial"/>
          <w:noProof/>
          <w:sz w:val="24"/>
          <w:szCs w:val="11"/>
        </w:rPr>
      </w:pPr>
    </w:p>
    <w:p w14:paraId="6116C82A" w14:textId="488D2C9D" w:rsidR="000A6469" w:rsidRPr="004D11C9" w:rsidRDefault="000A6469" w:rsidP="004D11C9">
      <w:pPr>
        <w:pStyle w:val="Heading4"/>
        <w:tabs>
          <w:tab w:val="left" w:pos="1220"/>
        </w:tabs>
        <w:ind w:left="0"/>
        <w:jc w:val="both"/>
        <w:rPr>
          <w:rFonts w:ascii="Times New Roman" w:hAnsi="Times New Roman"/>
          <w:b w:val="0"/>
          <w:bCs w:val="0"/>
          <w:i w:val="0"/>
          <w:noProof/>
          <w:sz w:val="24"/>
        </w:rPr>
      </w:pPr>
      <w:bookmarkStart w:id="44" w:name="Grants_of_exclusive_rights"/>
      <w:bookmarkEnd w:id="44"/>
      <w:r>
        <w:rPr>
          <w:rFonts w:ascii="Times New Roman" w:hAnsi="Times New Roman"/>
          <w:i w:val="0"/>
          <w:sz w:val="24"/>
        </w:rPr>
        <w:t xml:space="preserve">A1. </w:t>
      </w:r>
      <w:r>
        <w:rPr>
          <w:rFonts w:ascii="Times New Roman" w:hAnsi="Times New Roman"/>
          <w:sz w:val="24"/>
        </w:rPr>
        <w:t>Ekskluzīvu tiesību piešķiršana</w:t>
      </w:r>
    </w:p>
    <w:p w14:paraId="4209D4E4" w14:textId="77777777" w:rsidR="000A6469" w:rsidRPr="004D11C9" w:rsidRDefault="000A6469" w:rsidP="004D11C9">
      <w:pPr>
        <w:jc w:val="both"/>
        <w:rPr>
          <w:rFonts w:ascii="Times New Roman" w:eastAsia="Arial" w:hAnsi="Times New Roman" w:cs="Arial"/>
          <w:b/>
          <w:bCs/>
          <w:i/>
          <w:noProof/>
          <w:sz w:val="24"/>
          <w:szCs w:val="9"/>
        </w:rPr>
      </w:pPr>
    </w:p>
    <w:p w14:paraId="0E38FC4F" w14:textId="3A046515"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Ekskluzīvu tiesību piešķiršana ražot noteiktas preces vai sniegt noteiktus pakalpojumus nozīmē privātā monopola izveidošanu. Vēsturiski ekskluzīvu tiesību piešķiršana bieži ir notikusi saistībā ar “dabisko monopolu”.</w:t>
      </w:r>
      <w:r w:rsidR="00486953">
        <w:rPr>
          <w:rStyle w:val="FootnoteReference"/>
          <w:rFonts w:ascii="Times New Roman" w:hAnsi="Times New Roman"/>
          <w:noProof/>
          <w:sz w:val="24"/>
        </w:rPr>
        <w:footnoteReference w:id="3"/>
      </w:r>
      <w:r>
        <w:rPr>
          <w:rFonts w:ascii="Times New Roman" w:hAnsi="Times New Roman"/>
          <w:sz w:val="24"/>
        </w:rPr>
        <w:t xml:space="preserve"> Ekskluzīvu tiesību piešķiršanu, it sevišķi tad, ja tās ir ilgtermiņa tiesības, bieži uzskata par līdzekli tādu būtisku ieguldījumu veicināšanai infrastruktūrā , kas, iespējams, netiktu veikti bez stimuliem, kurus sniedz ekskluzīvu tiesību nodrošināts, garantēts tirgus.</w:t>
      </w:r>
    </w:p>
    <w:p w14:paraId="3B340F22" w14:textId="77777777" w:rsidR="000A6469" w:rsidRPr="004D11C9" w:rsidRDefault="000A6469" w:rsidP="004D11C9">
      <w:pPr>
        <w:jc w:val="both"/>
        <w:rPr>
          <w:rFonts w:ascii="Times New Roman" w:eastAsia="Arial" w:hAnsi="Times New Roman" w:cs="Arial"/>
          <w:noProof/>
          <w:sz w:val="24"/>
          <w:szCs w:val="20"/>
        </w:rPr>
      </w:pPr>
    </w:p>
    <w:p w14:paraId="57355A2D"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Paredzams, ka ekskluzīvas tiesības radīs monopola cenas un citas ar tirgus varas izmantošanu saistītas problēmas. Šādas sekas var nebūt iespējams pilnībā novērst, izmantojot regulējumu, jo regulētāju pasākumi, kas vērsti pret tirgus varas izmantošanu un paredzēti patērētāju aizsardzībai, bieži vien nav veiksmīgi. Tāpēc šādas tiesības ir jāpiešķir ļoti piesardzīgi un pēc tam, kad ir rūpīgi apsvērtas alternatīvas, kā sasniegt tos pašus mērķus. Ja šādas tiesības ir piešķirtas, var ierobežot to piemērošanas termiņu. Turklāt valsts iestādes var apsvērt iespēju </w:t>
      </w:r>
      <w:r>
        <w:rPr>
          <w:rFonts w:ascii="Times New Roman" w:hAnsi="Times New Roman"/>
          <w:sz w:val="24"/>
        </w:rPr>
        <w:lastRenderedPageBreak/>
        <w:t>piešķirt šādas ekskluzīvas tiesības, izmantojot konkursizsoli, lai nodrošinātu, ka tās tiek piešķirtas visefektīvākajā veidā. Piemēram, mājsaimniecības atkritumu savākšana, kas nodota privātam pakalpojuma sniedzējam, izmantojot konkursa procedūru, bieži vien var izmaksāt mazāk nekā tad, ja šādu pakalpojumu sniedz valsts vai pašvaldība.</w:t>
      </w:r>
    </w:p>
    <w:p w14:paraId="34D14D7C" w14:textId="77777777" w:rsidR="000A6469" w:rsidRPr="004D11C9" w:rsidRDefault="000A6469" w:rsidP="004D11C9">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486953" w14:paraId="2C130117" w14:textId="77777777" w:rsidTr="00486953">
        <w:tc>
          <w:tcPr>
            <w:tcW w:w="9062" w:type="dxa"/>
          </w:tcPr>
          <w:p w14:paraId="58937597" w14:textId="228D743C" w:rsidR="00486953" w:rsidRDefault="00486953" w:rsidP="00486953">
            <w:pPr>
              <w:jc w:val="center"/>
              <w:rPr>
                <w:rFonts w:ascii="Times New Roman" w:eastAsia="Arial" w:hAnsi="Times New Roman" w:cs="Arial"/>
                <w:noProof/>
                <w:sz w:val="24"/>
                <w:szCs w:val="20"/>
              </w:rPr>
            </w:pPr>
            <w:r>
              <w:rPr>
                <w:rFonts w:ascii="Times New Roman" w:hAnsi="Times New Roman"/>
                <w:b/>
                <w:sz w:val="24"/>
              </w:rPr>
              <w:t>8. ierāmējums. Koncesijas ūdensapgādes tirgū</w:t>
            </w:r>
          </w:p>
        </w:tc>
      </w:tr>
      <w:tr w:rsidR="00486953" w14:paraId="3C2A5DC3" w14:textId="77777777" w:rsidTr="00486953">
        <w:tc>
          <w:tcPr>
            <w:tcW w:w="9062" w:type="dxa"/>
          </w:tcPr>
          <w:p w14:paraId="5DB62FA9" w14:textId="77777777" w:rsidR="00486953" w:rsidRPr="004D11C9" w:rsidRDefault="00486953" w:rsidP="00486953">
            <w:pPr>
              <w:jc w:val="both"/>
              <w:rPr>
                <w:rFonts w:ascii="Times New Roman" w:eastAsia="Arial" w:hAnsi="Times New Roman" w:cs="Arial"/>
                <w:noProof/>
                <w:sz w:val="24"/>
                <w:szCs w:val="18"/>
              </w:rPr>
            </w:pPr>
            <w:r>
              <w:rPr>
                <w:rFonts w:ascii="Times New Roman" w:hAnsi="Times New Roman"/>
                <w:sz w:val="24"/>
              </w:rPr>
              <w:t>Daudzas pašvaldības izvēlas piešķirt vienam privātam uzņēmumam ekskluzīvas tiesības nodrošināt dzeramo ūdeni un apsaimniekot notekūdeņus. Ja nepastāv konkurence, uzņēmuma cena par pakalpojumu bieži vien pieaug, uzņēmumam gadu no gada pagarinot līgumu par pakalpojuma sniegšanu. Apdzīvotajai vietai ir izvēle starp apsaimniekošanas līguma automātisku atjaunošanu vai atklātu konkursu. Atklāts konkurss var palīdzēt sasniegt labākus rezultātus, lai gan tas ir sarežģīts process, it īpaši tad, ja katru gadu ir jāpārskata cenas. Kad Francijā tika noteikta prasība izsludināt atklātu konkursu par ūdens apsaimniekošanas līgumiem, privāto uzņēmumu pakalpojumu cenas samazinājās par aptuveni 10 %.</w:t>
            </w:r>
          </w:p>
          <w:p w14:paraId="314F4B19" w14:textId="77777777" w:rsidR="00486953" w:rsidRDefault="00486953" w:rsidP="00486953">
            <w:pPr>
              <w:jc w:val="both"/>
              <w:rPr>
                <w:rFonts w:ascii="Times New Roman" w:hAnsi="Times New Roman"/>
                <w:i/>
                <w:noProof/>
                <w:sz w:val="24"/>
              </w:rPr>
            </w:pPr>
          </w:p>
          <w:p w14:paraId="701DA406" w14:textId="1E204222" w:rsidR="00486953" w:rsidRPr="00486953" w:rsidRDefault="00486953" w:rsidP="004D11C9">
            <w:pPr>
              <w:jc w:val="both"/>
              <w:rPr>
                <w:rFonts w:ascii="Times New Roman" w:eastAsia="Arial" w:hAnsi="Times New Roman" w:cs="Arial"/>
                <w:noProof/>
                <w:sz w:val="24"/>
                <w:szCs w:val="17"/>
              </w:rPr>
            </w:pPr>
            <w:r>
              <w:rPr>
                <w:rFonts w:ascii="Times New Roman" w:hAnsi="Times New Roman"/>
                <w:i/>
                <w:sz w:val="24"/>
              </w:rPr>
              <w:t xml:space="preserve">Avots: </w:t>
            </w:r>
            <w:r>
              <w:rPr>
                <w:rFonts w:ascii="Times New Roman" w:hAnsi="Times New Roman"/>
                <w:sz w:val="24"/>
              </w:rPr>
              <w:t>Brunet, E., Guérin-Schneider, L. un Bonnet, F. (2002).</w:t>
            </w:r>
          </w:p>
        </w:tc>
      </w:tr>
    </w:tbl>
    <w:p w14:paraId="5C965F6B" w14:textId="77777777" w:rsidR="000A6469" w:rsidRPr="004D11C9" w:rsidRDefault="000A6469" w:rsidP="004D11C9">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486953" w14:paraId="1D9A61FD" w14:textId="77777777" w:rsidTr="00486953">
        <w:tc>
          <w:tcPr>
            <w:tcW w:w="9062" w:type="dxa"/>
          </w:tcPr>
          <w:p w14:paraId="4B79E030" w14:textId="548E5ED0" w:rsidR="00486953" w:rsidRDefault="00486953" w:rsidP="00486953">
            <w:pPr>
              <w:jc w:val="center"/>
              <w:rPr>
                <w:rFonts w:ascii="Times New Roman" w:eastAsia="Arial" w:hAnsi="Times New Roman" w:cs="Arial"/>
                <w:noProof/>
                <w:sz w:val="24"/>
                <w:szCs w:val="20"/>
              </w:rPr>
            </w:pPr>
            <w:r>
              <w:rPr>
                <w:rFonts w:ascii="Times New Roman" w:hAnsi="Times New Roman"/>
                <w:b/>
                <w:sz w:val="24"/>
              </w:rPr>
              <w:t>9. ierāmējums. Lidostas koncesija</w:t>
            </w:r>
          </w:p>
        </w:tc>
      </w:tr>
      <w:tr w:rsidR="00486953" w14:paraId="1823E82E" w14:textId="77777777" w:rsidTr="00486953">
        <w:tc>
          <w:tcPr>
            <w:tcW w:w="9062" w:type="dxa"/>
          </w:tcPr>
          <w:p w14:paraId="167052C5" w14:textId="77777777" w:rsidR="00486953" w:rsidRDefault="00486953" w:rsidP="00486953">
            <w:pPr>
              <w:jc w:val="both"/>
              <w:rPr>
                <w:rFonts w:ascii="Times New Roman" w:hAnsi="Times New Roman"/>
                <w:noProof/>
                <w:sz w:val="24"/>
              </w:rPr>
            </w:pPr>
            <w:r>
              <w:rPr>
                <w:rFonts w:ascii="Times New Roman" w:hAnsi="Times New Roman"/>
                <w:sz w:val="24"/>
              </w:rPr>
              <w:t>Erevānas lidostā Armēnijā vienam uzņēmumam tika piešķirta lidostas vadīšanas koncesija uz 30 gadiem. Šī koncesija piešķir ekskluzīvas tiesības sniegt zemes pakalpojumus (piemēram, bagāžas apstrādi, gaisa kuģu tīrīšanu un degvielas uzpildi gaisa kuģī) atšķirībā no lielākās daļas lidostu, kurās šīs tiesības netiek ekskluzīvi piešķirtas tikai lidostas ekspluatantam. Lidostu izmantojošās aviosabiedrības ir sūdzējušās, ka cenas par zemes pakalpojumiem Erevānas lidostā ir ievērojami augstākas nekā līdzīgās tuvējās lidostās. Piemēram, vienā pētījumā secināts, ka maksa par trapa apkalpošanu Erevānas lidostā ir par 39 % augstāka nekā vidēji citās salīdzināmās lidostās. Monopols uz zemes pakalpojumu sniegšanu, kas ir darbības joma, kurā var strādāt vairāki pakalpojumu sniedzēji, var paaugstināt cenu un, iespējams, samazināt pakalpojumu kvalitāti.</w:t>
            </w:r>
          </w:p>
          <w:p w14:paraId="6E241BC4" w14:textId="77777777" w:rsidR="00486953" w:rsidRPr="004D11C9" w:rsidRDefault="00486953" w:rsidP="00486953">
            <w:pPr>
              <w:jc w:val="both"/>
              <w:rPr>
                <w:rFonts w:ascii="Times New Roman" w:eastAsia="Arial" w:hAnsi="Times New Roman" w:cs="Arial"/>
                <w:noProof/>
                <w:sz w:val="24"/>
                <w:szCs w:val="18"/>
              </w:rPr>
            </w:pPr>
          </w:p>
          <w:p w14:paraId="46ADE480" w14:textId="09538F6F" w:rsidR="00486953" w:rsidRPr="00486953" w:rsidRDefault="00486953" w:rsidP="004D11C9">
            <w:pPr>
              <w:jc w:val="both"/>
              <w:rPr>
                <w:rFonts w:ascii="Times New Roman" w:eastAsia="Arial" w:hAnsi="Times New Roman" w:cs="Arial"/>
                <w:noProof/>
                <w:sz w:val="24"/>
                <w:szCs w:val="17"/>
              </w:rPr>
            </w:pPr>
            <w:r>
              <w:rPr>
                <w:rFonts w:ascii="Times New Roman" w:hAnsi="Times New Roman"/>
                <w:i/>
                <w:sz w:val="24"/>
              </w:rPr>
              <w:t>Avots</w:t>
            </w:r>
            <w:r>
              <w:rPr>
                <w:rFonts w:ascii="Times New Roman" w:hAnsi="Times New Roman"/>
                <w:sz w:val="24"/>
              </w:rPr>
              <w:t>: Pape F., D. Lurje un E. Satas (n.d.) “Competition Impact Assessment Report of the Airway Sector”.</w:t>
            </w:r>
          </w:p>
        </w:tc>
      </w:tr>
    </w:tbl>
    <w:p w14:paraId="655186FE" w14:textId="77777777" w:rsidR="000A6469" w:rsidRPr="004D11C9" w:rsidRDefault="000A6469" w:rsidP="004D11C9">
      <w:pPr>
        <w:jc w:val="both"/>
        <w:rPr>
          <w:rFonts w:ascii="Times New Roman" w:eastAsia="Arial" w:hAnsi="Times New Roman" w:cs="Arial"/>
          <w:noProof/>
          <w:sz w:val="24"/>
          <w:szCs w:val="14"/>
        </w:rPr>
      </w:pPr>
      <w:bookmarkStart w:id="45" w:name="_bookmark20"/>
      <w:bookmarkEnd w:id="45"/>
    </w:p>
    <w:p w14:paraId="4760E6FA" w14:textId="4C726763" w:rsidR="000A6469" w:rsidRPr="00486953" w:rsidRDefault="00486953" w:rsidP="00486953">
      <w:pPr>
        <w:pStyle w:val="Heading4"/>
        <w:ind w:left="0"/>
        <w:jc w:val="both"/>
        <w:rPr>
          <w:rFonts w:ascii="Times New Roman" w:hAnsi="Times New Roman"/>
          <w:noProof/>
          <w:sz w:val="24"/>
        </w:rPr>
      </w:pPr>
      <w:bookmarkStart w:id="46" w:name="Establishment_of_a_licence_or_permit_sys"/>
      <w:bookmarkEnd w:id="46"/>
      <w:r>
        <w:rPr>
          <w:rFonts w:ascii="Times New Roman" w:hAnsi="Times New Roman"/>
          <w:i w:val="0"/>
          <w:sz w:val="24"/>
        </w:rPr>
        <w:t xml:space="preserve">A2. </w:t>
      </w:r>
      <w:r>
        <w:rPr>
          <w:rFonts w:ascii="Times New Roman" w:hAnsi="Times New Roman"/>
          <w:sz w:val="24"/>
        </w:rPr>
        <w:t>Licenču vai atļauju sistēmas kā darbības priekšnoteikuma izveidošana</w:t>
      </w:r>
    </w:p>
    <w:p w14:paraId="6B89D691" w14:textId="77777777" w:rsidR="000A6469" w:rsidRPr="004D11C9" w:rsidRDefault="000A6469" w:rsidP="004D11C9">
      <w:pPr>
        <w:jc w:val="both"/>
        <w:rPr>
          <w:rFonts w:ascii="Times New Roman" w:eastAsia="Arial" w:hAnsi="Times New Roman" w:cs="Arial"/>
          <w:b/>
          <w:bCs/>
          <w:i/>
          <w:noProof/>
          <w:sz w:val="24"/>
          <w:szCs w:val="14"/>
        </w:rPr>
      </w:pPr>
    </w:p>
    <w:p w14:paraId="76CB0DBF" w14:textId="62D33C5F"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Darbības veikšanai nepieciešamās licences ierobežo ieiešanu tirgū. Kvalifikācijas prasības var būt izteiktas minimālo standartu veidā attiecībā uz formālo izglītību un/vai pieredzi, un tajās var būt iekļautas laba raksturojuma prasības. Reizēm var izmantot “valsts interešu” mērauklu, prasot, lai iespējamie jaunie tirgus dalībnieki uzskatāmi parāda sniedzamā papildu pakalpojuma “nepieciešamību” un dažos gadījumos pat pierāda, ka viņu ienākšanai tirgū nebūs negatīvas ietekmes uz pašreizējo nozares dalībnieku komercdarbību. Ārkārtējos gadījumos var noteikt licenču skaitu. Lai gan licencēšanas sistēmām dažkārt ir pamatoti patērētāju tiesību aizsardzības mērķi, bieži vien šādu šķēršļu faktiskais rezultāts ir tirgū pārstāvēto ražotāju aizsardzība pret konkurenci. Dažkārt licencēšanas režīmi atkāpjas no to leģitīmajiem mērķiem tā, ka to piemērošana kļūst par skaidru šķērsli ienākšanai tirgū, ilgstoši novilcinot licences izdošanu, radot amatpersonu korupcijas iespējas vai vienkārši liedzot jebkādu reālu iespēju atbilstošiem pieteikuma iesniedzējiem ienākt tirgū.</w:t>
      </w:r>
    </w:p>
    <w:p w14:paraId="66DB59B6" w14:textId="22BC875D" w:rsidR="000A6469" w:rsidRPr="004D11C9" w:rsidRDefault="000A6469" w:rsidP="004D11C9">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FC2D81" w14:paraId="1CBDAC95" w14:textId="77777777" w:rsidTr="00FC2D81">
        <w:tc>
          <w:tcPr>
            <w:tcW w:w="9062" w:type="dxa"/>
          </w:tcPr>
          <w:p w14:paraId="3799A78D" w14:textId="723A620A" w:rsidR="00FC2D81" w:rsidRDefault="00FC2D81" w:rsidP="00FC2D81">
            <w:pPr>
              <w:jc w:val="center"/>
              <w:rPr>
                <w:rFonts w:ascii="Times New Roman" w:eastAsia="Arial" w:hAnsi="Times New Roman" w:cs="Arial"/>
                <w:noProof/>
                <w:sz w:val="24"/>
                <w:szCs w:val="20"/>
              </w:rPr>
            </w:pPr>
            <w:r>
              <w:rPr>
                <w:rFonts w:ascii="Times New Roman" w:hAnsi="Times New Roman"/>
                <w:b/>
                <w:sz w:val="24"/>
              </w:rPr>
              <w:t>10. ierāmējums. Taksometru licencēšana</w:t>
            </w:r>
          </w:p>
        </w:tc>
      </w:tr>
      <w:tr w:rsidR="00FC2D81" w14:paraId="296ED18A" w14:textId="77777777" w:rsidTr="00FC2D81">
        <w:tc>
          <w:tcPr>
            <w:tcW w:w="9062" w:type="dxa"/>
          </w:tcPr>
          <w:p w14:paraId="658E2BA4" w14:textId="77777777" w:rsidR="00FC2D81" w:rsidRDefault="00FC2D81" w:rsidP="00FC2D81">
            <w:pPr>
              <w:jc w:val="both"/>
              <w:rPr>
                <w:rFonts w:ascii="Times New Roman" w:hAnsi="Times New Roman"/>
                <w:noProof/>
                <w:sz w:val="24"/>
              </w:rPr>
            </w:pPr>
            <w:r>
              <w:rPr>
                <w:rFonts w:ascii="Times New Roman" w:hAnsi="Times New Roman"/>
                <w:sz w:val="24"/>
              </w:rPr>
              <w:t xml:space="preserve">Dublinā, Īrijā 2000. gadā tika ierobežots taksometru skaits un noteikts, ka visiem taksometru </w:t>
            </w:r>
            <w:r>
              <w:rPr>
                <w:rFonts w:ascii="Times New Roman" w:hAnsi="Times New Roman"/>
                <w:sz w:val="24"/>
              </w:rPr>
              <w:lastRenderedPageBreak/>
              <w:t>vadītājiem ir nepieciešama licence. Rezultātā radās taksometru deficīts, kā dēļ populārākajos vakaros, kad cilvēki dodas laukā atpūsties, dažkārt rindā bija jāgaida stundām ilgi, lai nokļūtu ar taksometru mājās. Tiesa 2001. gadā atcēla valdības noteiktos licenču skaita ierobežojumus, nosakot, ka šādi ierobežojumi ir pretrunā likumam. Pēc ierobežojumu atcelšanas taksometru licences tika izsniegtas visiem kvalificētajiem jaunpienācējiem un taksometru licenču skaits palielinājās par vairāk nekā 300 %, ievērojami samazinot gaidīšanas laiku vispopulārākajās taksometra pakalpojuma izmantošanas stundās. Lielais licenču skaita pieaugums parādīja to, kā valdības regulējums bija izraisījis ievērojamu tirgus nepietiekamību, un liberalizācija paaugstināja nodarbinātības līmeni.</w:t>
            </w:r>
          </w:p>
          <w:p w14:paraId="1A2D1A5B" w14:textId="77777777" w:rsidR="00FC2D81" w:rsidRPr="004D11C9" w:rsidRDefault="00FC2D81" w:rsidP="00FC2D81">
            <w:pPr>
              <w:jc w:val="both"/>
              <w:rPr>
                <w:rFonts w:ascii="Times New Roman" w:eastAsia="Arial" w:hAnsi="Times New Roman" w:cs="Arial"/>
                <w:noProof/>
                <w:sz w:val="24"/>
                <w:szCs w:val="18"/>
              </w:rPr>
            </w:pPr>
          </w:p>
          <w:p w14:paraId="09F8D0CC" w14:textId="1F5C3B8D" w:rsidR="00FC2D81" w:rsidRPr="00FC2D81" w:rsidRDefault="00FC2D81" w:rsidP="004D11C9">
            <w:pPr>
              <w:jc w:val="both"/>
              <w:rPr>
                <w:rFonts w:ascii="Times New Roman" w:eastAsia="Arial" w:hAnsi="Times New Roman" w:cs="Arial"/>
                <w:noProof/>
                <w:sz w:val="24"/>
                <w:szCs w:val="17"/>
              </w:rPr>
            </w:pPr>
            <w:r>
              <w:rPr>
                <w:rFonts w:ascii="Times New Roman" w:hAnsi="Times New Roman"/>
                <w:i/>
                <w:sz w:val="24"/>
              </w:rPr>
              <w:t>Avots</w:t>
            </w:r>
            <w:r>
              <w:rPr>
                <w:rFonts w:ascii="Times New Roman" w:hAnsi="Times New Roman"/>
                <w:sz w:val="24"/>
              </w:rPr>
              <w:t>: ESAO (2007).</w:t>
            </w:r>
          </w:p>
        </w:tc>
      </w:tr>
    </w:tbl>
    <w:p w14:paraId="35A1AD10" w14:textId="5CBFF47B" w:rsidR="00867DDD" w:rsidRDefault="00867DDD" w:rsidP="004D11C9">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FC2D81" w14:paraId="6435A4A9" w14:textId="77777777" w:rsidTr="00FC2D81">
        <w:tc>
          <w:tcPr>
            <w:tcW w:w="9062" w:type="dxa"/>
          </w:tcPr>
          <w:p w14:paraId="3AD6F9B0" w14:textId="597F5659" w:rsidR="00FC2D81" w:rsidRDefault="00FC2D81" w:rsidP="00FC2D81">
            <w:pPr>
              <w:jc w:val="center"/>
              <w:rPr>
                <w:rFonts w:ascii="Times New Roman" w:eastAsia="Arial" w:hAnsi="Times New Roman" w:cs="Arial"/>
                <w:noProof/>
                <w:sz w:val="24"/>
                <w:szCs w:val="20"/>
              </w:rPr>
            </w:pPr>
            <w:r>
              <w:rPr>
                <w:rFonts w:ascii="Times New Roman" w:hAnsi="Times New Roman"/>
                <w:b/>
                <w:sz w:val="24"/>
              </w:rPr>
              <w:t>11. ierāmējums. Licences, atļaujas un pilnvarojumi digitalizētu pakalpojumu sniegšanai</w:t>
            </w:r>
          </w:p>
        </w:tc>
      </w:tr>
      <w:tr w:rsidR="00FC2D81" w14:paraId="485ADAE1" w14:textId="77777777" w:rsidTr="00FC2D81">
        <w:tc>
          <w:tcPr>
            <w:tcW w:w="9062" w:type="dxa"/>
          </w:tcPr>
          <w:p w14:paraId="31BAD458" w14:textId="77777777" w:rsidR="00FC2D81" w:rsidRPr="004D11C9" w:rsidRDefault="00FC2D81" w:rsidP="00FC2D81">
            <w:pPr>
              <w:jc w:val="both"/>
              <w:rPr>
                <w:rFonts w:ascii="Times New Roman" w:eastAsia="Arial" w:hAnsi="Times New Roman" w:cs="Arial"/>
                <w:noProof/>
                <w:sz w:val="24"/>
                <w:szCs w:val="18"/>
              </w:rPr>
            </w:pPr>
            <w:r>
              <w:rPr>
                <w:rFonts w:ascii="Times New Roman" w:hAnsi="Times New Roman"/>
                <w:sz w:val="24"/>
              </w:rPr>
              <w:t>Licences, atļaujas vai pilnvarojumi bieži ir nepieciešami digitālo vai digitalizēto pakalpojumu sniegšanai. Piemēram, Norvēģijā, Somijā un Zviedrijā kopbraukšanas pakalpojumus var sniegt tikai ar taksometra licencēm. Indijā 2016. gada Mehānisko transportlīdzekļu (grozījumu) likumprojektā bija noteikts, ka, lai saņemtu licenci, ir jānodrošina “digitāls starpnieks vai tirdzniecības vieta, ko pasažieris var izmantot, lai sazinātos ar vadītāju un vienotos par transportēšanu”.</w:t>
            </w:r>
          </w:p>
          <w:p w14:paraId="67710916" w14:textId="77777777" w:rsidR="00FC2D81" w:rsidRPr="004D11C9" w:rsidRDefault="00FC2D81" w:rsidP="00FC2D81">
            <w:pPr>
              <w:jc w:val="both"/>
              <w:rPr>
                <w:rFonts w:ascii="Times New Roman" w:eastAsia="Arial" w:hAnsi="Times New Roman" w:cs="Arial"/>
                <w:noProof/>
                <w:sz w:val="24"/>
                <w:szCs w:val="20"/>
              </w:rPr>
            </w:pPr>
          </w:p>
          <w:p w14:paraId="76767804" w14:textId="77777777" w:rsidR="00FC2D81" w:rsidRDefault="00FC2D81" w:rsidP="00FC2D81">
            <w:pPr>
              <w:jc w:val="both"/>
              <w:rPr>
                <w:rFonts w:ascii="Times New Roman" w:hAnsi="Times New Roman"/>
                <w:noProof/>
                <w:sz w:val="24"/>
              </w:rPr>
            </w:pPr>
            <w:r>
              <w:rPr>
                <w:rFonts w:ascii="Times New Roman" w:hAnsi="Times New Roman"/>
                <w:sz w:val="24"/>
              </w:rPr>
              <w:t>Japānā saskaņā ar 2017. gada Mājvietu koplietošanas uzņēmējdarbības likuma Nr. 65 46. pantu visiem mājvietas koplietošanas līgumiem ir jābūt reģistrētiem Japānas Tūrisma aģentūrā . Lai Francijā nodarbotos ar vienādranga izīrēšanu, ir nepieciešama atļauja. Kanāriju salās un Galīcijā, Spānijā, ir jāreģistrē arī mājokļi brīvdienu pavadīšanai. Lai arī šādu atļauju nepieciešamībai var būt pārliecinošs pamatojums, dažas no tām var būt ieviestas ar nolūku aizsargāt tos tirgū esošos uzņēmumus, kas sniedz ļoti līdzīgus pakalpojumus.</w:t>
            </w:r>
          </w:p>
          <w:p w14:paraId="39E7284A" w14:textId="77777777" w:rsidR="00FC2D81" w:rsidRPr="004D11C9" w:rsidRDefault="00FC2D81" w:rsidP="00FC2D81">
            <w:pPr>
              <w:jc w:val="both"/>
              <w:rPr>
                <w:rFonts w:ascii="Times New Roman" w:eastAsia="Arial" w:hAnsi="Times New Roman" w:cs="Arial"/>
                <w:noProof/>
                <w:sz w:val="24"/>
                <w:szCs w:val="18"/>
              </w:rPr>
            </w:pPr>
          </w:p>
          <w:p w14:paraId="78FACB6C" w14:textId="77FF9D2F" w:rsidR="00FC2D81" w:rsidRPr="00FC2D81" w:rsidRDefault="00FC2D81" w:rsidP="004D11C9">
            <w:pPr>
              <w:jc w:val="both"/>
              <w:rPr>
                <w:rFonts w:ascii="Times New Roman" w:eastAsia="Arial" w:hAnsi="Times New Roman" w:cs="Arial"/>
                <w:noProof/>
                <w:sz w:val="24"/>
                <w:szCs w:val="17"/>
              </w:rPr>
            </w:pPr>
            <w:r>
              <w:rPr>
                <w:rFonts w:ascii="Times New Roman" w:hAnsi="Times New Roman"/>
                <w:i/>
                <w:sz w:val="24"/>
              </w:rPr>
              <w:t>Avots</w:t>
            </w:r>
            <w:r>
              <w:rPr>
                <w:rFonts w:ascii="Times New Roman" w:hAnsi="Times New Roman"/>
                <w:sz w:val="24"/>
              </w:rPr>
              <w:t>: ESAO (2018).</w:t>
            </w:r>
          </w:p>
        </w:tc>
      </w:tr>
    </w:tbl>
    <w:p w14:paraId="4A71A1EA" w14:textId="77777777" w:rsidR="000A6469" w:rsidRPr="004D11C9" w:rsidRDefault="000A6469" w:rsidP="004D11C9">
      <w:pPr>
        <w:jc w:val="both"/>
        <w:rPr>
          <w:rFonts w:ascii="Times New Roman" w:eastAsia="Arial" w:hAnsi="Times New Roman" w:cs="Arial"/>
          <w:noProof/>
          <w:sz w:val="24"/>
          <w:szCs w:val="14"/>
        </w:rPr>
      </w:pPr>
    </w:p>
    <w:p w14:paraId="49CCB434" w14:textId="7E23A7F3"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Licences vai atļaujas prasības vienmēr ir stingrākas, nekā tas nepieciešams patērētāju aizsardzībai, un tās var nevajadzīgi samazināt patērētāju izvēli un radīt mākslīgu deficītu, kas paaugstina cenas. Licencēšanas ierobežojumi var būt īpaši problemātiski tām profesijām, kurās bieži rodas bažas par to, ka licencēšanas ierobežojumi ir noteikti ar nolūku aizsargāt profesijas dalībnieku intereses, nevis sabiedrības intereses. Pamatprincips ir nodrošināt, ka licences un atļaujas tiek pieprasītas tikai tad, kad tās ir nepieciešamas, un atteikumiem ir jābūt pamatotiem un apstrīdamiem tiesā. Ja licencēšanas režīmi nav nepieciešami vai patērētāju aizsardzību ir iespējams nodrošināt citā veidā, šos licencēšanas režīmus var likvidēt.</w:t>
      </w:r>
    </w:p>
    <w:p w14:paraId="4D2A0522" w14:textId="77777777" w:rsidR="000A6469" w:rsidRPr="004D11C9" w:rsidRDefault="000A6469" w:rsidP="004D11C9">
      <w:pPr>
        <w:jc w:val="both"/>
        <w:rPr>
          <w:rFonts w:ascii="Times New Roman" w:eastAsia="Arial" w:hAnsi="Times New Roman" w:cs="Arial"/>
          <w:noProof/>
          <w:sz w:val="24"/>
          <w:szCs w:val="21"/>
        </w:rPr>
      </w:pPr>
    </w:p>
    <w:p w14:paraId="6013C5D0" w14:textId="5A9E3AFB" w:rsidR="000A6469" w:rsidRPr="004D11C9" w:rsidRDefault="000A6469" w:rsidP="004D11C9">
      <w:pPr>
        <w:pStyle w:val="Heading4"/>
        <w:ind w:left="0"/>
        <w:jc w:val="both"/>
        <w:rPr>
          <w:rFonts w:ascii="Times New Roman" w:hAnsi="Times New Roman"/>
          <w:noProof/>
          <w:sz w:val="24"/>
        </w:rPr>
      </w:pPr>
      <w:bookmarkStart w:id="47" w:name="Limits_the_ability_of_some_types_of_supp"/>
      <w:bookmarkEnd w:id="47"/>
      <w:r>
        <w:rPr>
          <w:rFonts w:ascii="Times New Roman" w:hAnsi="Times New Roman"/>
          <w:sz w:val="24"/>
        </w:rPr>
        <w:t>Ierobežojumi attiecībā uz noteikta veida piegādātāju iespējām piegādāt preces vai sniegt pakalpojumus</w:t>
      </w:r>
    </w:p>
    <w:p w14:paraId="71989BF2" w14:textId="77777777" w:rsidR="000A6469" w:rsidRPr="004D11C9" w:rsidRDefault="000A6469" w:rsidP="004D11C9">
      <w:pPr>
        <w:jc w:val="both"/>
        <w:rPr>
          <w:rFonts w:ascii="Times New Roman" w:eastAsia="Arial" w:hAnsi="Times New Roman" w:cs="Arial"/>
          <w:b/>
          <w:bCs/>
          <w:i/>
          <w:noProof/>
          <w:sz w:val="24"/>
          <w:szCs w:val="20"/>
        </w:rPr>
      </w:pPr>
    </w:p>
    <w:p w14:paraId="06A37586" w14:textId="1D477CC1"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Dažkārt valstis cenšas atbalstīt piegādātājus no noteiktiem reģioniem, mazus piegādātājus vai piegādātājus ar citām īpašām pazīmēm, ierobežojot atsevišķu kvalificētu piegādātāju grupu iespējas veikt uzņēmējdarbību, šim nolūkam jo īpaši izmantojot publisko iepirkumu. Šādi ierobežojumi bieži vien ir pārmērīgi stingri, jo tie nepamatoti ierobežo to piegādātāju skaitu, kas piedalās iepirkumā, samazina konkurenci starp piegādātājiem un rada augstākas cenas vai neizdevīgākus līguma noteikumus valstij.</w:t>
      </w:r>
    </w:p>
    <w:p w14:paraId="47E04AA7" w14:textId="66B56206" w:rsidR="000A6469" w:rsidRPr="004D11C9" w:rsidRDefault="000A6469" w:rsidP="004D11C9">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FC2D81" w14:paraId="6E09DA01" w14:textId="77777777" w:rsidTr="00FC2D81">
        <w:tc>
          <w:tcPr>
            <w:tcW w:w="9062" w:type="dxa"/>
          </w:tcPr>
          <w:p w14:paraId="3B1349FA" w14:textId="33DC1B42" w:rsidR="00FC2D81" w:rsidRDefault="00FC2D81" w:rsidP="00121F0E">
            <w:pPr>
              <w:keepNext/>
              <w:jc w:val="center"/>
              <w:rPr>
                <w:rFonts w:ascii="Times New Roman" w:eastAsia="Arial" w:hAnsi="Times New Roman" w:cs="Arial"/>
                <w:noProof/>
                <w:sz w:val="24"/>
                <w:szCs w:val="20"/>
              </w:rPr>
            </w:pPr>
            <w:r>
              <w:rPr>
                <w:rFonts w:ascii="Times New Roman" w:hAnsi="Times New Roman"/>
                <w:b/>
                <w:sz w:val="24"/>
              </w:rPr>
              <w:lastRenderedPageBreak/>
              <w:t>12. ierāmējums. Mēslošanas līdzekļu atbalsta programma. Minimālais darbības laiks</w:t>
            </w:r>
          </w:p>
        </w:tc>
      </w:tr>
      <w:tr w:rsidR="00FC2D81" w14:paraId="3056113A" w14:textId="77777777" w:rsidTr="00FC2D81">
        <w:tc>
          <w:tcPr>
            <w:tcW w:w="9062" w:type="dxa"/>
          </w:tcPr>
          <w:p w14:paraId="655EB827" w14:textId="77777777" w:rsidR="00FC2D81" w:rsidRDefault="00FC2D81" w:rsidP="00121F0E">
            <w:pPr>
              <w:keepNext/>
              <w:jc w:val="both"/>
              <w:rPr>
                <w:rFonts w:ascii="Times New Roman" w:hAnsi="Times New Roman"/>
                <w:noProof/>
                <w:sz w:val="24"/>
              </w:rPr>
            </w:pPr>
            <w:r>
              <w:rPr>
                <w:rFonts w:ascii="Times New Roman" w:hAnsi="Times New Roman"/>
                <w:sz w:val="24"/>
              </w:rPr>
              <w:t>Zambijā darbojas lauksaimnieku atbalsta programma, kas lauksaimniekiem subsidē mēslošanas līdzekļu iegādi. Programmā tika izsludināti konkursi par mēslošanas līdzekļu nodrošināšanu. Viens no konkursa nosacījumiem bija tāds, ka dalībniekiem ir nepieciešama vismaz piecus gadus ilga pieredze mēslošanas līdzekļu tirgū. Tas faktiski izslēdza potenciālos jaunos piegādātājus, kam, ja tie vēlējās apkalpot tirgu, vismaz piecus gadus bija jāpārdod produkcija komerctirgū, konkurējot ar subsidēto mēslojumu, lai iegūtu iespēju uzvarēt valsts konkursā. Rezultātā gadu pēc gada lielāko iepirkuma daļu ieguva tie paši divi uzņēmumi, trešajai vietai atlicinot vien nelielu iepirkuma daļu. Pašlaik šis process ir mainīts, un lauksaimniekiem tiek izsniegti elektroniskie taloni, ko viņi var izmantot produkcijas iegādei tieši pie sava izraudzītā piegādātāja.</w:t>
            </w:r>
          </w:p>
          <w:p w14:paraId="7DCBA9EC" w14:textId="77777777" w:rsidR="00FC2D81" w:rsidRPr="004D11C9" w:rsidRDefault="00FC2D81" w:rsidP="00121F0E">
            <w:pPr>
              <w:keepNext/>
              <w:jc w:val="both"/>
              <w:rPr>
                <w:rFonts w:ascii="Times New Roman" w:eastAsia="Arial" w:hAnsi="Times New Roman" w:cs="Arial"/>
                <w:noProof/>
                <w:sz w:val="24"/>
                <w:szCs w:val="18"/>
              </w:rPr>
            </w:pPr>
          </w:p>
          <w:p w14:paraId="0AFD3E92" w14:textId="623197DD" w:rsidR="00FC2D81" w:rsidRPr="00FC2D81" w:rsidRDefault="00FC2D81" w:rsidP="00121F0E">
            <w:pPr>
              <w:keepNext/>
              <w:jc w:val="both"/>
              <w:rPr>
                <w:rFonts w:ascii="Times New Roman" w:eastAsia="Arial" w:hAnsi="Times New Roman" w:cs="Arial"/>
                <w:noProof/>
                <w:sz w:val="24"/>
                <w:szCs w:val="17"/>
              </w:rPr>
            </w:pPr>
            <w:r>
              <w:rPr>
                <w:rFonts w:ascii="Times New Roman" w:hAnsi="Times New Roman"/>
                <w:i/>
                <w:sz w:val="24"/>
              </w:rPr>
              <w:t>Avots</w:t>
            </w:r>
            <w:r>
              <w:rPr>
                <w:rFonts w:ascii="Times New Roman" w:hAnsi="Times New Roman"/>
                <w:sz w:val="24"/>
              </w:rPr>
              <w:t>: Klissas, N. (2014).</w:t>
            </w:r>
          </w:p>
        </w:tc>
      </w:tr>
    </w:tbl>
    <w:p w14:paraId="577E7BE3" w14:textId="38EF049F" w:rsidR="00867DDD" w:rsidRDefault="00867DDD" w:rsidP="004D11C9">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FC2D81" w14:paraId="15AB8701" w14:textId="77777777" w:rsidTr="00FC2D81">
        <w:tc>
          <w:tcPr>
            <w:tcW w:w="9062" w:type="dxa"/>
          </w:tcPr>
          <w:p w14:paraId="30ED2B86" w14:textId="6660019E" w:rsidR="00FC2D81" w:rsidRDefault="00FC2D81" w:rsidP="00FC2D81">
            <w:pPr>
              <w:jc w:val="center"/>
              <w:rPr>
                <w:rFonts w:ascii="Times New Roman" w:eastAsia="Arial" w:hAnsi="Times New Roman" w:cs="Arial"/>
                <w:noProof/>
                <w:sz w:val="24"/>
                <w:szCs w:val="20"/>
              </w:rPr>
            </w:pPr>
            <w:r>
              <w:rPr>
                <w:rFonts w:ascii="Times New Roman" w:hAnsi="Times New Roman"/>
                <w:b/>
                <w:sz w:val="24"/>
              </w:rPr>
              <w:t>13. ierāmējums. Latvija. Vietējo ierobežojumu piemērs</w:t>
            </w:r>
          </w:p>
        </w:tc>
      </w:tr>
      <w:tr w:rsidR="00FC2D81" w14:paraId="364EDED0" w14:textId="77777777" w:rsidTr="00FC2D81">
        <w:tc>
          <w:tcPr>
            <w:tcW w:w="9062" w:type="dxa"/>
          </w:tcPr>
          <w:p w14:paraId="7066E43D" w14:textId="744F42D5" w:rsidR="00FC2D81" w:rsidRPr="00FC2D81" w:rsidRDefault="00FC2D81" w:rsidP="004D11C9">
            <w:pPr>
              <w:jc w:val="both"/>
              <w:rPr>
                <w:rFonts w:ascii="Times New Roman" w:eastAsia="Arial" w:hAnsi="Times New Roman" w:cs="Arial"/>
                <w:noProof/>
                <w:sz w:val="24"/>
                <w:szCs w:val="18"/>
              </w:rPr>
            </w:pPr>
            <w:r>
              <w:rPr>
                <w:rFonts w:ascii="Times New Roman" w:hAnsi="Times New Roman"/>
                <w:sz w:val="24"/>
              </w:rPr>
              <w:t>Latvijā 2013. gadā tika izstrādāts normatīvā akta projekts, kas paredzēja, ka pakalpojumu sniedzējiem ostā ir jāpieder zemei ostas teritorijā vai ka tiem ir jānomā šāda zeme. Šāds normatīvais akts ierobežotu potenciālo pakalpojumu sniedzēju skaitu līdz tiem, kam ir fiziska klātbūtne ierobežotas darbības zonā. Šādus ierobežojumus varētu izmantot, lai kontrolētu to, kuri uzņēmumi var piekļūt ierobežotajai ostas teritorijai, un tādējādi noteiktu, kuri uzņēmumi var sniegt pakalpojumus un kuriem šāda iespēja būs liegta. Konkurences uzraudzības iestāde iebilda pret šo normatīvā akta priekšlikumu, jo tas varētu ierobežot konkurenci, un priekšlikums netika apstiprināts.</w:t>
            </w:r>
          </w:p>
        </w:tc>
      </w:tr>
    </w:tbl>
    <w:p w14:paraId="44911E9B" w14:textId="0E4FE7CB" w:rsidR="00FC2D81" w:rsidRDefault="00FC2D81" w:rsidP="004D11C9">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FC2D81" w14:paraId="6137082B" w14:textId="77777777" w:rsidTr="00FC2D81">
        <w:tc>
          <w:tcPr>
            <w:tcW w:w="9062" w:type="dxa"/>
          </w:tcPr>
          <w:p w14:paraId="393FD765" w14:textId="1A257D85" w:rsidR="00FC2D81" w:rsidRPr="00FC2D81" w:rsidRDefault="00FC2D81" w:rsidP="00FC2D81">
            <w:pPr>
              <w:jc w:val="center"/>
              <w:rPr>
                <w:rFonts w:ascii="Times New Roman" w:hAnsi="Times New Roman"/>
                <w:b/>
                <w:noProof/>
                <w:sz w:val="24"/>
              </w:rPr>
            </w:pPr>
            <w:r>
              <w:rPr>
                <w:rFonts w:ascii="Times New Roman" w:hAnsi="Times New Roman"/>
                <w:b/>
                <w:sz w:val="24"/>
              </w:rPr>
              <w:t>14. ierāmējums. Ierobežojumi attiecībā uz digitalizētiem piegādātājiem</w:t>
            </w:r>
          </w:p>
        </w:tc>
      </w:tr>
      <w:tr w:rsidR="00FC2D81" w14:paraId="3E8AA312" w14:textId="77777777" w:rsidTr="00FC2D81">
        <w:tc>
          <w:tcPr>
            <w:tcW w:w="9062" w:type="dxa"/>
          </w:tcPr>
          <w:p w14:paraId="02E6521C" w14:textId="77777777" w:rsidR="00FC2D81" w:rsidRPr="004D11C9" w:rsidRDefault="00FC2D81" w:rsidP="00FC2D81">
            <w:pPr>
              <w:jc w:val="both"/>
              <w:rPr>
                <w:rFonts w:ascii="Times New Roman" w:hAnsi="Times New Roman"/>
                <w:b/>
                <w:noProof/>
                <w:sz w:val="24"/>
              </w:rPr>
            </w:pPr>
            <w:r>
              <w:rPr>
                <w:rFonts w:ascii="Times New Roman" w:hAnsi="Times New Roman"/>
                <w:b/>
                <w:sz w:val="24"/>
              </w:rPr>
              <w:t>Aizliegums</w:t>
            </w:r>
          </w:p>
          <w:p w14:paraId="58E89B0B" w14:textId="77777777" w:rsidR="00FC2D81" w:rsidRPr="004D11C9" w:rsidRDefault="00FC2D81" w:rsidP="00FC2D81">
            <w:pPr>
              <w:jc w:val="both"/>
              <w:rPr>
                <w:rFonts w:ascii="Times New Roman" w:eastAsia="Arial" w:hAnsi="Times New Roman" w:cs="Arial"/>
                <w:b/>
                <w:bCs/>
                <w:noProof/>
                <w:sz w:val="24"/>
                <w:szCs w:val="14"/>
              </w:rPr>
            </w:pPr>
          </w:p>
          <w:p w14:paraId="6E90C88A" w14:textId="77777777" w:rsidR="00FC2D81" w:rsidRPr="004D11C9" w:rsidRDefault="00FC2D81" w:rsidP="00FC2D81">
            <w:pPr>
              <w:jc w:val="both"/>
              <w:rPr>
                <w:rFonts w:ascii="Times New Roman" w:hAnsi="Times New Roman"/>
                <w:noProof/>
                <w:sz w:val="24"/>
              </w:rPr>
            </w:pPr>
            <w:r>
              <w:rPr>
                <w:rFonts w:ascii="Times New Roman" w:hAnsi="Times New Roman"/>
                <w:sz w:val="24"/>
              </w:rPr>
              <w:t>Dažos gadījumos digitālie pakalpojumi ir aizliegti vai uzskatīti par nelikumīgiem, piemērojot spēkā esošos noteikumus attiecībā uz šiem pakalpojumiem.</w:t>
            </w:r>
          </w:p>
          <w:p w14:paraId="436A5B48" w14:textId="77777777" w:rsidR="00FC2D81" w:rsidRPr="004D11C9" w:rsidRDefault="00FC2D81" w:rsidP="00FC2D81">
            <w:pPr>
              <w:jc w:val="both"/>
              <w:rPr>
                <w:rFonts w:ascii="Times New Roman" w:eastAsia="Arial" w:hAnsi="Times New Roman" w:cs="Arial"/>
                <w:noProof/>
                <w:sz w:val="24"/>
                <w:szCs w:val="13"/>
              </w:rPr>
            </w:pPr>
          </w:p>
          <w:p w14:paraId="623CAA74" w14:textId="77777777" w:rsidR="00FC2D81" w:rsidRPr="004D11C9" w:rsidRDefault="00FC2D81" w:rsidP="00FC2D81">
            <w:pPr>
              <w:jc w:val="both"/>
              <w:rPr>
                <w:rFonts w:ascii="Times New Roman" w:eastAsia="Arial" w:hAnsi="Times New Roman" w:cs="Arial"/>
                <w:noProof/>
                <w:sz w:val="24"/>
                <w:szCs w:val="18"/>
              </w:rPr>
            </w:pPr>
            <w:r>
              <w:rPr>
                <w:rFonts w:ascii="Times New Roman" w:hAnsi="Times New Roman"/>
                <w:sz w:val="24"/>
              </w:rPr>
              <w:t>Pirms regulatīvas reformas īstenošanas vairākas Kanādas pilsētas bija ieviesušas noteikumus un veikušas juridiskas darbības, lai nepieļautu kopbraukšanas pakalpojumu sniegšanu. Uzskatot, ka kopbraukšanas platformas darbojās ārpus spēkā esošajiem noteikumiem, Otava, Monreāla un Toronto uztvēra kopbraukšanas transportlīdzekļus kā nelicencētus “bandītu” taksometrus un vērsa pret tiem tiesībaizsardzības pasākumus. Lielākā daļa no šīm pilsētām ir atcēlušas ierobežojošos noteikumus. Arī Turcijā kopbraukšanas pakalpojumi tiek uzskatīti par “bandītu” taksometru darbību. Saskaņā ar likumu Nr. 2918 par nelikumīgu pakalpojuma sniegšanu tiek sodīts ne tikai vadītājs, bet arī pasažieris. Zviedrijā attiecībā uz taksometru tirgu netiek piemērotas kvotas vai cenu regulēšana. Lielā mērā liberalizētajā taksometru tirgū lielākais kopbraukšanas pakalpojumu sniedzējs Zviedrijā daļēji pārtrauca savu darbību (proti, pakalpojumus, kas tika sniegti, izmantojot privātās automašīnas) pēc tam, kad autovadītāji tika atzīti par vainīgiem, piedaloties nelikumīgā taksometru satiksmē likuma Nr. 2012/211 izpratnē.</w:t>
            </w:r>
          </w:p>
          <w:p w14:paraId="4C64010D" w14:textId="77777777" w:rsidR="00FC2D81" w:rsidRPr="004D11C9" w:rsidRDefault="00FC2D81" w:rsidP="00FC2D81">
            <w:pPr>
              <w:jc w:val="both"/>
              <w:rPr>
                <w:rFonts w:ascii="Times New Roman" w:eastAsia="Arial" w:hAnsi="Times New Roman" w:cs="Arial"/>
                <w:noProof/>
                <w:sz w:val="24"/>
                <w:szCs w:val="14"/>
              </w:rPr>
            </w:pPr>
          </w:p>
          <w:p w14:paraId="3389328E" w14:textId="77777777" w:rsidR="00FC2D81" w:rsidRPr="004D11C9" w:rsidRDefault="00FC2D81" w:rsidP="00FC2D81">
            <w:pPr>
              <w:jc w:val="both"/>
              <w:rPr>
                <w:rFonts w:ascii="Times New Roman" w:eastAsia="Arial" w:hAnsi="Times New Roman" w:cs="Arial"/>
                <w:noProof/>
                <w:sz w:val="24"/>
                <w:szCs w:val="18"/>
              </w:rPr>
            </w:pPr>
            <w:r>
              <w:rPr>
                <w:rFonts w:ascii="Times New Roman" w:hAnsi="Times New Roman"/>
                <w:sz w:val="24"/>
              </w:rPr>
              <w:t>Japānā kopbraukšanas pakalpojumi kopumā ir aizliegti. Dažas Itālijas tiesas ir aizliegušas jaunus digitālo pakalpojumu veidus, pamatojoties uz spēkā esošo taksometru regulējumu un uz “negodīgas konkurences” normām 2015. gadā un arī nesenāk – 2017. gadā.</w:t>
            </w:r>
          </w:p>
          <w:p w14:paraId="31653B77" w14:textId="77777777" w:rsidR="00FC2D81" w:rsidRPr="004D11C9" w:rsidRDefault="00FC2D81" w:rsidP="00FC2D81">
            <w:pPr>
              <w:jc w:val="both"/>
              <w:rPr>
                <w:rFonts w:ascii="Times New Roman" w:eastAsia="Arial" w:hAnsi="Times New Roman" w:cs="Arial"/>
                <w:noProof/>
                <w:sz w:val="24"/>
                <w:szCs w:val="14"/>
              </w:rPr>
            </w:pPr>
          </w:p>
          <w:p w14:paraId="13A721D2" w14:textId="77777777" w:rsidR="00FC2D81" w:rsidRPr="004D11C9" w:rsidRDefault="00FC2D81" w:rsidP="00FC2D81">
            <w:pPr>
              <w:jc w:val="both"/>
              <w:rPr>
                <w:rFonts w:ascii="Times New Roman" w:eastAsia="Arial" w:hAnsi="Times New Roman" w:cs="Arial"/>
                <w:noProof/>
                <w:sz w:val="24"/>
                <w:szCs w:val="18"/>
              </w:rPr>
            </w:pPr>
            <w:r>
              <w:rPr>
                <w:rFonts w:ascii="Times New Roman" w:hAnsi="Times New Roman"/>
                <w:sz w:val="24"/>
              </w:rPr>
              <w:t xml:space="preserve">Brazīlijā telemedicīna ir atļauta tikai tad, ja ārsti ir klātesoši abos sakaru līnijas galos. </w:t>
            </w:r>
            <w:r>
              <w:rPr>
                <w:rFonts w:ascii="Times New Roman" w:hAnsi="Times New Roman"/>
                <w:sz w:val="24"/>
              </w:rPr>
              <w:lastRenderedPageBreak/>
              <w:t>Rezolūcijā Nr. 1643/2002, kas tika pieņemta 2016. gadā, Federālā Medicīnas padome aizliedza attālinātās medicīniskās konsultācijas starp ārstiem un pacientiem. Saskaņā ar Turcijas likuma Nr. 6197 24. pantu Turcijā zāles nevar pārdot ne tiešsaistē, ne arī kādā citā elektroniskā vidē.</w:t>
            </w:r>
          </w:p>
          <w:p w14:paraId="0DC923BF" w14:textId="77777777" w:rsidR="00FC2D81" w:rsidRPr="004D11C9" w:rsidRDefault="00FC2D81" w:rsidP="00FC2D81">
            <w:pPr>
              <w:jc w:val="both"/>
              <w:rPr>
                <w:rFonts w:ascii="Times New Roman" w:eastAsia="Arial" w:hAnsi="Times New Roman" w:cs="Arial"/>
                <w:noProof/>
                <w:sz w:val="24"/>
                <w:szCs w:val="14"/>
              </w:rPr>
            </w:pPr>
          </w:p>
          <w:p w14:paraId="786D2189" w14:textId="77777777" w:rsidR="00FC2D81" w:rsidRPr="004D11C9" w:rsidRDefault="00FC2D81" w:rsidP="00FC2D81">
            <w:pPr>
              <w:jc w:val="both"/>
              <w:rPr>
                <w:rFonts w:ascii="Times New Roman" w:hAnsi="Times New Roman"/>
                <w:b/>
                <w:noProof/>
                <w:sz w:val="24"/>
              </w:rPr>
            </w:pPr>
            <w:r>
              <w:rPr>
                <w:rFonts w:ascii="Times New Roman" w:hAnsi="Times New Roman"/>
                <w:b/>
                <w:sz w:val="24"/>
              </w:rPr>
              <w:t>Piegādes daudzuma ierobežojumi</w:t>
            </w:r>
          </w:p>
          <w:p w14:paraId="0DAC8C18" w14:textId="77777777" w:rsidR="00FC2D81" w:rsidRPr="004D11C9" w:rsidRDefault="00FC2D81" w:rsidP="00FC2D81">
            <w:pPr>
              <w:jc w:val="both"/>
              <w:rPr>
                <w:rFonts w:ascii="Times New Roman" w:eastAsia="Arial" w:hAnsi="Times New Roman" w:cs="Arial"/>
                <w:b/>
                <w:bCs/>
                <w:noProof/>
                <w:sz w:val="24"/>
                <w:szCs w:val="14"/>
              </w:rPr>
            </w:pPr>
          </w:p>
          <w:p w14:paraId="2F8729FE" w14:textId="77777777" w:rsidR="00FC2D81" w:rsidRPr="004D11C9" w:rsidRDefault="00FC2D81" w:rsidP="00FC2D81">
            <w:pPr>
              <w:jc w:val="both"/>
              <w:rPr>
                <w:rFonts w:ascii="Times New Roman" w:hAnsi="Times New Roman"/>
                <w:noProof/>
                <w:sz w:val="24"/>
              </w:rPr>
            </w:pPr>
            <w:r>
              <w:rPr>
                <w:rFonts w:ascii="Times New Roman" w:hAnsi="Times New Roman"/>
                <w:sz w:val="24"/>
              </w:rPr>
              <w:t>Citos gadījumos ir ierobežots tādu pakalpojumu daudzums, kas tiek sniegti, izmantojot digitālās platformas. Šāda veida regulējums ir īpaši izplatīts vienādranga īres gadījumā. Piemēram, Parīzē un Bordo nekustamā īpašuma īpašniekiem ir pienākums reģistrēt savus īpašumus attiecīgajā rajonā un ievērot 120 dienu ierobežojumu attiecībā uz īstermiņa izīrēšanu. Sanfrancisko visu mitekli var izīrēt īstermiņā uz laiku līdz 90 dienām gadā. Japānā mājas koplietošanas uzņēmējiem nav atļauts izīrēt savas telpas ilgāk par 180 dienām gadā.</w:t>
            </w:r>
          </w:p>
          <w:p w14:paraId="6F62D4BB" w14:textId="77777777" w:rsidR="00FC2D81" w:rsidRPr="004D11C9" w:rsidRDefault="00FC2D81" w:rsidP="00FC2D81">
            <w:pPr>
              <w:jc w:val="both"/>
              <w:rPr>
                <w:rFonts w:ascii="Times New Roman" w:eastAsia="Arial" w:hAnsi="Times New Roman" w:cs="Arial"/>
                <w:noProof/>
                <w:sz w:val="24"/>
                <w:szCs w:val="14"/>
              </w:rPr>
            </w:pPr>
          </w:p>
          <w:p w14:paraId="3D87F382" w14:textId="77777777" w:rsidR="00FC2D81" w:rsidRPr="004D11C9" w:rsidRDefault="00FC2D81" w:rsidP="00FC2D81">
            <w:pPr>
              <w:jc w:val="both"/>
              <w:rPr>
                <w:rFonts w:ascii="Times New Roman" w:hAnsi="Times New Roman"/>
                <w:noProof/>
                <w:sz w:val="24"/>
              </w:rPr>
            </w:pPr>
            <w:r>
              <w:rPr>
                <w:rFonts w:ascii="Times New Roman" w:hAnsi="Times New Roman"/>
                <w:sz w:val="24"/>
              </w:rPr>
              <w:t>Itālijas Lacio reģionā 2015. gadā tika ieviests alternatīvs veids, kā noteikt piegādes daudzuma ierobežojumus. Lacio reģions uzlika par pienākumu izmitināšanas pakalpojumu sniedzējiem, kas nav viesnīcas, pārtraukt pakalpojumu sniegšanu uz 100 dienām gadā. Administratīvā tiesa atcēla šo regulējumu pēc tam, kad to apstrīdēja Itālijas konkurences uzraudzības iestāde.</w:t>
            </w:r>
          </w:p>
          <w:p w14:paraId="23959985" w14:textId="77777777" w:rsidR="00FC2D81" w:rsidRPr="004D11C9" w:rsidRDefault="00FC2D81" w:rsidP="00FC2D81">
            <w:pPr>
              <w:jc w:val="both"/>
              <w:rPr>
                <w:rFonts w:ascii="Times New Roman" w:eastAsia="Arial" w:hAnsi="Times New Roman" w:cs="Arial"/>
                <w:noProof/>
                <w:sz w:val="24"/>
                <w:szCs w:val="13"/>
              </w:rPr>
            </w:pPr>
          </w:p>
          <w:p w14:paraId="3D2F4E3F" w14:textId="77777777" w:rsidR="00FC2D81" w:rsidRPr="004D11C9" w:rsidRDefault="00FC2D81" w:rsidP="00FC2D81">
            <w:pPr>
              <w:jc w:val="both"/>
              <w:rPr>
                <w:rFonts w:ascii="Times New Roman" w:hAnsi="Times New Roman"/>
                <w:noProof/>
                <w:sz w:val="24"/>
              </w:rPr>
            </w:pPr>
            <w:r>
              <w:rPr>
                <w:rFonts w:ascii="Times New Roman" w:hAnsi="Times New Roman"/>
                <w:sz w:val="24"/>
              </w:rPr>
              <w:t>Spēju veikt piegādes var netieši ierobežot ar dažādiem paņēmieniem. Piemēram, saskaņā ar dekrētu Nr. 79/2004 (17. panta 3. punkts) Madridē brīvdienu mitekli nevar izīrēt uz mazāk nekā piecām dienām. Savukārt tūristu vidējais uzturēšanās ilgums pilsētā ir aptuveni divas dienas.</w:t>
            </w:r>
          </w:p>
          <w:p w14:paraId="5AD992F0" w14:textId="77777777" w:rsidR="00FC2D81" w:rsidRPr="004D11C9" w:rsidRDefault="00FC2D81" w:rsidP="00FC2D81">
            <w:pPr>
              <w:jc w:val="both"/>
              <w:rPr>
                <w:rFonts w:ascii="Times New Roman" w:eastAsia="Arial" w:hAnsi="Times New Roman" w:cs="Arial"/>
                <w:noProof/>
                <w:sz w:val="24"/>
              </w:rPr>
            </w:pPr>
          </w:p>
          <w:p w14:paraId="67E6E909" w14:textId="77777777" w:rsidR="00FC2D81" w:rsidRPr="004D11C9" w:rsidRDefault="00FC2D81" w:rsidP="00FC2D81">
            <w:pPr>
              <w:jc w:val="both"/>
              <w:rPr>
                <w:rFonts w:ascii="Times New Roman" w:hAnsi="Times New Roman"/>
                <w:noProof/>
                <w:sz w:val="24"/>
              </w:rPr>
            </w:pPr>
            <w:r>
              <w:rPr>
                <w:rFonts w:ascii="Times New Roman" w:hAnsi="Times New Roman"/>
                <w:sz w:val="24"/>
              </w:rPr>
              <w:t>Tas nozīmē, ka lielai daļai tūristu vienranga īre nav pieejama vai ir ievērojami dārgāka.</w:t>
            </w:r>
          </w:p>
          <w:p w14:paraId="2086F508" w14:textId="77777777" w:rsidR="00FC2D81" w:rsidRPr="004D11C9" w:rsidRDefault="00FC2D81" w:rsidP="00FC2D81">
            <w:pPr>
              <w:jc w:val="both"/>
              <w:rPr>
                <w:rFonts w:ascii="Times New Roman" w:eastAsia="Arial" w:hAnsi="Times New Roman" w:cs="Arial"/>
                <w:noProof/>
                <w:sz w:val="24"/>
                <w:szCs w:val="20"/>
              </w:rPr>
            </w:pPr>
          </w:p>
          <w:p w14:paraId="17414898" w14:textId="7C5090A7" w:rsidR="00FC2D81" w:rsidRPr="00FC2D81" w:rsidRDefault="00FC2D81" w:rsidP="004D11C9">
            <w:pPr>
              <w:jc w:val="both"/>
              <w:rPr>
                <w:rFonts w:ascii="Times New Roman" w:eastAsia="Arial" w:hAnsi="Times New Roman" w:cs="Arial"/>
                <w:noProof/>
                <w:sz w:val="24"/>
                <w:szCs w:val="18"/>
              </w:rPr>
            </w:pPr>
            <w:r>
              <w:rPr>
                <w:rFonts w:ascii="Times New Roman" w:hAnsi="Times New Roman"/>
                <w:sz w:val="24"/>
              </w:rPr>
              <w:t>Piegāžu ierobežojumi ir vērojami arī citās nozarēs. Meksikas Gvanahvato štata Mobilitātes likums kontrolē to transportlīdzekļu skaitu, ko var izmantot kopbraukšanas pakalpojumu sniegšanai. Itālijā 2018. gada oktobrī Senāta apstiprinājumu gaidīja normatīvais akts, kas ierobežo mājas restorānu darbību līdz 500 maltītēm un 5000 eiro apgrozījumam gadā.</w:t>
            </w:r>
          </w:p>
        </w:tc>
      </w:tr>
    </w:tbl>
    <w:p w14:paraId="738BF55F" w14:textId="77777777" w:rsidR="000A6469" w:rsidRPr="004D11C9" w:rsidRDefault="000A6469" w:rsidP="004D11C9">
      <w:pPr>
        <w:jc w:val="both"/>
        <w:rPr>
          <w:rFonts w:ascii="Times New Roman" w:eastAsia="Arial" w:hAnsi="Times New Roman" w:cs="Arial"/>
          <w:noProof/>
          <w:sz w:val="24"/>
          <w:szCs w:val="14"/>
        </w:rPr>
      </w:pPr>
      <w:bookmarkStart w:id="48" w:name="_bookmark23"/>
      <w:bookmarkEnd w:id="48"/>
    </w:p>
    <w:p w14:paraId="5B514222" w14:textId="395EBFB5"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Alternatīvi risinājumi reģionālās vai mazās uzņēmējdarbības politikas mērķu sasniegšanai ir tiešās subsīdijas un/vai nodokļu atvieglojumi ar nosacījumu, ka šādas subsīdijas vai nodokļi nerada konkurences problēmas, labvēlīgākas </w:t>
      </w:r>
      <w:r w:rsidR="00A901B1">
        <w:rPr>
          <w:rFonts w:ascii="Times New Roman" w:hAnsi="Times New Roman"/>
          <w:sz w:val="24"/>
        </w:rPr>
        <w:t>regulatīvās</w:t>
      </w:r>
      <w:r>
        <w:rPr>
          <w:rFonts w:ascii="Times New Roman" w:hAnsi="Times New Roman"/>
          <w:sz w:val="24"/>
        </w:rPr>
        <w:t xml:space="preserve"> vides nodrošināšana galvenajās jomās vai reklāmas/izglītošanas kampaņu izmantošana. Dažos gadījumos mērķsubsīdijas palielinās efektivitāti, nodrošinot, ka vairāk piegādātāju var aktīvi meklēt uzņēmējdarbības iespējas.</w:t>
      </w:r>
    </w:p>
    <w:p w14:paraId="5762FFAC" w14:textId="77777777" w:rsidR="000A6469" w:rsidRPr="004D11C9" w:rsidRDefault="000A6469" w:rsidP="004D11C9">
      <w:pPr>
        <w:jc w:val="both"/>
        <w:rPr>
          <w:rFonts w:ascii="Times New Roman" w:eastAsia="Arial" w:hAnsi="Times New Roman" w:cs="Arial"/>
          <w:noProof/>
          <w:sz w:val="24"/>
          <w:szCs w:val="21"/>
        </w:rPr>
      </w:pPr>
    </w:p>
    <w:p w14:paraId="0BF743DA" w14:textId="05FD58B3" w:rsidR="000A6469" w:rsidRPr="004D11C9" w:rsidRDefault="00FC2D81" w:rsidP="004D11C9">
      <w:pPr>
        <w:pStyle w:val="Heading4"/>
        <w:ind w:left="0"/>
        <w:jc w:val="both"/>
        <w:rPr>
          <w:rFonts w:ascii="Times New Roman" w:hAnsi="Times New Roman"/>
          <w:noProof/>
          <w:sz w:val="24"/>
        </w:rPr>
      </w:pPr>
      <w:r>
        <w:rPr>
          <w:rFonts w:ascii="Times New Roman" w:hAnsi="Times New Roman"/>
          <w:i w:val="0"/>
          <w:sz w:val="24"/>
        </w:rPr>
        <w:t xml:space="preserve">A4. </w:t>
      </w:r>
      <w:r>
        <w:rPr>
          <w:rFonts w:ascii="Times New Roman" w:hAnsi="Times New Roman"/>
          <w:sz w:val="24"/>
        </w:rPr>
        <w:t>Būtiski paaugstina ar ieiešanu tirgū vai iziešanu no tā saistītās izmaksas</w:t>
      </w:r>
      <w:bookmarkStart w:id="49" w:name="Significantly_raises_the_costs_of_entry_"/>
      <w:bookmarkEnd w:id="49"/>
    </w:p>
    <w:p w14:paraId="27F2B7EC" w14:textId="77777777" w:rsidR="000A6469" w:rsidRPr="004D11C9" w:rsidRDefault="000A6469" w:rsidP="004D11C9">
      <w:pPr>
        <w:jc w:val="both"/>
        <w:rPr>
          <w:rFonts w:ascii="Times New Roman" w:eastAsia="Arial" w:hAnsi="Times New Roman" w:cs="Arial"/>
          <w:b/>
          <w:bCs/>
          <w:i/>
          <w:noProof/>
          <w:sz w:val="24"/>
          <w:szCs w:val="21"/>
        </w:rPr>
      </w:pPr>
    </w:p>
    <w:p w14:paraId="25869547" w14:textId="72A1C252"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Noteikumi, kas palielina ieiešanas tirgū vai iziešanas no tā izmaksas, cenšas atturēt dažus iespējamos jaunos tirgus dalībniekus no ieiešanas tirgū, tādējādi nemitīgi samazinot tirgus dalībnieku skaitu. Šādi noteikumi var aizstāt tirgus darbības pārbaudi ar regulatīvu pārbaudi, kas var liegt patērētājiem iespēju iegūt kārotus vai efektīvi ražotus produktus. Šāda veida regulēšanas piemēri ir stingras preču pārbaudes prasības un prasības par atbilstību nevajadzīgi augstai izglītībai vai tehniskajai kvalifikācijai. Piegādātājiem, kas izmanto ciparu tehnoloģiju, šāda kavējoša regulējuma piemēri var būt fiziskās klātbūtnes nepieciešamība, minimālais apjoms vai kontroles prasības. Lai samazinātu šādu noteikumu ietekmi uz konkurenci, dažkārt valstis nosaka izņēmumus attiecībā uz atsevišķām grupām. Piemēram, zemas klases automašīnu ražotāji bieži ir atbrīvoti no noteikumiem attiecībā uz transportlīdzekļu pārbaudi vai arī uz tiem attiecas mazāk apgrūtinoši pārbaudes noteikumi.</w:t>
      </w:r>
    </w:p>
    <w:p w14:paraId="371995A4" w14:textId="134981D7" w:rsidR="000A6469" w:rsidRPr="004D11C9" w:rsidRDefault="000A6469" w:rsidP="004D11C9">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FC2D81" w14:paraId="6DF989C8" w14:textId="77777777" w:rsidTr="00FC2D81">
        <w:tc>
          <w:tcPr>
            <w:tcW w:w="9062" w:type="dxa"/>
          </w:tcPr>
          <w:p w14:paraId="7594F14A" w14:textId="616606CF" w:rsidR="00FC2D81" w:rsidRDefault="00FC2D81" w:rsidP="00FC2D81">
            <w:pPr>
              <w:jc w:val="center"/>
              <w:rPr>
                <w:rFonts w:ascii="Times New Roman" w:eastAsia="Arial" w:hAnsi="Times New Roman" w:cs="Arial"/>
                <w:noProof/>
                <w:sz w:val="24"/>
                <w:szCs w:val="20"/>
              </w:rPr>
            </w:pPr>
            <w:r>
              <w:rPr>
                <w:rFonts w:ascii="Times New Roman" w:hAnsi="Times New Roman"/>
                <w:b/>
                <w:sz w:val="24"/>
              </w:rPr>
              <w:lastRenderedPageBreak/>
              <w:t>15. ierāmējums. Eksperimentu atkārtošanas prasība</w:t>
            </w:r>
          </w:p>
        </w:tc>
      </w:tr>
      <w:tr w:rsidR="00FC2D81" w14:paraId="24D9709A" w14:textId="77777777" w:rsidTr="00FC2D81">
        <w:tc>
          <w:tcPr>
            <w:tcW w:w="9062" w:type="dxa"/>
          </w:tcPr>
          <w:p w14:paraId="6F526F9D" w14:textId="77777777" w:rsidR="00FC2D81" w:rsidRPr="004D11C9" w:rsidRDefault="00FC2D81" w:rsidP="00FC2D81">
            <w:pPr>
              <w:jc w:val="both"/>
              <w:rPr>
                <w:rFonts w:ascii="Times New Roman" w:eastAsia="Arial" w:hAnsi="Times New Roman" w:cs="Arial"/>
                <w:noProof/>
                <w:sz w:val="24"/>
                <w:szCs w:val="18"/>
              </w:rPr>
            </w:pPr>
            <w:r>
              <w:rPr>
                <w:rFonts w:ascii="Times New Roman" w:hAnsi="Times New Roman"/>
                <w:sz w:val="24"/>
              </w:rPr>
              <w:t>Farmaceitisku produktu patenta īpašniekam ir ekskluzīvas tiesības uz jauninājumu uz noteiktu laiku. Pēc šā laika posma beigām var pārdot ģeneriskās zāles, kas parasti ir ievērojami lētākas par sākotnēji patentētajām zālēm. Noteikumiem par ģenerisko zāļu tirgū laišanas laiku ir būtiska ietekme uz konkurenci. Meksikā ģenerisko zāļu ražotājiem bija ne tikai jāpierāda, ka to aktīvajai vielai ir tāda pati molekula kā iepriekš patentētajām zālēm, bet arī jāatkārto eksperimenti, kas sākotnēji tika veikti ar patentētajām zālēm, lai pierādītu šo zāļu efektivitāti Meksikas iedzīvotājiem.</w:t>
            </w:r>
          </w:p>
          <w:p w14:paraId="4890BEAA" w14:textId="77777777" w:rsidR="00FC2D81" w:rsidRPr="004D11C9" w:rsidRDefault="00FC2D81" w:rsidP="00FC2D81">
            <w:pPr>
              <w:jc w:val="both"/>
              <w:rPr>
                <w:rFonts w:ascii="Times New Roman" w:eastAsia="Arial" w:hAnsi="Times New Roman" w:cs="Arial"/>
                <w:noProof/>
                <w:sz w:val="24"/>
                <w:szCs w:val="25"/>
              </w:rPr>
            </w:pPr>
          </w:p>
          <w:p w14:paraId="1927BF0F" w14:textId="3FFC97E0" w:rsidR="00FC2D81" w:rsidRPr="00FC2D81" w:rsidRDefault="00FC2D81" w:rsidP="004D11C9">
            <w:pPr>
              <w:jc w:val="both"/>
              <w:rPr>
                <w:rFonts w:ascii="Times New Roman" w:hAnsi="Times New Roman"/>
                <w:noProof/>
                <w:sz w:val="24"/>
              </w:rPr>
            </w:pPr>
            <w:r>
              <w:rPr>
                <w:rFonts w:ascii="Times New Roman" w:hAnsi="Times New Roman"/>
                <w:sz w:val="24"/>
              </w:rPr>
              <w:t>Lai gan šāda prasība ir šķietami pamatota, tās rezultātā tika ierobežots to piegādātāju skaits, kas bija gatavi nodrošināt ģeneriskās zāles. Pamatojumā, ka sākotnējo zāļu pārdevējs ir veicis izpēti, tāpēc arī jauniem piegādātājiem ir jāsedz līdzīgas izmaksas (citādi jaunajiem piegādātājiem būtu radītas izmaksu priekšrocības), nav ņemts vērā tas, ka patentēto zāļu pārdevējs daudzus gadus ir guvis labumu no monopoltiesībām, kas bija piešķirtas, lai kompensētu inovācijas izmaksas un parādītu patentēto zāļu efektivitāti. Ģenerisko zāļu pārdevējus ierobežoja arī prasība, kas noteica, ka tiem ir jāpieder ražotnei Meksikā. Tāpēc Meksikā daudzas ģeneriskās zāles bija dārgākas nekā kaimiņos esošajās Amerikas Savienotajās Valstīs, kur pastāvēja spēcīga konkurence ģenerisko zāļu tirgū.</w:t>
            </w:r>
          </w:p>
        </w:tc>
      </w:tr>
    </w:tbl>
    <w:p w14:paraId="0606CE81" w14:textId="63406F97" w:rsidR="00867DDD" w:rsidRDefault="00867DDD" w:rsidP="004D11C9">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FC2D81" w14:paraId="0E5E4910" w14:textId="77777777" w:rsidTr="00FC2D81">
        <w:tc>
          <w:tcPr>
            <w:tcW w:w="9062" w:type="dxa"/>
          </w:tcPr>
          <w:p w14:paraId="40A17DA7" w14:textId="65DC460E" w:rsidR="00FC2D81" w:rsidRDefault="00FC2D81" w:rsidP="00FC2D81">
            <w:pPr>
              <w:jc w:val="center"/>
              <w:rPr>
                <w:rFonts w:ascii="Times New Roman" w:eastAsia="Arial" w:hAnsi="Times New Roman" w:cs="Arial"/>
                <w:noProof/>
                <w:sz w:val="24"/>
                <w:szCs w:val="20"/>
              </w:rPr>
            </w:pPr>
            <w:r>
              <w:rPr>
                <w:rFonts w:ascii="Times New Roman" w:hAnsi="Times New Roman"/>
                <w:b/>
                <w:sz w:val="24"/>
              </w:rPr>
              <w:t>16. ierāmējums. Revīzijas prasības uzņēmumiem, kas izbeidz darbību</w:t>
            </w:r>
          </w:p>
        </w:tc>
      </w:tr>
      <w:tr w:rsidR="00FC2D81" w14:paraId="0678C29B" w14:textId="77777777" w:rsidTr="00FC2D81">
        <w:tc>
          <w:tcPr>
            <w:tcW w:w="9062" w:type="dxa"/>
          </w:tcPr>
          <w:p w14:paraId="522592AC" w14:textId="64F5F91F" w:rsidR="00FC2D81" w:rsidRPr="00FC2D81" w:rsidRDefault="00FC2D81" w:rsidP="004D11C9">
            <w:pPr>
              <w:jc w:val="both"/>
              <w:rPr>
                <w:rFonts w:ascii="Times New Roman" w:eastAsia="Arial" w:hAnsi="Times New Roman" w:cs="Arial"/>
                <w:noProof/>
                <w:sz w:val="24"/>
                <w:szCs w:val="18"/>
              </w:rPr>
            </w:pPr>
            <w:r>
              <w:rPr>
                <w:rFonts w:ascii="Times New Roman" w:hAnsi="Times New Roman"/>
                <w:sz w:val="24"/>
              </w:rPr>
              <w:t>Lai uzņēmums Moldovā varētu izbeigt uzņēmējdarbību, viņam ir jāveic nodokļu revīzija un citas pārbaudes. Lai gan šādas pārbaudes var palīdzēt nodrošināt parādu pienācīgu samaksu valstij, šis process var ilgt gadu, ievērojami aizkavējot uzņēmuma darbības galīgu izbeigšanu un attiecīgi samazinot potenciālā piegādātāja vēlmi uzsākt uzņēmējdarbību.</w:t>
            </w:r>
          </w:p>
        </w:tc>
      </w:tr>
    </w:tbl>
    <w:p w14:paraId="3A05E646" w14:textId="0F5FCCEC" w:rsidR="00FC2D81" w:rsidRDefault="00FC2D81" w:rsidP="004D11C9">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FC2D81" w14:paraId="2F94EF59" w14:textId="77777777" w:rsidTr="00FC2D81">
        <w:tc>
          <w:tcPr>
            <w:tcW w:w="9062" w:type="dxa"/>
          </w:tcPr>
          <w:p w14:paraId="3220CE3E" w14:textId="73F033D9" w:rsidR="00FC2D81" w:rsidRDefault="00FC2D81" w:rsidP="00FC2D81">
            <w:pPr>
              <w:jc w:val="center"/>
              <w:rPr>
                <w:rFonts w:ascii="Times New Roman" w:eastAsia="Arial" w:hAnsi="Times New Roman" w:cs="Arial"/>
                <w:noProof/>
                <w:sz w:val="24"/>
                <w:szCs w:val="20"/>
              </w:rPr>
            </w:pPr>
            <w:r>
              <w:rPr>
                <w:rFonts w:ascii="Times New Roman" w:hAnsi="Times New Roman"/>
                <w:b/>
                <w:sz w:val="24"/>
              </w:rPr>
              <w:t>17. ierāmējums. Fiziskas klātbūtnes un minimālā apjoma prasības</w:t>
            </w:r>
          </w:p>
        </w:tc>
      </w:tr>
      <w:tr w:rsidR="00FC2D81" w14:paraId="7897FAF6" w14:textId="77777777" w:rsidTr="00FC2D81">
        <w:tc>
          <w:tcPr>
            <w:tcW w:w="9062" w:type="dxa"/>
          </w:tcPr>
          <w:p w14:paraId="2FAF80A1" w14:textId="77777777" w:rsidR="00FC2D81" w:rsidRPr="004D11C9" w:rsidRDefault="00FC2D81" w:rsidP="00FC2D81">
            <w:pPr>
              <w:jc w:val="both"/>
              <w:rPr>
                <w:rFonts w:ascii="Times New Roman" w:eastAsia="Arial" w:hAnsi="Times New Roman" w:cs="Arial"/>
                <w:noProof/>
                <w:sz w:val="24"/>
                <w:szCs w:val="18"/>
              </w:rPr>
            </w:pPr>
            <w:r>
              <w:rPr>
                <w:rFonts w:ascii="Times New Roman" w:hAnsi="Times New Roman"/>
                <w:sz w:val="24"/>
              </w:rPr>
              <w:t>Grieķijā attiecībā uz tiešsaistes augu aizsardzības līdzekļu tirgotājiem tika piemēroti tie paši noteikumi, kādus piemēroja attiecībā uz to līdziniekiem klātienes tirdzniecības vietās, līdz ar to viņiem bija jānodrošina fiziska klātbūtne. Katalonijā saskaņā ar dekrētu Nr. 314/2016 tiešsaistes taksometru platformām ir jānodrošina fiziska klātbūtne vai klientu apkalpošanas tālruņa sistēma. Turklāt tiešsaistes taksometru platformām ir pienākums nodrošināt minimālo taksometru licenču skaitu.</w:t>
            </w:r>
          </w:p>
          <w:p w14:paraId="7AE66365" w14:textId="77777777" w:rsidR="00FC2D81" w:rsidRPr="004D11C9" w:rsidRDefault="00FC2D81" w:rsidP="00FC2D81">
            <w:pPr>
              <w:jc w:val="both"/>
              <w:rPr>
                <w:rFonts w:ascii="Times New Roman" w:eastAsia="Arial" w:hAnsi="Times New Roman" w:cs="Arial"/>
                <w:noProof/>
                <w:sz w:val="24"/>
                <w:szCs w:val="20"/>
              </w:rPr>
            </w:pPr>
          </w:p>
          <w:p w14:paraId="7FAF0677" w14:textId="159C0A49" w:rsidR="00FC2D81" w:rsidRPr="00FC2D81" w:rsidRDefault="00FC2D81" w:rsidP="004D11C9">
            <w:pPr>
              <w:jc w:val="both"/>
              <w:rPr>
                <w:rFonts w:ascii="Times New Roman" w:eastAsia="Arial" w:hAnsi="Times New Roman" w:cs="Arial"/>
                <w:noProof/>
                <w:sz w:val="24"/>
                <w:szCs w:val="18"/>
              </w:rPr>
            </w:pPr>
            <w:r>
              <w:rPr>
                <w:rFonts w:ascii="Times New Roman" w:hAnsi="Times New Roman"/>
                <w:sz w:val="24"/>
              </w:rPr>
              <w:t>Šīs fiziskās klātbūtnes un minimālā apjoma prasības var kavēt digitalizācijas priekšrocību, piemēram, zemāku darbības izmaksu un vieglākas ieiešanas tirgos, izmantošanu.</w:t>
            </w:r>
          </w:p>
        </w:tc>
      </w:tr>
    </w:tbl>
    <w:p w14:paraId="2C2F6E7E" w14:textId="77777777" w:rsidR="000A6469" w:rsidRPr="004D11C9" w:rsidRDefault="000A6469" w:rsidP="004D11C9">
      <w:pPr>
        <w:jc w:val="both"/>
        <w:rPr>
          <w:rFonts w:ascii="Times New Roman" w:eastAsia="Arial" w:hAnsi="Times New Roman" w:cs="Arial"/>
          <w:noProof/>
          <w:sz w:val="24"/>
          <w:szCs w:val="17"/>
        </w:rPr>
      </w:pPr>
      <w:bookmarkStart w:id="50" w:name="_bookmark26"/>
      <w:bookmarkEnd w:id="50"/>
    </w:p>
    <w:p w14:paraId="32AE9FB5" w14:textId="51DBDB63" w:rsidR="000A6469" w:rsidRPr="004D11C9" w:rsidRDefault="00FC2D81" w:rsidP="004D11C9">
      <w:pPr>
        <w:pStyle w:val="Heading4"/>
        <w:ind w:left="0"/>
        <w:jc w:val="both"/>
        <w:rPr>
          <w:rFonts w:ascii="Times New Roman" w:hAnsi="Times New Roman"/>
          <w:noProof/>
          <w:sz w:val="24"/>
        </w:rPr>
      </w:pPr>
      <w:bookmarkStart w:id="51" w:name="Restricts_the_flow_of_goods,_services,_c"/>
      <w:bookmarkEnd w:id="51"/>
      <w:r>
        <w:rPr>
          <w:rFonts w:ascii="Times New Roman" w:hAnsi="Times New Roman"/>
          <w:i w:val="0"/>
          <w:sz w:val="24"/>
        </w:rPr>
        <w:t xml:space="preserve">A5. </w:t>
      </w:r>
      <w:r>
        <w:rPr>
          <w:rFonts w:ascii="Times New Roman" w:hAnsi="Times New Roman"/>
          <w:sz w:val="24"/>
        </w:rPr>
        <w:t>Preču, pakalpojumu, kapitāla un darbaspēka plūsmas ierobežojumi</w:t>
      </w:r>
    </w:p>
    <w:p w14:paraId="7031A49D" w14:textId="77777777" w:rsidR="000A6469" w:rsidRPr="004D11C9" w:rsidRDefault="000A6469" w:rsidP="004D11C9">
      <w:pPr>
        <w:jc w:val="both"/>
        <w:rPr>
          <w:rFonts w:ascii="Times New Roman" w:eastAsia="Arial" w:hAnsi="Times New Roman" w:cs="Arial"/>
          <w:b/>
          <w:bCs/>
          <w:i/>
          <w:noProof/>
          <w:sz w:val="24"/>
          <w:szCs w:val="21"/>
        </w:rPr>
      </w:pPr>
    </w:p>
    <w:p w14:paraId="3B850E47"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Dažkārt normatīvie akti, parasti kā reģionālās politikas instruments, ierobežo preču, pakalpojumu, kapitāla un/vai darbaspēka plūsmu pāri jurisdikcijas robežām. Taču šādi ierobežojumi mākslīgi samazina konkurences ģeogrāfisko areālu, kurā piegādāt preces vai sniegt pakalpojumus. Tas var samazināt piegādātāju skaitu un eventuāli ļaut piegādātājiem izmantot tirgus varu un paaugstināt cenas. Izrietošā aizsardzība var arī samazināt produktu izvēli patērētājiem un liegt produktivitātes uzlabošanos. Šāda veida ierobežojums var liegt jaunu digitalizēto sektoru darbību.</w:t>
      </w:r>
    </w:p>
    <w:p w14:paraId="22343633" w14:textId="20515A90" w:rsidR="00867DDD" w:rsidRPr="004D11C9" w:rsidRDefault="00867DDD" w:rsidP="004D11C9">
      <w:pPr>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FC2D81" w14:paraId="7D529FE9" w14:textId="77777777" w:rsidTr="00FC2D81">
        <w:tc>
          <w:tcPr>
            <w:tcW w:w="9062" w:type="dxa"/>
          </w:tcPr>
          <w:p w14:paraId="500F7D9C" w14:textId="525AC549" w:rsidR="00FC2D81" w:rsidRPr="00FC2D81" w:rsidRDefault="00FC2D81" w:rsidP="00FC2D81">
            <w:pPr>
              <w:jc w:val="center"/>
              <w:rPr>
                <w:rFonts w:ascii="Times New Roman" w:eastAsia="Arial" w:hAnsi="Times New Roman" w:cs="Arial"/>
                <w:noProof/>
                <w:sz w:val="24"/>
                <w:szCs w:val="20"/>
              </w:rPr>
            </w:pPr>
            <w:r>
              <w:rPr>
                <w:rFonts w:ascii="Times New Roman" w:hAnsi="Times New Roman"/>
                <w:b/>
                <w:sz w:val="24"/>
              </w:rPr>
              <w:t>18. ierāmējums. Ģeogrāfiskas apkalpošanas zonas</w:t>
            </w:r>
          </w:p>
        </w:tc>
      </w:tr>
      <w:tr w:rsidR="00FC2D81" w14:paraId="1EF7CB21" w14:textId="77777777" w:rsidTr="00FC2D81">
        <w:tc>
          <w:tcPr>
            <w:tcW w:w="9062" w:type="dxa"/>
          </w:tcPr>
          <w:p w14:paraId="5EA3AEE7" w14:textId="77777777" w:rsidR="00FC2D81" w:rsidRDefault="00FC2D81" w:rsidP="00FC2D81">
            <w:pPr>
              <w:jc w:val="both"/>
              <w:rPr>
                <w:rFonts w:ascii="Times New Roman" w:hAnsi="Times New Roman"/>
                <w:noProof/>
                <w:sz w:val="24"/>
              </w:rPr>
            </w:pPr>
            <w:r>
              <w:rPr>
                <w:rFonts w:ascii="Times New Roman" w:hAnsi="Times New Roman"/>
                <w:sz w:val="24"/>
              </w:rPr>
              <w:t xml:space="preserve">Čjapas štatā Meksikā pašvaldība piešķīra licences tortilju pārdošanai pavalsts galvaspilsētā Tukstlā. Šīs licences sadalīja pilsētu četrās zonās un liedza pārdevējiem nodarboties ar </w:t>
            </w:r>
            <w:r>
              <w:rPr>
                <w:rFonts w:ascii="Times New Roman" w:hAnsi="Times New Roman"/>
                <w:sz w:val="24"/>
              </w:rPr>
              <w:lastRenderedPageBreak/>
              <w:t>tirdzniecību ārpus norādītās zonas, tādējādi radot četrus vietējos monopolus.</w:t>
            </w:r>
          </w:p>
          <w:p w14:paraId="4879CA4E" w14:textId="77777777" w:rsidR="00FC2D81" w:rsidRPr="004D11C9" w:rsidRDefault="00FC2D81" w:rsidP="00FC2D81">
            <w:pPr>
              <w:jc w:val="both"/>
              <w:rPr>
                <w:rFonts w:ascii="Times New Roman" w:eastAsia="Arial" w:hAnsi="Times New Roman" w:cs="Arial"/>
                <w:noProof/>
                <w:sz w:val="24"/>
                <w:szCs w:val="18"/>
              </w:rPr>
            </w:pPr>
          </w:p>
          <w:p w14:paraId="65CDB078" w14:textId="1F2FCC8A" w:rsidR="00FC2D81" w:rsidRPr="00FC2D81" w:rsidRDefault="00FC2D81" w:rsidP="004D11C9">
            <w:pPr>
              <w:jc w:val="both"/>
              <w:rPr>
                <w:rFonts w:ascii="Times New Roman" w:eastAsia="Arial" w:hAnsi="Times New Roman" w:cs="Arial"/>
                <w:noProof/>
                <w:sz w:val="24"/>
                <w:szCs w:val="18"/>
              </w:rPr>
            </w:pPr>
            <w:r>
              <w:rPr>
                <w:rFonts w:ascii="Times New Roman" w:hAnsi="Times New Roman"/>
                <w:sz w:val="24"/>
              </w:rPr>
              <w:t>Indijā taksometru vadītājiem no blakus esošām apkaimēm dažkārt nav atļauts nogādāt klientus, kas uzņemti zonā, kurā viņi ir reģistrēti, uz citu apkaimi, tostarp uz pilsētām, kas atrodas blakus Deli, līdz ar to pasažieriem ir jāizkāpj no taksometra uz apkaimju robežas un jāatrod cits taksometrs, kas ir licencēts sniegt pakalpojumus šajā citā apkaimē.</w:t>
            </w:r>
          </w:p>
        </w:tc>
      </w:tr>
    </w:tbl>
    <w:p w14:paraId="6C0C0DA4" w14:textId="7A7C4731" w:rsidR="00A766E8" w:rsidRDefault="00A766E8" w:rsidP="004D11C9">
      <w:pPr>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FC2D81" w14:paraId="711C5541" w14:textId="77777777" w:rsidTr="00FC2D81">
        <w:tc>
          <w:tcPr>
            <w:tcW w:w="9062" w:type="dxa"/>
          </w:tcPr>
          <w:p w14:paraId="6734D6AB" w14:textId="7E049D6D" w:rsidR="00FC2D81" w:rsidRPr="00FC2D81" w:rsidRDefault="00FC2D81" w:rsidP="00FC2D81">
            <w:pPr>
              <w:jc w:val="center"/>
              <w:rPr>
                <w:rFonts w:ascii="Times New Roman" w:eastAsia="Arial" w:hAnsi="Times New Roman" w:cs="Arial"/>
                <w:noProof/>
                <w:sz w:val="24"/>
                <w:szCs w:val="20"/>
              </w:rPr>
            </w:pPr>
            <w:r>
              <w:rPr>
                <w:rFonts w:ascii="Times New Roman" w:hAnsi="Times New Roman"/>
                <w:b/>
                <w:sz w:val="24"/>
              </w:rPr>
              <w:t>19. ierāmējums. Marķēšanas prasības</w:t>
            </w:r>
          </w:p>
        </w:tc>
      </w:tr>
      <w:tr w:rsidR="00FC2D81" w14:paraId="7662D658" w14:textId="77777777" w:rsidTr="00FC2D81">
        <w:tc>
          <w:tcPr>
            <w:tcW w:w="9062" w:type="dxa"/>
          </w:tcPr>
          <w:p w14:paraId="66FF9778" w14:textId="45C7B288" w:rsidR="00FC2D81" w:rsidRPr="00FC2D81" w:rsidRDefault="00FC2D81" w:rsidP="004D11C9">
            <w:pPr>
              <w:jc w:val="both"/>
              <w:rPr>
                <w:rFonts w:ascii="Times New Roman" w:eastAsia="Arial" w:hAnsi="Times New Roman" w:cs="Arial"/>
                <w:noProof/>
                <w:sz w:val="24"/>
                <w:szCs w:val="18"/>
              </w:rPr>
            </w:pPr>
            <w:r>
              <w:rPr>
                <w:rFonts w:ascii="Times New Roman" w:hAnsi="Times New Roman"/>
                <w:sz w:val="24"/>
              </w:rPr>
              <w:t>Valstī, kurā ir populārs, ar firmas zīmi marķēts citronu dzēriens, ministrija ir izdevusi noteikumu, kas paredz, ka visos dzērienos, kuru etiķetēs ir attēloti apelsīni, apelsīnu sulas saturam ir jābūt vismaz 10 % no kopējā dzēriena tilpuma, lai novērstu patērētāju maldināšanu ar iepakojumu. Tāpēc pavalstī, kurā ir spēkā minētā 10 % satura prasība, minētais populārais citronu dzēriens, ko parasti pārdod ar apelsīnu attēliem uz etiķetes, tiek pārdots ar citu etiķeti. Lai gan nodoms nepieļaut maldinošas reklāmas ir vērtējams atzinīgi, viens no rezultātiem ir tāds, ka šajā pašvaldībā esošie veikali nevar iegādāties šo dzērienu no kaimiņu rajoniem, ja tie konstatē, ka vietējais dzēriena pudeļu pildītājs piemēro neizdevīgus pārdošanas nosacījumus vai ja vairumtirgotāji piedāvā tiem izdevīgus darījumus ar īstiem, ar firmas zīmi marķētiem dzērieniem ar citronu attēliem uz etiķetes.</w:t>
            </w:r>
          </w:p>
        </w:tc>
      </w:tr>
    </w:tbl>
    <w:p w14:paraId="4F0A4C71" w14:textId="77777777" w:rsidR="000A6469" w:rsidRPr="004D11C9" w:rsidRDefault="000A6469" w:rsidP="004D11C9">
      <w:pPr>
        <w:jc w:val="both"/>
        <w:rPr>
          <w:rFonts w:ascii="Times New Roman" w:eastAsia="Arial" w:hAnsi="Times New Roman" w:cs="Arial"/>
          <w:noProof/>
          <w:sz w:val="24"/>
          <w:szCs w:val="14"/>
        </w:rPr>
      </w:pPr>
    </w:p>
    <w:p w14:paraId="5923638A"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Iespējamie ierobežojumi jāizvērtē, pamatojoties uz to, vai ir acīmredzama saikne starp šiem ierobežojumiem un noteiktu politikas mērķu sasniegšanu, vai šie ir minimālie ierobežojumi, ar kādiem ir iespējams sasniegt mērķi, vai rūpīga analīze apstiprina, ka politikas mērķis tiks sasniegts ar ierobežojošiem līdzekļiem, un vai šie ierobežojumi tiek piemēroti tikai noteiktā laika posmā, kas skaidri paredzēts noteikumos. Pastāv liels risks, ka “pagaidu” aizsardzības pasākumi to piegādātāju spēcīga lobija ietekmē, kuri gūst labumu no ierobežojumiem, kļūs par kvazipastāvīgu kārtību. Tāpat kā iepriekš minētajā gadījumā par Zambijas iepirkuma ierobežojumiem, regulatīvo mērķu sasniegšanai bieži vien ir pieejamas labākas alternatīvas, tostarp tiešas subsīdijas, kas neparedz uzvarējušā uzņēmuma noteikšanu, un labvēlīgs regulējuma režīms.</w:t>
      </w:r>
    </w:p>
    <w:p w14:paraId="48101459" w14:textId="1918F475" w:rsidR="00867DDD" w:rsidRDefault="00867DDD" w:rsidP="004D11C9">
      <w:pPr>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263"/>
        <w:gridCol w:w="6799"/>
      </w:tblGrid>
      <w:tr w:rsidR="00FC2D81" w14:paraId="5DB15201" w14:textId="77777777" w:rsidTr="00121F0E">
        <w:tc>
          <w:tcPr>
            <w:tcW w:w="2263" w:type="dxa"/>
          </w:tcPr>
          <w:p w14:paraId="40B3FAC1" w14:textId="49B72D13" w:rsidR="00FC2D81" w:rsidRPr="00FC2D81" w:rsidRDefault="00FC2D81" w:rsidP="004D11C9">
            <w:pPr>
              <w:jc w:val="both"/>
              <w:rPr>
                <w:rFonts w:ascii="Times New Roman" w:eastAsia="Arial" w:hAnsi="Times New Roman" w:cs="Arial"/>
                <w:noProof/>
                <w:sz w:val="24"/>
                <w:szCs w:val="32"/>
              </w:rPr>
            </w:pPr>
            <w:r>
              <w:rPr>
                <w:rFonts w:ascii="Times New Roman" w:hAnsi="Times New Roman"/>
                <w:b/>
                <w:sz w:val="24"/>
              </w:rPr>
              <w:t>B pārbaudes lapa</w:t>
            </w:r>
          </w:p>
        </w:tc>
        <w:tc>
          <w:tcPr>
            <w:tcW w:w="6799" w:type="dxa"/>
          </w:tcPr>
          <w:p w14:paraId="53A78BF7" w14:textId="740387C0" w:rsidR="00FC2D81" w:rsidRPr="00FC2D81" w:rsidRDefault="00FC2D81" w:rsidP="004D11C9">
            <w:pPr>
              <w:jc w:val="both"/>
              <w:rPr>
                <w:rFonts w:ascii="Times New Roman" w:eastAsia="Arial" w:hAnsi="Times New Roman" w:cs="Arial"/>
                <w:noProof/>
                <w:sz w:val="24"/>
              </w:rPr>
            </w:pPr>
            <w:r>
              <w:rPr>
                <w:rFonts w:ascii="Times New Roman" w:hAnsi="Times New Roman"/>
                <w:b/>
                <w:sz w:val="24"/>
              </w:rPr>
              <w:t>Ierobežojumi piegādātāju iespējām konkurēt</w:t>
            </w:r>
          </w:p>
        </w:tc>
      </w:tr>
    </w:tbl>
    <w:p w14:paraId="4B7847E6" w14:textId="77777777" w:rsidR="000A6469" w:rsidRPr="004D11C9" w:rsidRDefault="000A6469" w:rsidP="004D11C9">
      <w:pPr>
        <w:jc w:val="both"/>
        <w:rPr>
          <w:rFonts w:ascii="Times New Roman" w:eastAsia="Arial" w:hAnsi="Times New Roman" w:cs="Arial"/>
          <w:noProof/>
          <w:sz w:val="24"/>
          <w:szCs w:val="25"/>
        </w:rPr>
      </w:pPr>
    </w:p>
    <w:p w14:paraId="606B1E31" w14:textId="37353598" w:rsidR="000A6469" w:rsidRPr="004D11C9" w:rsidRDefault="000A6469" w:rsidP="004D11C9">
      <w:pPr>
        <w:pStyle w:val="BodyText"/>
        <w:ind w:left="0" w:firstLine="0"/>
        <w:jc w:val="both"/>
        <w:rPr>
          <w:rFonts w:ascii="Times New Roman" w:hAnsi="Times New Roman"/>
          <w:noProof/>
          <w:sz w:val="24"/>
        </w:rPr>
      </w:pPr>
      <w:bookmarkStart w:id="52" w:name="Limits_on_the_ability_of_suppliers_to_co"/>
      <w:bookmarkEnd w:id="52"/>
      <w:r>
        <w:rPr>
          <w:rFonts w:ascii="Times New Roman" w:hAnsi="Times New Roman"/>
          <w:sz w:val="24"/>
        </w:rPr>
        <w:t>Regulējums var ietekmēt piegādātāju konkurētspēju, ierobežojot darbības, ko piegādātāji var veikt savstarpējā konkurences sacensībā. Šeit apspriestie ierobežojumi ietver reklāmas un tirdzniecības ierobežojumus, produktu vai pakalpojumu kvalitātes standartu noteikšanu un kontroli pār cenām, par kādām preces vai pakalpojumi tiek pārdoti. Šie ierobežojumi var samazināt sacensības intensitāti un apmērus, tādējādi paaugstinot cenas patērētājiem un samazinot preču daudzveidību.</w:t>
      </w:r>
    </w:p>
    <w:p w14:paraId="08721D43" w14:textId="77777777" w:rsidR="000A6469" w:rsidRPr="004D11C9" w:rsidRDefault="000A6469" w:rsidP="004D11C9">
      <w:pPr>
        <w:jc w:val="both"/>
        <w:rPr>
          <w:rFonts w:ascii="Times New Roman" w:eastAsia="Arial" w:hAnsi="Times New Roman" w:cs="Arial"/>
          <w:noProof/>
          <w:sz w:val="24"/>
          <w:szCs w:val="21"/>
        </w:rPr>
      </w:pPr>
    </w:p>
    <w:p w14:paraId="1CD9568E" w14:textId="113DA325" w:rsidR="000A6469" w:rsidRPr="004D11C9" w:rsidRDefault="00FC2D81" w:rsidP="004D11C9">
      <w:pPr>
        <w:pStyle w:val="Heading4"/>
        <w:ind w:left="0"/>
        <w:jc w:val="both"/>
        <w:rPr>
          <w:rFonts w:ascii="Times New Roman" w:hAnsi="Times New Roman"/>
          <w:noProof/>
          <w:sz w:val="24"/>
        </w:rPr>
      </w:pPr>
      <w:bookmarkStart w:id="53" w:name="Controls_the_prices_at_which_goods_or_se"/>
      <w:bookmarkEnd w:id="53"/>
      <w:r>
        <w:rPr>
          <w:rFonts w:ascii="Times New Roman" w:hAnsi="Times New Roman"/>
          <w:i w:val="0"/>
          <w:sz w:val="24"/>
        </w:rPr>
        <w:t xml:space="preserve">B1. </w:t>
      </w:r>
      <w:r>
        <w:rPr>
          <w:rFonts w:ascii="Times New Roman" w:hAnsi="Times New Roman"/>
          <w:sz w:val="24"/>
        </w:rPr>
        <w:t>Preču vai pakalpojumu pārdošanas cenu kontrole</w:t>
      </w:r>
    </w:p>
    <w:p w14:paraId="58DA3670" w14:textId="77777777" w:rsidR="000A6469" w:rsidRPr="004D11C9" w:rsidRDefault="000A6469" w:rsidP="004D11C9">
      <w:pPr>
        <w:jc w:val="both"/>
        <w:rPr>
          <w:rFonts w:ascii="Times New Roman" w:eastAsia="Arial" w:hAnsi="Times New Roman" w:cs="Arial"/>
          <w:b/>
          <w:bCs/>
          <w:i/>
          <w:noProof/>
          <w:sz w:val="24"/>
          <w:szCs w:val="21"/>
        </w:rPr>
      </w:pPr>
    </w:p>
    <w:p w14:paraId="46675103" w14:textId="5E2EE7B5"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Valstis bieži regulē cenas tādās tradicionālās monopola nozarēs, kā, piemēram, komunālie pakalpojumi. Šāda veida cenu kontrole var nākt par labu patērētājiem un būt kā pretsvars savstarpēji konkurējošu alternatīvu trūkumam. Tomēr dažkārt cenu kontroli izmanto arī gadījumos, kad vienam un tam pašam patērētājam ir daudz iespējamo piegādātāju. Ja ir noteiktas minimālās cenas, lētie piegādātāji nevar iegūt tirgus daļu, nodrošinot labāku cenu patērētājiem. Līdzīgi arī tad, ja ir noteiktas maksimālās cenas, piegādātājam var būt ievērojami samazināti stimuli piedāvāt jaunus un/vai augstākas kvalitātes produktus un piegādātāji var faktiski saskaņot savas cenas maksimālās cenas līmenī.</w:t>
      </w:r>
    </w:p>
    <w:p w14:paraId="049BB044" w14:textId="04A87A0B" w:rsidR="000A6469" w:rsidRDefault="000A6469" w:rsidP="004D11C9">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FC2D81" w14:paraId="35BC3494" w14:textId="77777777" w:rsidTr="00FC2D81">
        <w:tc>
          <w:tcPr>
            <w:tcW w:w="9062" w:type="dxa"/>
          </w:tcPr>
          <w:p w14:paraId="4D90593C" w14:textId="6588D5C8" w:rsidR="00FC2D81" w:rsidRDefault="00FC2D81" w:rsidP="00FC2D81">
            <w:pPr>
              <w:jc w:val="center"/>
              <w:rPr>
                <w:rFonts w:ascii="Times New Roman" w:eastAsia="Arial" w:hAnsi="Times New Roman" w:cs="Arial"/>
                <w:noProof/>
                <w:sz w:val="24"/>
                <w:szCs w:val="20"/>
              </w:rPr>
            </w:pPr>
            <w:r>
              <w:rPr>
                <w:rFonts w:ascii="Times New Roman" w:hAnsi="Times New Roman"/>
                <w:b/>
                <w:sz w:val="24"/>
              </w:rPr>
              <w:lastRenderedPageBreak/>
              <w:t>20. ierāmējums. Maksimālais uzcenojums</w:t>
            </w:r>
          </w:p>
        </w:tc>
      </w:tr>
      <w:tr w:rsidR="00FC2D81" w14:paraId="194CC844" w14:textId="77777777" w:rsidTr="00FC2D81">
        <w:tc>
          <w:tcPr>
            <w:tcW w:w="9062" w:type="dxa"/>
          </w:tcPr>
          <w:p w14:paraId="06602795" w14:textId="77777777" w:rsidR="00FC2D81" w:rsidRDefault="00FC2D81" w:rsidP="00FC2D81">
            <w:pPr>
              <w:jc w:val="both"/>
              <w:rPr>
                <w:rFonts w:ascii="Times New Roman" w:hAnsi="Times New Roman"/>
                <w:noProof/>
                <w:sz w:val="24"/>
              </w:rPr>
            </w:pPr>
            <w:r>
              <w:rPr>
                <w:rFonts w:ascii="Times New Roman" w:hAnsi="Times New Roman"/>
                <w:sz w:val="24"/>
              </w:rPr>
              <w:t>Grieķijā maksimālais uzcenojums bija noteikts attiecībā uz gandrīz visiem dārzeņiem un augļiem. Šie maksimālie uzcenojumi bija noteikti, lai aizsargātu patērētājus no tā, ka mazumtirgotāji uzliek ļoti augstu peļņas normu ievestajiem pārtikas produktiem. Maksimālais uzcenojums tika atcelts 2011. gadā. Pēc šīs atcelšanas vidējās mazumtirdzniecības un vairumtirdzniecības cenas faktiski samazinājās, kas liecināja par to, ka maksimālā uzcenojuma norma bija pamats cenu saskaņošanai starp piegādātājiem. Lai gan tas, iespējams, bija aizsargājis dažus patērētājus no mazumtirgotājiem, kas piemēroja ļoti augstu uzcenojumu, kopumā šis noteikums bija radījis augstākas pārtikas produktu cenas.</w:t>
            </w:r>
          </w:p>
          <w:p w14:paraId="31DB3CDF" w14:textId="77777777" w:rsidR="00FC2D81" w:rsidRPr="004D11C9" w:rsidRDefault="00FC2D81" w:rsidP="00FC2D81">
            <w:pPr>
              <w:jc w:val="both"/>
              <w:rPr>
                <w:rFonts w:ascii="Times New Roman" w:eastAsia="Arial" w:hAnsi="Times New Roman" w:cs="Arial"/>
                <w:noProof/>
                <w:sz w:val="24"/>
                <w:szCs w:val="18"/>
              </w:rPr>
            </w:pPr>
          </w:p>
          <w:p w14:paraId="1039ED2E" w14:textId="1B9F6299" w:rsidR="00FC2D81" w:rsidRPr="00FC2D81" w:rsidRDefault="00FC2D81" w:rsidP="004D11C9">
            <w:pPr>
              <w:jc w:val="both"/>
              <w:rPr>
                <w:rFonts w:ascii="Times New Roman" w:eastAsia="Arial" w:hAnsi="Times New Roman" w:cs="Arial"/>
                <w:noProof/>
                <w:sz w:val="24"/>
                <w:szCs w:val="17"/>
              </w:rPr>
            </w:pPr>
            <w:r>
              <w:rPr>
                <w:rFonts w:ascii="Times New Roman" w:hAnsi="Times New Roman"/>
                <w:i/>
                <w:sz w:val="24"/>
              </w:rPr>
              <w:t>Avots</w:t>
            </w:r>
            <w:r>
              <w:rPr>
                <w:rFonts w:ascii="Times New Roman" w:hAnsi="Times New Roman"/>
                <w:sz w:val="24"/>
              </w:rPr>
              <w:t>: Genakos C., P. Koutroumpis un M. Pagliero (2014).</w:t>
            </w:r>
          </w:p>
        </w:tc>
      </w:tr>
    </w:tbl>
    <w:p w14:paraId="3974E2D9" w14:textId="77777777" w:rsidR="000A6469" w:rsidRPr="004D11C9" w:rsidRDefault="000A6469" w:rsidP="004D11C9">
      <w:pPr>
        <w:jc w:val="both"/>
        <w:rPr>
          <w:rFonts w:ascii="Times New Roman" w:eastAsia="Arial" w:hAnsi="Times New Roman" w:cs="Arial"/>
          <w:noProof/>
          <w:sz w:val="24"/>
          <w:szCs w:val="14"/>
        </w:rPr>
      </w:pPr>
      <w:bookmarkStart w:id="54" w:name="_bookmark31"/>
      <w:bookmarkEnd w:id="54"/>
    </w:p>
    <w:p w14:paraId="614ABC90" w14:textId="3A983DCB"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Dažkārt minimālo cenu regulēšana ir reakcija uz ārkārtīgi spēcīgu cenu konkurenci. Šādos gadījumos minimālās cenas regulēšanu parasti uzskata par līdzekli, lai aizsargātu mazos piegādātājus no “negodīgas” konkurences. Šādas cenu regulēšanas ietekme rūpīgi jāizvērtē, jo tās rezultātā var paaugstināties cena patērētājiem vai netikt apmierināts pieprasījums. Maksimālās cenas noteikumus bieži ievieš kā nepieciešamu līdzekli, lai ierobežotu ieiešanu tirgū. Alternatīva ir samazināt ierobežojumus, kas noteikti attiecībā uz ieiešanu tirgū.</w:t>
      </w:r>
    </w:p>
    <w:p w14:paraId="0B30BCDA" w14:textId="77777777" w:rsidR="000A6469" w:rsidRPr="004D11C9" w:rsidRDefault="000A6469" w:rsidP="004D11C9">
      <w:pPr>
        <w:jc w:val="both"/>
        <w:rPr>
          <w:rFonts w:ascii="Times New Roman" w:eastAsia="Arial" w:hAnsi="Times New Roman" w:cs="Arial"/>
          <w:noProof/>
          <w:sz w:val="24"/>
          <w:szCs w:val="21"/>
        </w:rPr>
      </w:pPr>
    </w:p>
    <w:p w14:paraId="67C9B72F" w14:textId="223819F3" w:rsidR="000A6469" w:rsidRPr="004D11C9" w:rsidRDefault="00FC2D81" w:rsidP="004D11C9">
      <w:pPr>
        <w:pStyle w:val="Heading4"/>
        <w:ind w:left="0"/>
        <w:jc w:val="both"/>
        <w:rPr>
          <w:rFonts w:ascii="Times New Roman" w:hAnsi="Times New Roman"/>
          <w:noProof/>
          <w:sz w:val="24"/>
        </w:rPr>
      </w:pPr>
      <w:bookmarkStart w:id="55" w:name="Restricts_advertising_and_marketing"/>
      <w:bookmarkEnd w:id="55"/>
      <w:r>
        <w:rPr>
          <w:rFonts w:ascii="Times New Roman" w:hAnsi="Times New Roman"/>
          <w:i w:val="0"/>
          <w:sz w:val="24"/>
        </w:rPr>
        <w:t xml:space="preserve">B2. </w:t>
      </w:r>
      <w:r>
        <w:rPr>
          <w:rFonts w:ascii="Times New Roman" w:hAnsi="Times New Roman"/>
          <w:sz w:val="24"/>
        </w:rPr>
        <w:t>Reklamēšanas un tirdzniecības ierobežojumi</w:t>
      </w:r>
    </w:p>
    <w:p w14:paraId="4085648F" w14:textId="77777777" w:rsidR="000A6469" w:rsidRPr="004D11C9" w:rsidRDefault="000A6469" w:rsidP="004D11C9">
      <w:pPr>
        <w:jc w:val="both"/>
        <w:rPr>
          <w:rFonts w:ascii="Times New Roman" w:eastAsia="Arial" w:hAnsi="Times New Roman" w:cs="Arial"/>
          <w:b/>
          <w:bCs/>
          <w:i/>
          <w:noProof/>
          <w:sz w:val="24"/>
          <w:szCs w:val="21"/>
        </w:rPr>
      </w:pPr>
    </w:p>
    <w:p w14:paraId="586F9DA9"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Normatīvie akti, kas ierobežo piegādātāju iespējas reklamēt vai tirgot preces vai pakalpojumus, bieži pastāv tādēļ, lai ierobežotu nepatiesas vai maldinošas reklāmas. Dažkārt reklāmas ierobežojumi ir noteikti, lai samazinātu tādu preču vai pakalpojumu reklamēšanu, ko uzskata par precēm vai pakalpojumiem ar sociāli nelabvēlīgu vērtību vai kas tiek patērēti pārmērīgā daudzumā. Citkārt var būt ierobežota reklamēšana konkrētām “neaizsargātām” grupām, piemēram, bērniem. Šāda veida ierobežojumiem, ja tiek nodrošināts, ka tie nav pārāk plaši, var būt ievērojama sociāli labvēlīga ietekme.</w:t>
      </w:r>
    </w:p>
    <w:p w14:paraId="4D0042D2" w14:textId="5D485345" w:rsidR="000A6469" w:rsidRDefault="000A6469" w:rsidP="004D11C9">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FC2D81" w14:paraId="211C63E9" w14:textId="77777777" w:rsidTr="00FC2D81">
        <w:tc>
          <w:tcPr>
            <w:tcW w:w="9062" w:type="dxa"/>
          </w:tcPr>
          <w:p w14:paraId="7C09DAD0" w14:textId="35046982" w:rsidR="00FC2D81" w:rsidRDefault="00FC2D81" w:rsidP="00FC2D81">
            <w:pPr>
              <w:jc w:val="center"/>
              <w:rPr>
                <w:rFonts w:ascii="Times New Roman" w:eastAsia="Arial" w:hAnsi="Times New Roman" w:cs="Arial"/>
                <w:noProof/>
                <w:sz w:val="24"/>
                <w:szCs w:val="20"/>
              </w:rPr>
            </w:pPr>
            <w:r>
              <w:rPr>
                <w:rFonts w:ascii="Times New Roman" w:hAnsi="Times New Roman"/>
                <w:b/>
                <w:sz w:val="24"/>
              </w:rPr>
              <w:t>21. ierāmējums. Reklamēšanas ierobežojumi optiķiem</w:t>
            </w:r>
          </w:p>
        </w:tc>
      </w:tr>
      <w:tr w:rsidR="00FC2D81" w14:paraId="6220AAAB" w14:textId="77777777" w:rsidTr="00FC2D81">
        <w:tc>
          <w:tcPr>
            <w:tcW w:w="9062" w:type="dxa"/>
          </w:tcPr>
          <w:p w14:paraId="2D210468" w14:textId="77777777" w:rsidR="00FC2D81" w:rsidRDefault="00FC2D81" w:rsidP="00FC2D81">
            <w:pPr>
              <w:jc w:val="both"/>
              <w:rPr>
                <w:rFonts w:ascii="Times New Roman" w:hAnsi="Times New Roman"/>
                <w:noProof/>
                <w:sz w:val="24"/>
              </w:rPr>
            </w:pPr>
            <w:r>
              <w:rPr>
                <w:rFonts w:ascii="Times New Roman" w:hAnsi="Times New Roman"/>
                <w:sz w:val="24"/>
              </w:rPr>
              <w:t>Reklamēšanas ierobežojumus optiķiem bieži vēlas panākt profesionālās apvienības. Viens arguments par labu šādu ierobežojumu noteikšanai ir tāds, ka tie novērš izšķērdīgus tēriņus reklāmai, tādējādi nodrošinot zemākas izmaksas (un cenas). Tiek arī norādīts, ka reklamēšana radītu cenu pazemināšanās un produktu kvalitātes pazemināšanās sazobi lejupejošā spirālveida virzībā. Vēl viens iemesls ir tas, ka reklamēšana var mazināt kādas profesijas autoritāti. Pētījumā par optiķu reklamēšanas ierobežojumiem Amerikas Savienotajās Valstīs pilsētas ar reklamēšanas ierobežojumiem tika salīdzinātas ar pilsētām, kurās šādu ierobežojumu nebija. Tajā konstatēts, ka reklamēšanas rezultātā cenas patērētājiem vidēji bija ievērojami zemākas, bet vidējais kvalitātes līmenis nesamazinājās. Pētījumā tika konstatēts, ka pilsētās, kurās pastāvēja visstingrākie reklamēšanas ierobežojumi, acu pārbaudes un briļļu vidējās cenas bija vidēji par 33,6 % augstākas nekā pilsētās ar vismazākajiem reklamēšanas ierobežojumiem, savukārt vidējās kvalitātes ziņā starp šīm pilsētām nepastāvēja statistiski nozīmīga atšķirība. Konstatējumi apstiprināja hipotēzi, ka reklamēšanas ierobežojumu galvenais mērķis ir mazināt konkurenci un saglabāt lielāku peļņu profesionāļu kopienai.</w:t>
            </w:r>
          </w:p>
          <w:p w14:paraId="66B2CE30" w14:textId="77777777" w:rsidR="00FC2D81" w:rsidRPr="004D11C9" w:rsidRDefault="00FC2D81" w:rsidP="00FC2D81">
            <w:pPr>
              <w:jc w:val="both"/>
              <w:rPr>
                <w:rFonts w:ascii="Times New Roman" w:eastAsia="Arial" w:hAnsi="Times New Roman" w:cs="Arial"/>
                <w:noProof/>
                <w:sz w:val="24"/>
                <w:szCs w:val="18"/>
              </w:rPr>
            </w:pPr>
          </w:p>
          <w:p w14:paraId="5931AF58" w14:textId="464C5AFC" w:rsidR="00FC2D81" w:rsidRPr="00FC2D81" w:rsidRDefault="00FC2D81" w:rsidP="004D11C9">
            <w:pPr>
              <w:jc w:val="both"/>
              <w:rPr>
                <w:rFonts w:ascii="Times New Roman" w:eastAsia="Arial" w:hAnsi="Times New Roman" w:cs="Arial"/>
                <w:noProof/>
                <w:sz w:val="24"/>
                <w:szCs w:val="17"/>
              </w:rPr>
            </w:pPr>
            <w:r>
              <w:rPr>
                <w:rFonts w:ascii="Times New Roman" w:hAnsi="Times New Roman"/>
                <w:i/>
                <w:sz w:val="24"/>
              </w:rPr>
              <w:t>Avots</w:t>
            </w:r>
            <w:r>
              <w:rPr>
                <w:rFonts w:ascii="Times New Roman" w:hAnsi="Times New Roman"/>
                <w:sz w:val="24"/>
              </w:rPr>
              <w:t>: ASV Federālās tirdzniecības komisijas kopsavilkums Bonda [</w:t>
            </w:r>
            <w:r>
              <w:rPr>
                <w:rFonts w:ascii="Times New Roman" w:hAnsi="Times New Roman"/>
                <w:i/>
                <w:sz w:val="24"/>
              </w:rPr>
              <w:t>Bond</w:t>
            </w:r>
            <w:r>
              <w:rPr>
                <w:rFonts w:ascii="Times New Roman" w:hAnsi="Times New Roman"/>
                <w:sz w:val="24"/>
              </w:rPr>
              <w:t>] un citu autoru rakstā (1980) ESAO publikācijā (2004b).</w:t>
            </w:r>
          </w:p>
        </w:tc>
      </w:tr>
    </w:tbl>
    <w:p w14:paraId="7402EB9D" w14:textId="77777777" w:rsidR="000A6469" w:rsidRPr="004D11C9" w:rsidRDefault="000A6469" w:rsidP="004D11C9">
      <w:pPr>
        <w:jc w:val="both"/>
        <w:rPr>
          <w:rFonts w:ascii="Times New Roman" w:eastAsia="Arial" w:hAnsi="Times New Roman" w:cs="Arial"/>
          <w:noProof/>
          <w:sz w:val="24"/>
          <w:szCs w:val="14"/>
        </w:rPr>
      </w:pPr>
    </w:p>
    <w:p w14:paraId="2F15CCD7"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Daudzos gadījumos reklamēšanas un tirdzniecības ierobežojumi ir pārāk plaši un pārmērīgi ierobežo konkurenci. Reklamēšanas un tirdzniecības ierobežojumi var būt īpaši apgrūtinoši </w:t>
      </w:r>
      <w:r>
        <w:rPr>
          <w:rFonts w:ascii="Times New Roman" w:hAnsi="Times New Roman"/>
          <w:sz w:val="24"/>
        </w:rPr>
        <w:lastRenderedPageBreak/>
        <w:t>potenciālajiem jaunpienācējiem, jo tie ierobežo jaunpienācēja iespēju informēt potenciālos pircējus par savu klātbūtni tirgū un par piedāvāto preču un pakalpojumu veidu un kvalitāti. Bieži dzīvotspējīga alternatīva ir noteikumi, kas ierobežo tikai nepatiesu vai maldinošu reklāmu.</w:t>
      </w:r>
    </w:p>
    <w:p w14:paraId="381FF661" w14:textId="5730A85F" w:rsidR="00867DDD" w:rsidRPr="004D11C9" w:rsidRDefault="00867DDD" w:rsidP="004D11C9">
      <w:pPr>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FC2D81" w14:paraId="6AD1324E" w14:textId="77777777" w:rsidTr="00FC2D81">
        <w:tc>
          <w:tcPr>
            <w:tcW w:w="9062" w:type="dxa"/>
          </w:tcPr>
          <w:p w14:paraId="3091F783" w14:textId="6EC594E6" w:rsidR="00FC2D81" w:rsidRPr="00FC2D81" w:rsidRDefault="00FC2D81" w:rsidP="00FC2D81">
            <w:pPr>
              <w:jc w:val="center"/>
              <w:rPr>
                <w:rFonts w:ascii="Times New Roman" w:eastAsia="Arial" w:hAnsi="Times New Roman" w:cs="Arial"/>
                <w:noProof/>
                <w:sz w:val="24"/>
                <w:szCs w:val="20"/>
              </w:rPr>
            </w:pPr>
            <w:r>
              <w:rPr>
                <w:rFonts w:ascii="Times New Roman" w:hAnsi="Times New Roman"/>
                <w:b/>
                <w:sz w:val="24"/>
              </w:rPr>
              <w:t>22. ierāmējums. Reklamēšanas nodokļi</w:t>
            </w:r>
          </w:p>
        </w:tc>
      </w:tr>
      <w:tr w:rsidR="00FC2D81" w14:paraId="3A38BF55" w14:textId="77777777" w:rsidTr="00FC2D81">
        <w:tc>
          <w:tcPr>
            <w:tcW w:w="9062" w:type="dxa"/>
          </w:tcPr>
          <w:p w14:paraId="5325C7B7" w14:textId="77777777" w:rsidR="00FC2D81" w:rsidRDefault="00FC2D81" w:rsidP="00FC2D81">
            <w:pPr>
              <w:jc w:val="both"/>
              <w:rPr>
                <w:rFonts w:ascii="Times New Roman" w:hAnsi="Times New Roman"/>
                <w:noProof/>
                <w:sz w:val="24"/>
              </w:rPr>
            </w:pPr>
            <w:r>
              <w:rPr>
                <w:rFonts w:ascii="Times New Roman" w:hAnsi="Times New Roman"/>
                <w:sz w:val="24"/>
              </w:rPr>
              <w:t>Reklamēšanas nodokļi var palielināt preču izmaksas un samazināt darbavietu skaitu, un tie var arī ietekmēt konkurenci, palielinot izmaksas, kas saistītas ar jaunu produktu nonākšanu tirgū, jo tiem ir salīdzinoši lielāka vajadzība pēc reklamēšanas nekā tirgū esošajiem produktiem. Ir gūti pierādījumi par nodokļu plašo ietekmi uz reklamēšanu. Pirms 2000. gada katra Austrijas federālā pavalsts piemēroja reklāmai atšķirīgu nodokļu likmi. Pēc nodokļu likmes saskaņošanas valsts līmenī 2000. gadā, nosakot, ka turpmāk tā būs 5 %, dažos reģionos reklāmas izmaksas palielinājās, savukārt citos – samazinājās. Rauhs [</w:t>
            </w:r>
            <w:r>
              <w:rPr>
                <w:rFonts w:ascii="Times New Roman" w:hAnsi="Times New Roman"/>
                <w:i/>
                <w:sz w:val="24"/>
              </w:rPr>
              <w:t>Rauch</w:t>
            </w:r>
            <w:r>
              <w:rPr>
                <w:rFonts w:ascii="Times New Roman" w:hAnsi="Times New Roman"/>
                <w:sz w:val="24"/>
              </w:rPr>
              <w:t>] (2013) detalizēti pēta izmaiņas reklamēšanas robežizmaksās gan attiecībā uz reklāmas izdevumiem, gan patēriņa cenām, salīdzinot dažādu Austrijas pavalstu pieredzi. Turpmāk norādīti galvenie šīs analīzes secinājumi. Pirmkārt, reklāmas izmaksu palielināšanās par 1 % ir izraisījusi 1,6 % lielu reklāmas izdevumu samazinājumu tad, ja uzņēmumi nepameta reklāmas tirgu. Otrkārt, reklāmas izmaksu pieaugums kopumā par 17,5 % palielināja uzņēmumu aiziešanu no reklāmas tirgus. Treškārt, lai arī dažas produktu cenas pieauga, bet citas samazinājās, Rauhs lēš, ka tad, ja 5 % nodoklis tiktu atcelts, cenas visā tautsaimniecībā samazinātos par 0,25 %.</w:t>
            </w:r>
          </w:p>
          <w:p w14:paraId="6B6B9A75" w14:textId="77777777" w:rsidR="00FC2D81" w:rsidRPr="004D11C9" w:rsidRDefault="00FC2D81" w:rsidP="00FC2D81">
            <w:pPr>
              <w:jc w:val="both"/>
              <w:rPr>
                <w:rFonts w:ascii="Times New Roman" w:eastAsia="Arial" w:hAnsi="Times New Roman" w:cs="Arial"/>
                <w:noProof/>
                <w:sz w:val="24"/>
                <w:szCs w:val="18"/>
              </w:rPr>
            </w:pPr>
          </w:p>
          <w:p w14:paraId="7683D2BE" w14:textId="2B4FA6EB" w:rsidR="00FC2D81" w:rsidRPr="00FC2D81" w:rsidRDefault="00FC2D81" w:rsidP="004D11C9">
            <w:pPr>
              <w:jc w:val="both"/>
              <w:rPr>
                <w:rFonts w:ascii="Times New Roman" w:eastAsia="Arial" w:hAnsi="Times New Roman" w:cs="Arial"/>
                <w:noProof/>
                <w:sz w:val="24"/>
                <w:szCs w:val="17"/>
              </w:rPr>
            </w:pPr>
            <w:r>
              <w:rPr>
                <w:rFonts w:ascii="Times New Roman" w:hAnsi="Times New Roman"/>
                <w:i/>
                <w:sz w:val="24"/>
              </w:rPr>
              <w:t>Avots</w:t>
            </w:r>
            <w:r>
              <w:rPr>
                <w:rFonts w:ascii="Times New Roman" w:hAnsi="Times New Roman"/>
                <w:sz w:val="24"/>
              </w:rPr>
              <w:t>: Rauch, F (2013).</w:t>
            </w:r>
          </w:p>
        </w:tc>
      </w:tr>
    </w:tbl>
    <w:p w14:paraId="38005F27" w14:textId="77777777" w:rsidR="000A6469" w:rsidRPr="004D11C9" w:rsidRDefault="000A6469" w:rsidP="004D11C9">
      <w:pPr>
        <w:jc w:val="both"/>
        <w:rPr>
          <w:rFonts w:ascii="Times New Roman" w:eastAsia="Arial" w:hAnsi="Times New Roman" w:cs="Arial"/>
          <w:noProof/>
          <w:sz w:val="24"/>
          <w:szCs w:val="25"/>
        </w:rPr>
      </w:pPr>
    </w:p>
    <w:p w14:paraId="53D7403F" w14:textId="0E76CB98" w:rsidR="000A6469" w:rsidRPr="001215CF" w:rsidRDefault="001215CF" w:rsidP="001215CF">
      <w:pPr>
        <w:pStyle w:val="Heading4"/>
        <w:ind w:left="0"/>
        <w:jc w:val="both"/>
        <w:rPr>
          <w:rFonts w:ascii="Times New Roman" w:hAnsi="Times New Roman"/>
          <w:noProof/>
          <w:sz w:val="24"/>
        </w:rPr>
      </w:pPr>
      <w:r>
        <w:rPr>
          <w:rFonts w:ascii="Times New Roman" w:hAnsi="Times New Roman"/>
          <w:i w:val="0"/>
          <w:sz w:val="24"/>
        </w:rPr>
        <w:t xml:space="preserve">B3. </w:t>
      </w:r>
      <w:r>
        <w:rPr>
          <w:rFonts w:ascii="Times New Roman" w:hAnsi="Times New Roman"/>
          <w:sz w:val="24"/>
        </w:rPr>
        <w:t>Nosaka produkta kvalitātes standartus, kas dažiem piegādātājiem rada pārmērīgas priekšrocības attiecībā pret citiem vai kas pārsniedz līmeni, kādu daudzi zinoši pircēji izvēlētos</w:t>
      </w:r>
    </w:p>
    <w:p w14:paraId="03C89539" w14:textId="77777777" w:rsidR="000A6469" w:rsidRPr="004D11C9" w:rsidRDefault="000A6469" w:rsidP="004D11C9">
      <w:pPr>
        <w:jc w:val="both"/>
        <w:rPr>
          <w:rFonts w:ascii="Times New Roman" w:eastAsia="Arial" w:hAnsi="Times New Roman" w:cs="Arial"/>
          <w:b/>
          <w:bCs/>
          <w:i/>
          <w:noProof/>
          <w:sz w:val="24"/>
          <w:szCs w:val="21"/>
        </w:rPr>
      </w:pPr>
    </w:p>
    <w:p w14:paraId="41114C9A"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Normatīvie akti, kas nosaka standartus, bieži sniedz priekšrocības patērētājiem un var veicināt jaunu produktu veidu rašanos, nodrošinot dažādu piegādātāju jauno produktu savstarpēju savietojamību. Taču standartu noteikšana rada arī pārmērīgas priekšrocības dažiem piegādātājiem attiecībā pret citiem. Izplatīts piemērs ir vides noteikumi, kas ierobežo viegli toksisku vielu pieļaujamās emisijas. Lai gan emisiju ierobežošana bieži ir piemērots veids, kā aizsargāt sabiedrības veselību, šie noteikumi var būt noteikti tādā veidā, kas negodīgi rada priekšrocības mazam piegādātāju skaitam, piemēram, prasot noteiktu tehnoloģiju izmantošanu vai nosakot pārmērīgi stingrus standartus, kurus ražotājiem ar mazākiem resursiem ir grūti vai neiespējami izpildīt. Cits piemērs, kad standartu noteikšanai var būt spēcīga pret konkurenci vērsta ietekme, ir minimālo kvalitātes standartu noteikšana atsevišķiem produktu veidiem. Šādu standartu noteikšanas pamatā bieži ir pārliecinoši mērķi, piemēram, patērētāju aizsardzība no riska, kas saistīts ar attiecīgās preces lietošanu. Ja tomēr daudzi patērētāji dod priekšroku zemākai cenai, nevis paaugstinātam drošumam, standarta nepieciešamība kļūst neviennozīmīga. Šādi standarti var samazināt patērētāju labklājību, jo patērētāji nevarētu pirkt lētākas, zemākas kvalitātes preces, kurām tie dotu priekšroku arī tad, ja būtu pilnībā informēti par iespējamo risku.</w:t>
      </w:r>
    </w:p>
    <w:p w14:paraId="3D3BB3BE" w14:textId="7E6D51AB" w:rsidR="00867DDD" w:rsidRDefault="00867DDD" w:rsidP="004D11C9">
      <w:pPr>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1215CF" w14:paraId="7C0A2ACA" w14:textId="77777777" w:rsidTr="001215CF">
        <w:tc>
          <w:tcPr>
            <w:tcW w:w="9062" w:type="dxa"/>
          </w:tcPr>
          <w:p w14:paraId="0E415943" w14:textId="144588E8" w:rsidR="001215CF" w:rsidRPr="001215CF" w:rsidRDefault="001215CF" w:rsidP="001215CF">
            <w:pPr>
              <w:jc w:val="center"/>
              <w:rPr>
                <w:rFonts w:ascii="Times New Roman" w:eastAsia="Arial" w:hAnsi="Times New Roman" w:cs="Arial"/>
                <w:noProof/>
                <w:sz w:val="24"/>
                <w:szCs w:val="20"/>
              </w:rPr>
            </w:pPr>
            <w:r>
              <w:rPr>
                <w:rFonts w:ascii="Times New Roman" w:hAnsi="Times New Roman"/>
                <w:b/>
                <w:sz w:val="24"/>
              </w:rPr>
              <w:t>23. ierāmējums. Plaša profesionālā licencēšana</w:t>
            </w:r>
          </w:p>
        </w:tc>
      </w:tr>
      <w:tr w:rsidR="001215CF" w14:paraId="2094FD23" w14:textId="77777777" w:rsidTr="001215CF">
        <w:tc>
          <w:tcPr>
            <w:tcW w:w="9062" w:type="dxa"/>
          </w:tcPr>
          <w:p w14:paraId="4A6F1838" w14:textId="77777777" w:rsidR="001215CF" w:rsidRDefault="001215CF" w:rsidP="001215CF">
            <w:pPr>
              <w:jc w:val="both"/>
              <w:rPr>
                <w:rFonts w:ascii="Times New Roman" w:hAnsi="Times New Roman"/>
                <w:noProof/>
                <w:sz w:val="24"/>
              </w:rPr>
            </w:pPr>
            <w:r>
              <w:rPr>
                <w:rFonts w:ascii="Times New Roman" w:hAnsi="Times New Roman"/>
                <w:sz w:val="24"/>
              </w:rPr>
              <w:t xml:space="preserve">Valsts licencē daudzas profesijas. Šādos gadījumos personai, kas praktizē attiecīgo profesiju, ir jāatbilst sertifikācijas standartiem. Šādas profesijas tostarp ir juristi, ārsti, farmaceiti, grāmatveži, manikīra speciālisti, bēru vadītāji u. c. Saskaņā ar dažiem ziņojumiem profesionālās licences ir nepieciešamas 30 % strādājošo. Dažkārt sertifikācijas prasības ir pārmērīgi augstas. Piemēram, Minesotā manikīra speciālista kvalifikācijas iegūšanai </w:t>
            </w:r>
            <w:r>
              <w:rPr>
                <w:rFonts w:ascii="Times New Roman" w:hAnsi="Times New Roman"/>
                <w:sz w:val="24"/>
              </w:rPr>
              <w:lastRenderedPageBreak/>
              <w:t>nepieciešama divreiz ilgāka apmācība nekā vidējam medicīnas personālam. Bieži vien valstij ir pamatots iemesls regulēt profesiju, lai gan šī vajadzība var būt pārspīlēta, dažiem politiķiem uzliekot veto attiecībā uz licencēšanas prasībām, piemēram, diabēta konsultantiem, anesteziologu asistentiem un dietologiem. Šādas veto uzlikšanas pamatojums ir tas, ka licencēšana var paaugstināt cenas patērētājiem vai samazināt nodarbinātību.</w:t>
            </w:r>
          </w:p>
          <w:p w14:paraId="2300EE8B" w14:textId="77777777" w:rsidR="001215CF" w:rsidRPr="004D11C9" w:rsidRDefault="001215CF" w:rsidP="001215CF">
            <w:pPr>
              <w:jc w:val="both"/>
              <w:rPr>
                <w:rFonts w:ascii="Times New Roman" w:eastAsia="Arial" w:hAnsi="Times New Roman" w:cs="Arial"/>
                <w:noProof/>
                <w:sz w:val="24"/>
                <w:szCs w:val="18"/>
              </w:rPr>
            </w:pPr>
          </w:p>
          <w:p w14:paraId="2D188437" w14:textId="2F5959EE" w:rsidR="001215CF" w:rsidRPr="001215CF" w:rsidRDefault="001215CF" w:rsidP="004D11C9">
            <w:pPr>
              <w:jc w:val="both"/>
              <w:rPr>
                <w:rFonts w:ascii="Times New Roman" w:eastAsia="Arial" w:hAnsi="Times New Roman" w:cs="Arial"/>
                <w:noProof/>
                <w:sz w:val="24"/>
                <w:szCs w:val="17"/>
              </w:rPr>
            </w:pPr>
            <w:r>
              <w:rPr>
                <w:rFonts w:ascii="Times New Roman" w:hAnsi="Times New Roman"/>
                <w:i/>
                <w:sz w:val="24"/>
              </w:rPr>
              <w:t>Avots</w:t>
            </w:r>
            <w:r>
              <w:rPr>
                <w:rFonts w:ascii="Times New Roman" w:hAnsi="Times New Roman"/>
                <w:sz w:val="24"/>
              </w:rPr>
              <w:t>: Kleiner, M (2014).</w:t>
            </w:r>
          </w:p>
        </w:tc>
      </w:tr>
    </w:tbl>
    <w:p w14:paraId="365E498F" w14:textId="77777777" w:rsidR="000A6469" w:rsidRPr="004D11C9" w:rsidRDefault="000A6469" w:rsidP="004D11C9">
      <w:pPr>
        <w:jc w:val="both"/>
        <w:rPr>
          <w:rFonts w:ascii="Times New Roman" w:eastAsia="Arial" w:hAnsi="Times New Roman" w:cs="Arial"/>
          <w:noProof/>
          <w:sz w:val="24"/>
          <w:szCs w:val="14"/>
        </w:rPr>
      </w:pPr>
    </w:p>
    <w:p w14:paraId="5A38C6B8" w14:textId="05BDE421"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Stingrākiem produktu standartu noteikumiem ir alternatīvas. Piemēram, ja obligātie standarti tiek noteikti ar nolūku nodrošināt patērētāju aizsardzību, to vietā var prasīt atklāt informāciju par noteiktām produkta īpašībām. Ja ir iecerētas nozīmīgas izmaiņas emisiju standartos, valstis var mēģināt samazināt pret konkurenci vērstu ietekmi, atļaujot emisijas tiesību tirdzniecību vai sniedzot pagaidu atbalstu mazākiem piegādātājiem, lai palīdzētu tiem izpildīt jaunās prasības.</w:t>
      </w:r>
    </w:p>
    <w:p w14:paraId="4F2C5D88" w14:textId="77777777" w:rsidR="000A6469" w:rsidRPr="004D11C9" w:rsidRDefault="000A6469" w:rsidP="004D11C9">
      <w:pPr>
        <w:jc w:val="both"/>
        <w:rPr>
          <w:rFonts w:ascii="Times New Roman" w:eastAsia="Arial" w:hAnsi="Times New Roman" w:cs="Arial"/>
          <w:noProof/>
          <w:sz w:val="24"/>
          <w:szCs w:val="21"/>
        </w:rPr>
      </w:pPr>
    </w:p>
    <w:p w14:paraId="740CF854" w14:textId="32640349" w:rsidR="000A6469" w:rsidRPr="004D11C9" w:rsidRDefault="001215CF" w:rsidP="004D11C9">
      <w:pPr>
        <w:pStyle w:val="Heading4"/>
        <w:ind w:left="0"/>
        <w:jc w:val="both"/>
        <w:rPr>
          <w:rFonts w:ascii="Times New Roman" w:hAnsi="Times New Roman"/>
          <w:noProof/>
          <w:sz w:val="24"/>
        </w:rPr>
      </w:pPr>
      <w:bookmarkStart w:id="56" w:name="Raises_the_costs_of_some_suppliers_relat"/>
      <w:bookmarkEnd w:id="56"/>
      <w:r>
        <w:rPr>
          <w:rFonts w:ascii="Times New Roman" w:hAnsi="Times New Roman"/>
          <w:i w:val="0"/>
          <w:sz w:val="24"/>
        </w:rPr>
        <w:t xml:space="preserve">B4. </w:t>
      </w:r>
      <w:r>
        <w:rPr>
          <w:rFonts w:ascii="Times New Roman" w:hAnsi="Times New Roman"/>
          <w:sz w:val="24"/>
        </w:rPr>
        <w:t>Paaugstina izmaksas dažiem piegādātājiem attiecībā pret citiem</w:t>
      </w:r>
    </w:p>
    <w:p w14:paraId="309FAB1F" w14:textId="77777777" w:rsidR="000A6469" w:rsidRPr="004D11C9" w:rsidRDefault="000A6469" w:rsidP="004D11C9">
      <w:pPr>
        <w:jc w:val="both"/>
        <w:rPr>
          <w:rFonts w:ascii="Times New Roman" w:eastAsia="Arial" w:hAnsi="Times New Roman" w:cs="Arial"/>
          <w:b/>
          <w:bCs/>
          <w:i/>
          <w:noProof/>
          <w:sz w:val="24"/>
          <w:szCs w:val="21"/>
        </w:rPr>
      </w:pPr>
    </w:p>
    <w:p w14:paraId="7874A0CC"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Dažkārt noteikumi rada netīšas sekas, sadārdzinot izmaksas dažiem piegādātājiem attiecībā pret citiem. Noteikumi var dažādos veidos paaugstināt dažu piegādātāju izmaksas attiecībā pret citu piegādātāju izmaksām. Viens no izmaksu asimetrijas avotiem ir noteikumi, kas pieprasa tikai kādas noteiktas ražošanas tehnoloģijas izmantošanu. Subsīdijas atkarībā no to piešķiršanas veida dažiem konkurentiem var radīt izmaksu priekšrocības attiecībā pret citiem. Noteikumi, kas attiecas uz valsts kapitālsabierībām, var radīt tām dažādas tiešas un netiešas izmaksu priekšrocības attiecībā pret privātiem uzņēmumiem. Noteikumi ar šādu ietekmi var izraisīt neefektīvas ražošanas metodes un novērst jaunu un labāku tehnoloģiju ieviešanu.</w:t>
      </w:r>
    </w:p>
    <w:p w14:paraId="2D499877" w14:textId="72310560" w:rsidR="000A6469" w:rsidRPr="004D11C9" w:rsidRDefault="000A6469" w:rsidP="004D11C9">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1215CF" w14:paraId="0D125846" w14:textId="77777777" w:rsidTr="001215CF">
        <w:tc>
          <w:tcPr>
            <w:tcW w:w="9062" w:type="dxa"/>
          </w:tcPr>
          <w:p w14:paraId="2BAFA9D0" w14:textId="63A143BB" w:rsidR="001215CF" w:rsidRDefault="001215CF" w:rsidP="001215CF">
            <w:pPr>
              <w:jc w:val="center"/>
              <w:rPr>
                <w:rFonts w:ascii="Times New Roman" w:eastAsia="Arial" w:hAnsi="Times New Roman" w:cs="Arial"/>
                <w:noProof/>
                <w:sz w:val="24"/>
                <w:szCs w:val="20"/>
              </w:rPr>
            </w:pPr>
            <w:r>
              <w:rPr>
                <w:rFonts w:ascii="Times New Roman" w:hAnsi="Times New Roman"/>
                <w:b/>
                <w:sz w:val="24"/>
              </w:rPr>
              <w:t>24. ierāmējums. Digitālie pakalpojumi un tradicionālie pakalpojumi</w:t>
            </w:r>
          </w:p>
        </w:tc>
      </w:tr>
      <w:tr w:rsidR="001215CF" w14:paraId="59210934" w14:textId="77777777" w:rsidTr="001215CF">
        <w:tc>
          <w:tcPr>
            <w:tcW w:w="9062" w:type="dxa"/>
          </w:tcPr>
          <w:p w14:paraId="7833922F" w14:textId="77777777" w:rsidR="001215CF" w:rsidRPr="004D11C9" w:rsidRDefault="001215CF" w:rsidP="001215CF">
            <w:pPr>
              <w:jc w:val="both"/>
              <w:rPr>
                <w:rFonts w:ascii="Times New Roman" w:eastAsia="Arial" w:hAnsi="Times New Roman" w:cs="Arial"/>
                <w:noProof/>
                <w:sz w:val="24"/>
                <w:szCs w:val="18"/>
              </w:rPr>
            </w:pPr>
            <w:r>
              <w:rPr>
                <w:rFonts w:ascii="Times New Roman" w:hAnsi="Times New Roman"/>
                <w:sz w:val="24"/>
              </w:rPr>
              <w:t>Asimetrisks regulējums var vai nu veicināt digitalizētos pakalpojumus, vai arī radīt neizdevīgus apstākļus to sniegšanai.</w:t>
            </w:r>
          </w:p>
          <w:p w14:paraId="6D7C192C" w14:textId="77777777" w:rsidR="001215CF" w:rsidRPr="004D11C9" w:rsidRDefault="001215CF" w:rsidP="001215CF">
            <w:pPr>
              <w:jc w:val="both"/>
              <w:rPr>
                <w:rFonts w:ascii="Times New Roman" w:eastAsia="Arial" w:hAnsi="Times New Roman" w:cs="Arial"/>
                <w:noProof/>
                <w:sz w:val="24"/>
                <w:szCs w:val="21"/>
              </w:rPr>
            </w:pPr>
          </w:p>
          <w:p w14:paraId="4CDE8FD0" w14:textId="77777777" w:rsidR="001215CF" w:rsidRPr="001215CF" w:rsidRDefault="001215CF" w:rsidP="001215CF">
            <w:pPr>
              <w:jc w:val="both"/>
              <w:rPr>
                <w:rFonts w:ascii="Times New Roman" w:eastAsia="Arial" w:hAnsi="Times New Roman" w:cs="Arial"/>
                <w:noProof/>
                <w:sz w:val="24"/>
                <w:szCs w:val="18"/>
              </w:rPr>
            </w:pPr>
            <w:r>
              <w:rPr>
                <w:rFonts w:ascii="Times New Roman" w:hAnsi="Times New Roman"/>
                <w:sz w:val="24"/>
              </w:rPr>
              <w:t>Rietumbengālijā taksometros, kas reģistrēti ar tiešsaistes starpnieku, ir jābūt uzstādītai videonovērošanas kamerai, bet šī prasība netiek attiecināta uz citiem taksometriem. Meksikas Jukatanas štatā kopbraukšanas transportlīdzekļu vadītājiem ir jābūt vadīto transportlīdzekļu īpašniekiem. Turklāt transportlīdzekļa vērtībai ir jāsasniedz 200 tūkstoši MXN, un tiem ir jābūt jaunākiem par 7 gadiem. Šīs prasības netiek attiecinātas uz taksometriem un vadītājiem, kas sniedz tradicionālos taksometru pakalpojumus. Francijā kopbraukšanas pakalpojumu sniedzējiem ir jāsniedz finanšu garantijas, savukārt parastajiem taksometriem šāda prasība nav jāizpilda.</w:t>
            </w:r>
          </w:p>
          <w:p w14:paraId="11400EE2" w14:textId="77777777" w:rsidR="001215CF" w:rsidRPr="004D11C9" w:rsidRDefault="001215CF" w:rsidP="001215CF">
            <w:pPr>
              <w:jc w:val="both"/>
              <w:rPr>
                <w:rFonts w:ascii="Times New Roman" w:eastAsia="Arial" w:hAnsi="Times New Roman" w:cs="Arial"/>
                <w:noProof/>
                <w:sz w:val="24"/>
                <w:szCs w:val="20"/>
              </w:rPr>
            </w:pPr>
          </w:p>
          <w:p w14:paraId="13D12264" w14:textId="2DCFB7F2" w:rsidR="001215CF" w:rsidRPr="001215CF" w:rsidRDefault="001215CF" w:rsidP="004D11C9">
            <w:pPr>
              <w:jc w:val="both"/>
              <w:rPr>
                <w:rFonts w:ascii="Times New Roman" w:hAnsi="Times New Roman"/>
                <w:noProof/>
                <w:sz w:val="24"/>
              </w:rPr>
            </w:pPr>
            <w:r>
              <w:rPr>
                <w:rFonts w:ascii="Times New Roman" w:hAnsi="Times New Roman"/>
                <w:sz w:val="24"/>
              </w:rPr>
              <w:t xml:space="preserve">No otras puses, digitālo pakalpojumu sniedzējiem var būt arī izmaksu priekšrocības attiecībā pret tradicionālo pakalpojumu sniedzējiem. Lai gan satelīttelevīzijas un kabeļtelevīzijas pakalpojumi parasti tiek aplikti ar nodokļiem un licences maksu, šādas prasības parasti netiek attiecinātas uz </w:t>
            </w:r>
            <w:r>
              <w:rPr>
                <w:rFonts w:ascii="Times New Roman" w:hAnsi="Times New Roman"/>
                <w:i/>
                <w:sz w:val="24"/>
              </w:rPr>
              <w:t>over-the-top</w:t>
            </w:r>
            <w:r>
              <w:rPr>
                <w:rFonts w:ascii="Times New Roman" w:hAnsi="Times New Roman"/>
                <w:sz w:val="24"/>
              </w:rPr>
              <w:t xml:space="preserve"> (</w:t>
            </w:r>
            <w:r>
              <w:rPr>
                <w:rFonts w:ascii="Times New Roman" w:hAnsi="Times New Roman"/>
                <w:i/>
                <w:sz w:val="24"/>
              </w:rPr>
              <w:t>OTT</w:t>
            </w:r>
            <w:r>
              <w:rPr>
                <w:rFonts w:ascii="Times New Roman" w:hAnsi="Times New Roman"/>
                <w:sz w:val="24"/>
              </w:rPr>
              <w:t>) televīzijas pakalpojumiem.</w:t>
            </w:r>
          </w:p>
        </w:tc>
      </w:tr>
    </w:tbl>
    <w:p w14:paraId="5DA81F65" w14:textId="41DED179" w:rsidR="00A766E8" w:rsidRDefault="00A766E8" w:rsidP="004D11C9">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1215CF" w14:paraId="32BA28A4" w14:textId="77777777" w:rsidTr="001215CF">
        <w:tc>
          <w:tcPr>
            <w:tcW w:w="9062" w:type="dxa"/>
          </w:tcPr>
          <w:p w14:paraId="24D8F84B" w14:textId="683DA36F" w:rsidR="001215CF" w:rsidRPr="001215CF" w:rsidRDefault="001215CF" w:rsidP="001215CF">
            <w:pPr>
              <w:jc w:val="center"/>
              <w:rPr>
                <w:rFonts w:ascii="Times New Roman" w:hAnsi="Times New Roman"/>
                <w:b/>
                <w:noProof/>
                <w:sz w:val="24"/>
              </w:rPr>
            </w:pPr>
            <w:r>
              <w:rPr>
                <w:rFonts w:ascii="Times New Roman" w:hAnsi="Times New Roman"/>
                <w:b/>
                <w:sz w:val="24"/>
              </w:rPr>
              <w:t>25. ierāmējums. Subsīdijas uzņēmuma ilgtermiņa dzīvotspējas nodrošināšanai</w:t>
            </w:r>
          </w:p>
        </w:tc>
      </w:tr>
      <w:tr w:rsidR="001215CF" w14:paraId="2289308D" w14:textId="77777777" w:rsidTr="001215CF">
        <w:tc>
          <w:tcPr>
            <w:tcW w:w="9062" w:type="dxa"/>
          </w:tcPr>
          <w:p w14:paraId="70639252" w14:textId="77777777" w:rsidR="001215CF" w:rsidRDefault="001215CF" w:rsidP="001215CF">
            <w:pPr>
              <w:jc w:val="both"/>
              <w:rPr>
                <w:rFonts w:ascii="Times New Roman" w:hAnsi="Times New Roman"/>
                <w:noProof/>
                <w:sz w:val="24"/>
              </w:rPr>
            </w:pPr>
            <w:r>
              <w:rPr>
                <w:rFonts w:ascii="Times New Roman" w:hAnsi="Times New Roman"/>
                <w:sz w:val="24"/>
              </w:rPr>
              <w:t>Ja viens uzņēmums saskaras ar finansiālām grūtībām un saņem no valsts ievērojamu subsīdiju, lai veiktu reorganizāciju, bet konkurējoši rentabli uzņēmumi nesaņem šādu subsīdiju, šie rentablie uzņēmumi var norādīt, ka subsīdija kropļo konkurenci un faktiski rada subsidētajam uzņēmumam izmaksu priekšrocības attiecībā pret rentablajiem uzņēmumiem.</w:t>
            </w:r>
          </w:p>
          <w:p w14:paraId="36F13E90" w14:textId="77777777" w:rsidR="001215CF" w:rsidRPr="004D11C9" w:rsidRDefault="001215CF" w:rsidP="001215CF">
            <w:pPr>
              <w:jc w:val="both"/>
              <w:rPr>
                <w:rFonts w:ascii="Times New Roman" w:hAnsi="Times New Roman"/>
                <w:noProof/>
                <w:sz w:val="24"/>
              </w:rPr>
            </w:pPr>
          </w:p>
          <w:p w14:paraId="5FF9EE01" w14:textId="77777777" w:rsidR="001215CF" w:rsidRDefault="001215CF" w:rsidP="001215CF">
            <w:pPr>
              <w:jc w:val="both"/>
              <w:rPr>
                <w:rFonts w:ascii="Times New Roman" w:hAnsi="Times New Roman"/>
                <w:noProof/>
                <w:sz w:val="24"/>
              </w:rPr>
            </w:pPr>
            <w:r>
              <w:rPr>
                <w:rFonts w:ascii="Times New Roman" w:hAnsi="Times New Roman"/>
                <w:sz w:val="24"/>
              </w:rPr>
              <w:lastRenderedPageBreak/>
              <w:t>Saskaņā ar ES valsts atbalsta noteikumiem nosacījumi, ko piemēro Eiropas Komisija, pieņemot lēmumu par atļauju piešķirt glābšanas un pārstrukturēšanas atbalstu grūtībās nonākušiem uzņēmumiem, ir ļoti stingri, jo šāda veida atbalstam ir liels potenciāls izkropļot konkurenci un tas var kaitēt strukturālajiem pielāgojumiem un, visbeidzot, arī ekonomikas izaugsmei, jo neefektīvu uzņēmumu iziešana no tirgus un nomaiņa ir viens no galvenajiem ekonomiskās izaugsmes virzītājspēkiem. Proti, Eiropas Komisija atļauj piešķirt pārstrukturēšanas atbalstu tikai tad, ja pārstrukturēšanas plāns var nodrošināt uzņēmuma ilgtermiņa dzīvotspēju bez papildu valsts atbalsta, ja uzņēmums pats segs pienācīgu pārstrukturēšanas izmaksu daļu un plānā paredzēti atbilstoši pasākumi, piemēram, aktīvu pārdošana vai jaudas samazināšana, lai maksimāli samazinātu atbalsta radīto izkropļojumu.</w:t>
            </w:r>
          </w:p>
          <w:p w14:paraId="122C9873" w14:textId="77777777" w:rsidR="001215CF" w:rsidRPr="004D11C9" w:rsidRDefault="001215CF" w:rsidP="001215CF">
            <w:pPr>
              <w:jc w:val="both"/>
              <w:rPr>
                <w:rFonts w:ascii="Times New Roman" w:hAnsi="Times New Roman"/>
                <w:noProof/>
                <w:sz w:val="24"/>
              </w:rPr>
            </w:pPr>
          </w:p>
          <w:p w14:paraId="53E11F76" w14:textId="77777777" w:rsidR="001215CF" w:rsidRDefault="001215CF" w:rsidP="001215CF">
            <w:pPr>
              <w:jc w:val="both"/>
              <w:rPr>
                <w:rFonts w:ascii="Times New Roman" w:hAnsi="Times New Roman"/>
                <w:noProof/>
                <w:sz w:val="24"/>
              </w:rPr>
            </w:pPr>
            <w:r>
              <w:rPr>
                <w:rFonts w:ascii="Times New Roman" w:hAnsi="Times New Roman"/>
                <w:sz w:val="24"/>
              </w:rPr>
              <w:t xml:space="preserve">Labs piemērs ir 2013. gada jūlijā pieņemtais lēmums par </w:t>
            </w:r>
            <w:r>
              <w:rPr>
                <w:rFonts w:ascii="Times New Roman" w:hAnsi="Times New Roman"/>
                <w:i/>
                <w:sz w:val="24"/>
              </w:rPr>
              <w:t>PSA</w:t>
            </w:r>
            <w:r>
              <w:rPr>
                <w:rFonts w:ascii="Times New Roman" w:hAnsi="Times New Roman"/>
                <w:sz w:val="24"/>
              </w:rPr>
              <w:t xml:space="preserve"> grupas pārstrukturēšanu. Lai atjaunotu ilgtermiņa dzīvotspēju, </w:t>
            </w:r>
            <w:r>
              <w:rPr>
                <w:rFonts w:ascii="Times New Roman" w:hAnsi="Times New Roman"/>
                <w:i/>
                <w:sz w:val="24"/>
              </w:rPr>
              <w:t>PSA</w:t>
            </w:r>
            <w:r>
              <w:rPr>
                <w:rFonts w:ascii="Times New Roman" w:hAnsi="Times New Roman"/>
                <w:sz w:val="24"/>
              </w:rPr>
              <w:t xml:space="preserve"> grupa pārorientēja savu darbību, samazinot ražošanas jaudu dažos segmentos un palielinot ražošanas vietu specializāciju. Aktīvu pārdošanas programma nodrošināja uzņēmumam spēju segt pienācīgu pārstrukturēšanas izmaksu daļu. Visbeidzot, tika ieviesti mehānismi, kas neļauj izmantot atbalstu, lai kaitētu konkurencei.</w:t>
            </w:r>
          </w:p>
          <w:p w14:paraId="7E80C7BB" w14:textId="77777777" w:rsidR="001215CF" w:rsidRPr="004D11C9" w:rsidRDefault="001215CF" w:rsidP="001215CF">
            <w:pPr>
              <w:jc w:val="both"/>
              <w:rPr>
                <w:rFonts w:ascii="Times New Roman" w:hAnsi="Times New Roman"/>
                <w:noProof/>
                <w:sz w:val="24"/>
              </w:rPr>
            </w:pPr>
          </w:p>
          <w:p w14:paraId="2AB5FBCA" w14:textId="6FD032DB" w:rsidR="001215CF" w:rsidRPr="001215CF" w:rsidRDefault="001215CF" w:rsidP="004D11C9">
            <w:pPr>
              <w:jc w:val="both"/>
              <w:rPr>
                <w:rFonts w:ascii="Times New Roman" w:eastAsia="Arial" w:hAnsi="Times New Roman" w:cs="Arial"/>
                <w:noProof/>
                <w:sz w:val="24"/>
                <w:szCs w:val="17"/>
              </w:rPr>
            </w:pPr>
            <w:r>
              <w:rPr>
                <w:rFonts w:ascii="Times New Roman" w:hAnsi="Times New Roman"/>
                <w:sz w:val="24"/>
              </w:rPr>
              <w:t xml:space="preserve">Avoti: Eiropas Komisija (2014), </w:t>
            </w:r>
            <w:r>
              <w:rPr>
                <w:rFonts w:ascii="Times New Roman" w:hAnsi="Times New Roman"/>
                <w:sz w:val="24"/>
                <w:u w:val="single"/>
              </w:rPr>
              <w:t>http://ec.europa.eu/competition/publications/cpb/2014/009_en.pdf</w:t>
            </w:r>
            <w:r>
              <w:rPr>
                <w:rFonts w:ascii="Times New Roman" w:hAnsi="Times New Roman"/>
                <w:sz w:val="24"/>
              </w:rPr>
              <w:t xml:space="preserve"> un Eiropas Komisija (2013), </w:t>
            </w:r>
            <w:r>
              <w:rPr>
                <w:rFonts w:ascii="Times New Roman" w:hAnsi="Times New Roman"/>
                <w:sz w:val="24"/>
                <w:u w:val="single"/>
              </w:rPr>
              <w:t>http://europa.eu/rapid/press-release_IP-13-757_en.htm</w:t>
            </w:r>
            <w:r>
              <w:rPr>
                <w:rFonts w:ascii="Times New Roman" w:hAnsi="Times New Roman"/>
                <w:sz w:val="24"/>
              </w:rPr>
              <w:t>).</w:t>
            </w:r>
          </w:p>
        </w:tc>
      </w:tr>
    </w:tbl>
    <w:p w14:paraId="499F322F" w14:textId="77777777" w:rsidR="000A6469" w:rsidRPr="004D11C9" w:rsidRDefault="000A6469" w:rsidP="004D11C9">
      <w:pPr>
        <w:jc w:val="both"/>
        <w:rPr>
          <w:rFonts w:ascii="Times New Roman" w:eastAsia="Arial" w:hAnsi="Times New Roman" w:cs="Arial"/>
          <w:noProof/>
          <w:sz w:val="24"/>
          <w:szCs w:val="26"/>
        </w:rPr>
      </w:pPr>
      <w:bookmarkStart w:id="57" w:name="_bookmark36"/>
      <w:bookmarkEnd w:id="57"/>
    </w:p>
    <w:p w14:paraId="7B551F3F" w14:textId="1F9A35DA"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Cits avots ir izņēmuma noteikumi</w:t>
      </w:r>
      <w:r w:rsidR="00631B9A">
        <w:rPr>
          <w:rFonts w:ascii="Times New Roman" w:hAnsi="Times New Roman"/>
          <w:sz w:val="24"/>
        </w:rPr>
        <w:t xml:space="preserve"> (</w:t>
      </w:r>
      <w:r w:rsidR="00631B9A">
        <w:rPr>
          <w:rFonts w:ascii="Times New Roman" w:hAnsi="Times New Roman"/>
          <w:i/>
          <w:iCs/>
          <w:sz w:val="24"/>
        </w:rPr>
        <w:t>grandfather clauses</w:t>
      </w:r>
      <w:r w:rsidR="00631B9A">
        <w:rPr>
          <w:rFonts w:ascii="Times New Roman" w:hAnsi="Times New Roman"/>
          <w:sz w:val="24"/>
        </w:rPr>
        <w:t>)</w:t>
      </w:r>
      <w:r>
        <w:rPr>
          <w:rFonts w:ascii="Times New Roman" w:hAnsi="Times New Roman"/>
          <w:sz w:val="24"/>
        </w:rPr>
        <w:t>, kas no regulējuma atbrīvo pašreizējos piegādātājus, bet regulējumu piemēro jaunajiem tirgus dalībniekiem. Šādiem nosacījumiem, kas atsevišķiem piegādātājiem palielina izmaksas daudz vairāk nekā citiem piegādātājiem, ir ievērojams konkurences attiecību izkropļošanas potenciāls. Tie var kavēt ieiešanu tirgū, samazināt inovācijas un pazemināt konkurences spiediena intensitāti tirgū. Lai gan atšķirīgu izmaksu radīšana var kaitēt, tas nav jāsaprot tādējādi, ka noteikumiem pozitīvā veidā jācenšas vienādot piegādātāju izmaksas.</w:t>
      </w:r>
    </w:p>
    <w:p w14:paraId="4C41490A" w14:textId="77777777" w:rsidR="00867DDD" w:rsidRPr="004D11C9" w:rsidRDefault="00867DDD" w:rsidP="004D11C9">
      <w:pPr>
        <w:jc w:val="both"/>
        <w:rPr>
          <w:rFonts w:ascii="Times New Roman" w:hAnsi="Times New Roman"/>
          <w:noProof/>
          <w:sz w:val="24"/>
        </w:rPr>
      </w:pPr>
    </w:p>
    <w:p w14:paraId="145417F0" w14:textId="77777777" w:rsidR="000A6469" w:rsidRPr="004D11C9" w:rsidRDefault="000A6469" w:rsidP="004D11C9">
      <w:pPr>
        <w:jc w:val="both"/>
        <w:rPr>
          <w:rFonts w:ascii="Times New Roman" w:eastAsia="Arial" w:hAnsi="Times New Roman" w:cs="Arial"/>
          <w:noProof/>
          <w:sz w:val="24"/>
          <w:szCs w:val="15"/>
        </w:rPr>
      </w:pPr>
    </w:p>
    <w:p w14:paraId="79270D61"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Attiecībā uz profesionālo kvalifikāciju bieži izmanto izņēmuma noteikumus, pamatojoties uz pārliecību, ka ilgi strādājošu profesijas pārstāvju plašā praktiskā pieredze pietiekami aizvieto augstāku formālās kvalifikācijas līmeni. Attiecībā uz ražošanas tehnoloģijām izņēmuma noteikumus bieži izmanto tam, lai nodrošinātu pietiekami ilgu laiku iepriekšējo ieguldījumu neatgriezenisko izmaksu amortizācijai. Izņēmuma noteikumu pret konkurenci vērsto ietekmi var samazināt, nodrošinot, ka tiem ir laika ierobežojumi, nevis tie ir pastāvīgi. Kopumā argumenti par labu izņēmuma noteikumiem jāuztver skeptiski, jo tie bieži aizsargā piešķirtās tiesības no iespējamās konkurences.</w:t>
      </w:r>
    </w:p>
    <w:p w14:paraId="6A392F1B" w14:textId="408C4D67" w:rsidR="000A6469" w:rsidRPr="004D11C9" w:rsidRDefault="000A6469" w:rsidP="004D11C9">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263"/>
        <w:gridCol w:w="6799"/>
      </w:tblGrid>
      <w:tr w:rsidR="001215CF" w14:paraId="091B23ED" w14:textId="77777777" w:rsidTr="00121F0E">
        <w:tc>
          <w:tcPr>
            <w:tcW w:w="2263" w:type="dxa"/>
          </w:tcPr>
          <w:p w14:paraId="6F8E4119" w14:textId="3CF7089C" w:rsidR="001215CF" w:rsidRPr="001215CF" w:rsidRDefault="001215CF" w:rsidP="004D11C9">
            <w:pPr>
              <w:jc w:val="both"/>
              <w:rPr>
                <w:rFonts w:ascii="Times New Roman" w:eastAsia="Arial" w:hAnsi="Times New Roman" w:cs="Arial"/>
                <w:noProof/>
                <w:sz w:val="24"/>
                <w:szCs w:val="32"/>
              </w:rPr>
            </w:pPr>
            <w:r>
              <w:rPr>
                <w:rFonts w:ascii="Times New Roman" w:hAnsi="Times New Roman"/>
                <w:b/>
                <w:sz w:val="24"/>
              </w:rPr>
              <w:t>C pārbaudes lapa</w:t>
            </w:r>
          </w:p>
        </w:tc>
        <w:tc>
          <w:tcPr>
            <w:tcW w:w="6799" w:type="dxa"/>
          </w:tcPr>
          <w:p w14:paraId="3F646247" w14:textId="77B93911" w:rsidR="001215CF" w:rsidRPr="001215CF" w:rsidRDefault="001215CF" w:rsidP="004D11C9">
            <w:pPr>
              <w:jc w:val="both"/>
              <w:rPr>
                <w:rFonts w:ascii="Times New Roman" w:eastAsia="Arial" w:hAnsi="Times New Roman" w:cs="Arial"/>
                <w:noProof/>
                <w:sz w:val="24"/>
              </w:rPr>
            </w:pPr>
            <w:r>
              <w:rPr>
                <w:rFonts w:ascii="Times New Roman" w:hAnsi="Times New Roman"/>
                <w:b/>
                <w:sz w:val="24"/>
              </w:rPr>
              <w:t>Piegādātāju stimula radīt spēcīgu sāncensību saviem konkurentiem samazināšanās</w:t>
            </w:r>
          </w:p>
        </w:tc>
      </w:tr>
    </w:tbl>
    <w:p w14:paraId="4FB46562" w14:textId="77777777" w:rsidR="000A6469" w:rsidRPr="004D11C9" w:rsidRDefault="000A6469" w:rsidP="004D11C9">
      <w:pPr>
        <w:jc w:val="both"/>
        <w:rPr>
          <w:rFonts w:ascii="Times New Roman" w:eastAsia="Arial" w:hAnsi="Times New Roman" w:cs="Arial"/>
          <w:noProof/>
          <w:sz w:val="24"/>
          <w:szCs w:val="20"/>
        </w:rPr>
      </w:pPr>
    </w:p>
    <w:p w14:paraId="56A246F4" w14:textId="6248F501"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Noteikumi var ietekmēt piegādātāju </w:t>
      </w:r>
      <w:r w:rsidR="00631B9A">
        <w:rPr>
          <w:rFonts w:ascii="Times New Roman" w:hAnsi="Times New Roman"/>
          <w:sz w:val="24"/>
        </w:rPr>
        <w:t>uzvedību</w:t>
      </w:r>
      <w:r>
        <w:rPr>
          <w:rFonts w:ascii="Times New Roman" w:hAnsi="Times New Roman"/>
          <w:sz w:val="24"/>
        </w:rPr>
        <w:t xml:space="preserve">, ne tikai mainot piegādātāju spēju konkurēt, bet arī mainot viņu stimulu radīt spēcīgu sāncensību saviem konkurentiem. Divi no galvenajiem iemesliem, kāpēc piegādātāju konkurence var kļūt vājāka, ir, pirmkārt, tas, ka daži noteikumi var atvieglot sadarbību starp piegādātājiem, un, otrkārt, tas, ka dažu noteikumu dēļ klientiem zūd vēlme, iespējas vai stimuls pāriet no viena piegādātāja pie cita. Citi iemesli, kāpēc piegādātāju konkurence var vājināties, ir, piemēram, peļņas vai tirgus daļas ierobežojumi, kas samazina labumu, kuru ir iespējams gūt no dalības konkurences sāncensībā. Kartelim līdzīga </w:t>
      </w:r>
      <w:r w:rsidR="00DD4785">
        <w:rPr>
          <w:rFonts w:ascii="Times New Roman" w:hAnsi="Times New Roman"/>
          <w:sz w:val="24"/>
        </w:rPr>
        <w:lastRenderedPageBreak/>
        <w:t>uzvedī</w:t>
      </w:r>
      <w:r>
        <w:rPr>
          <w:rFonts w:ascii="Times New Roman" w:hAnsi="Times New Roman"/>
          <w:sz w:val="24"/>
        </w:rPr>
        <w:t>ba</w:t>
      </w:r>
      <w:r w:rsidR="001215CF">
        <w:rPr>
          <w:rStyle w:val="FootnoteReference"/>
          <w:rFonts w:ascii="Times New Roman" w:hAnsi="Times New Roman"/>
          <w:noProof/>
          <w:sz w:val="24"/>
        </w:rPr>
        <w:footnoteReference w:id="4"/>
      </w:r>
      <w:r>
        <w:rPr>
          <w:rFonts w:ascii="Times New Roman" w:hAnsi="Times New Roman"/>
          <w:sz w:val="24"/>
        </w:rPr>
        <w:t xml:space="preserve"> var veidoties pašregulējošās vai kopregulējošās sistēmās, paplašinot informācijas apmaiņu par piegādātāja produkciju un cenu vai izslēdzot nozari vai sektoru no konkurences tiesību darbības jomas. Karteļi rada kaitējumu, jo ierobežo produkciju un paaugstina cenas, nodarot ļaunumu patērētājiem.</w:t>
      </w:r>
    </w:p>
    <w:p w14:paraId="2A88DD20" w14:textId="77777777" w:rsidR="000A6469" w:rsidRPr="004D11C9" w:rsidRDefault="000A6469" w:rsidP="004D11C9">
      <w:pPr>
        <w:jc w:val="both"/>
        <w:rPr>
          <w:rFonts w:ascii="Times New Roman" w:eastAsia="Arial" w:hAnsi="Times New Roman" w:cs="Arial"/>
          <w:noProof/>
          <w:sz w:val="24"/>
          <w:szCs w:val="21"/>
        </w:rPr>
      </w:pPr>
    </w:p>
    <w:p w14:paraId="5F97F056" w14:textId="0353B451" w:rsidR="000A6469" w:rsidRPr="004D11C9" w:rsidRDefault="001215CF" w:rsidP="004D11C9">
      <w:pPr>
        <w:pStyle w:val="Heading4"/>
        <w:ind w:left="0"/>
        <w:jc w:val="both"/>
        <w:rPr>
          <w:rFonts w:ascii="Times New Roman" w:hAnsi="Times New Roman"/>
          <w:noProof/>
          <w:sz w:val="24"/>
        </w:rPr>
      </w:pPr>
      <w:bookmarkStart w:id="58" w:name="Self-regulation_and_co-regulation"/>
      <w:bookmarkEnd w:id="58"/>
      <w:r>
        <w:rPr>
          <w:rFonts w:ascii="Times New Roman" w:hAnsi="Times New Roman"/>
          <w:i w:val="0"/>
          <w:sz w:val="24"/>
        </w:rPr>
        <w:t xml:space="preserve">C1. </w:t>
      </w:r>
      <w:r>
        <w:rPr>
          <w:rFonts w:ascii="Times New Roman" w:hAnsi="Times New Roman"/>
          <w:sz w:val="24"/>
        </w:rPr>
        <w:t>Pašregulācija un kopregulācija</w:t>
      </w:r>
    </w:p>
    <w:p w14:paraId="62EBF9AB" w14:textId="77777777" w:rsidR="000A6469" w:rsidRPr="004D11C9" w:rsidRDefault="000A6469" w:rsidP="004D11C9">
      <w:pPr>
        <w:jc w:val="both"/>
        <w:rPr>
          <w:rFonts w:ascii="Times New Roman" w:eastAsia="Arial" w:hAnsi="Times New Roman" w:cs="Arial"/>
          <w:b/>
          <w:bCs/>
          <w:i/>
          <w:noProof/>
          <w:sz w:val="24"/>
          <w:szCs w:val="21"/>
        </w:rPr>
      </w:pPr>
    </w:p>
    <w:p w14:paraId="44FABFE0" w14:textId="01624619"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Ja rūpniecības nozare vai profesionāla apvienība (bieži vien valdības mudināta) uzņemas pilnīgu atbildību par savu biedru izturēšanās regulēšanu un tā nav nostiprināta valsts tiesību aktos, lieto terminu “pašregulācija”. Taču tad, ja valdība ar tiesību aktu palīdzību nodrošina atbalstu nosacījumiem, kurus izveidojusi vismaz daļa no rūpniecības nozares/profesionālas apvienības, lieto terminu “kopregulācija”. Pašregulējošas un kopregulējošas struktūras var sniegt būtisku labumu, nodrošinot atbilstošus tehniskus standartus un to tehnoloģisko attīstību.</w:t>
      </w:r>
    </w:p>
    <w:p w14:paraId="629FC05A" w14:textId="77777777" w:rsidR="000A6469" w:rsidRPr="004D11C9" w:rsidRDefault="000A6469" w:rsidP="004D11C9">
      <w:pPr>
        <w:jc w:val="both"/>
        <w:rPr>
          <w:rFonts w:ascii="Times New Roman" w:eastAsia="Arial" w:hAnsi="Times New Roman" w:cs="Arial"/>
          <w:noProof/>
          <w:sz w:val="24"/>
          <w:szCs w:val="20"/>
        </w:rPr>
      </w:pPr>
    </w:p>
    <w:p w14:paraId="25A31D94" w14:textId="0E41E069"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Tomēr šīm struktūrām var būt ievērojama konkurenci kropļojoša ietekme. Nozares/profesionālās apvienības bieži vien pieņem tādus noteikumus, kas samazina preču piegādātājiem vai pakalpojumu sniedzējiem stimulu vai iespējas spēcīgi konkurēt vienam ar otru, piemēram, nosaka reklamēšanas ierobežojumus un noteikumus, kas liedz nolaist cenu. Tāpat ieiešanu tirgū var samazināt arī nepamatoti stingras kvalifikācijas prasības. Valstij ir jāsaglabā spēja nepieļaut to, ka rūpniecības nozares/profesionālās apvienības mēģina izmantot regul</w:t>
      </w:r>
      <w:r w:rsidR="00DD4785">
        <w:rPr>
          <w:rFonts w:ascii="Times New Roman" w:hAnsi="Times New Roman"/>
          <w:sz w:val="24"/>
        </w:rPr>
        <w:t>atīvo</w:t>
      </w:r>
      <w:r>
        <w:rPr>
          <w:rFonts w:ascii="Times New Roman" w:hAnsi="Times New Roman"/>
          <w:sz w:val="24"/>
        </w:rPr>
        <w:t xml:space="preserve"> varu pret konkurenci vērstā veidā. Tostarp tas var nozīmēt, ka attiecīgajām valsts iestādēm ir tiesības apstiprināt vai atteikties apstiprināt apvienību noteikumus un, ja nepieciešams, aizstāt tos ar saviem noteikumiem, ja apvienība turpina ierosināt nepieņemamus noteikumus. Vēl viena iespēja ir iesaistīt neatkarīgos vai patērētāju pārstāvjus struktūrās, kas lemj par noteikumiem, par kuriem pastāv bažas, ka nozare ir “sagūstījusi” regulatorus un ka regulatori vairāk darbojas tirgū esošo uzņēmumu labā, nevis potenciālo jauno uzņēmumu, patērētāju vai citu valsts politikas mērķu labā.</w:t>
      </w:r>
    </w:p>
    <w:p w14:paraId="7DB28B48" w14:textId="3227DF49" w:rsidR="000A6469" w:rsidRDefault="000A6469" w:rsidP="004D11C9">
      <w:pPr>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1215CF" w14:paraId="21E15EA0" w14:textId="77777777" w:rsidTr="001215CF">
        <w:tc>
          <w:tcPr>
            <w:tcW w:w="9062" w:type="dxa"/>
          </w:tcPr>
          <w:p w14:paraId="39B64E29" w14:textId="07D98759" w:rsidR="001215CF" w:rsidRPr="001215CF" w:rsidRDefault="001215CF" w:rsidP="001215CF">
            <w:pPr>
              <w:jc w:val="center"/>
              <w:rPr>
                <w:rFonts w:ascii="Times New Roman" w:eastAsia="Arial" w:hAnsi="Times New Roman" w:cs="Arial"/>
                <w:noProof/>
                <w:sz w:val="24"/>
                <w:szCs w:val="20"/>
              </w:rPr>
            </w:pPr>
            <w:r>
              <w:rPr>
                <w:rFonts w:ascii="Times New Roman" w:hAnsi="Times New Roman"/>
                <w:b/>
                <w:sz w:val="24"/>
              </w:rPr>
              <w:t>26. ierāmējums. Pašregulācija un minimālās cenas</w:t>
            </w:r>
          </w:p>
        </w:tc>
      </w:tr>
      <w:tr w:rsidR="001215CF" w14:paraId="0BE17A0E" w14:textId="77777777" w:rsidTr="001215CF">
        <w:tc>
          <w:tcPr>
            <w:tcW w:w="9062" w:type="dxa"/>
          </w:tcPr>
          <w:p w14:paraId="3BD024ED" w14:textId="255CA990" w:rsidR="001215CF" w:rsidRDefault="001215CF" w:rsidP="001215CF">
            <w:pPr>
              <w:jc w:val="both"/>
              <w:rPr>
                <w:rFonts w:ascii="Times New Roman" w:hAnsi="Times New Roman"/>
                <w:noProof/>
                <w:sz w:val="24"/>
              </w:rPr>
            </w:pPr>
            <w:r>
              <w:rPr>
                <w:rFonts w:ascii="Times New Roman" w:hAnsi="Times New Roman"/>
                <w:sz w:val="24"/>
              </w:rPr>
              <w:t xml:space="preserve">Pašregulācija var būt īpaši problemātiska. Kenijā kukurūza ir svarīgs pārtikas produkts, kas veido vienu trešdaļu no iedzīvotāju uzņemto kaloriju daudzuma un ko ražo 98 % mazo lauksaimnieku. Visi dzirnavnieki, kas maļ kukurūzu miltos, ir vienas apvienības biedri. Šī apvienība ieteica noteikt minimālo cenu par savu biedru sniegtajiem pakalpojumiem. Konkurences uzraudzības iestāde pārbaudīja viņu </w:t>
            </w:r>
            <w:r w:rsidR="009B66A1">
              <w:rPr>
                <w:rFonts w:ascii="Times New Roman" w:hAnsi="Times New Roman"/>
                <w:sz w:val="24"/>
              </w:rPr>
              <w:t>uzvedību</w:t>
            </w:r>
            <w:r>
              <w:rPr>
                <w:rFonts w:ascii="Times New Roman" w:hAnsi="Times New Roman"/>
                <w:sz w:val="24"/>
              </w:rPr>
              <w:t xml:space="preserve"> un konstatēja, ka ieteiktās cenas ir noteiktas cenu saskaņošanas rezultātā. Pēc cenu ieteikuma piemērošanas beigām kukurūzas miltu cena samazinājās par aptuveni 15 %.</w:t>
            </w:r>
          </w:p>
          <w:p w14:paraId="3B257AB4" w14:textId="77777777" w:rsidR="001215CF" w:rsidRPr="004D11C9" w:rsidRDefault="001215CF" w:rsidP="001215CF">
            <w:pPr>
              <w:jc w:val="both"/>
              <w:rPr>
                <w:rFonts w:ascii="Times New Roman" w:eastAsia="Arial" w:hAnsi="Times New Roman" w:cs="Arial"/>
                <w:noProof/>
                <w:sz w:val="24"/>
                <w:szCs w:val="18"/>
              </w:rPr>
            </w:pPr>
          </w:p>
          <w:p w14:paraId="5DF7F0E5" w14:textId="03979786" w:rsidR="001215CF" w:rsidRPr="001215CF" w:rsidRDefault="001215CF" w:rsidP="004D11C9">
            <w:pPr>
              <w:jc w:val="both"/>
              <w:rPr>
                <w:rFonts w:ascii="Times New Roman" w:eastAsia="Arial" w:hAnsi="Times New Roman" w:cs="Arial"/>
                <w:noProof/>
                <w:sz w:val="24"/>
                <w:szCs w:val="17"/>
              </w:rPr>
            </w:pPr>
            <w:r>
              <w:rPr>
                <w:rFonts w:ascii="Times New Roman" w:hAnsi="Times New Roman"/>
                <w:i/>
                <w:sz w:val="24"/>
              </w:rPr>
              <w:t>Avots</w:t>
            </w:r>
            <w:r>
              <w:rPr>
                <w:rFonts w:ascii="Times New Roman" w:hAnsi="Times New Roman"/>
                <w:sz w:val="24"/>
              </w:rPr>
              <w:t>: Klissas, N. (2014).</w:t>
            </w:r>
          </w:p>
        </w:tc>
      </w:tr>
    </w:tbl>
    <w:p w14:paraId="30E8276A" w14:textId="77777777" w:rsidR="000A6469" w:rsidRPr="004D11C9" w:rsidRDefault="000A6469" w:rsidP="004D11C9">
      <w:pPr>
        <w:jc w:val="both"/>
        <w:rPr>
          <w:rFonts w:ascii="Times New Roman" w:eastAsia="Arial" w:hAnsi="Times New Roman" w:cs="Arial"/>
          <w:noProof/>
          <w:sz w:val="24"/>
          <w:szCs w:val="14"/>
        </w:rPr>
      </w:pPr>
      <w:bookmarkStart w:id="59" w:name="_bookmark37"/>
      <w:bookmarkEnd w:id="59"/>
    </w:p>
    <w:p w14:paraId="553CC81A" w14:textId="1139FAC2" w:rsidR="000A6469" w:rsidRPr="004D11C9" w:rsidRDefault="001215CF" w:rsidP="004D11C9">
      <w:pPr>
        <w:pStyle w:val="Heading4"/>
        <w:ind w:left="0"/>
        <w:jc w:val="both"/>
        <w:rPr>
          <w:rFonts w:ascii="Times New Roman" w:hAnsi="Times New Roman"/>
          <w:noProof/>
          <w:sz w:val="24"/>
        </w:rPr>
      </w:pPr>
      <w:bookmarkStart w:id="60" w:name="Requirements_to_publish_information_on_s"/>
      <w:bookmarkEnd w:id="60"/>
      <w:r>
        <w:rPr>
          <w:rFonts w:ascii="Times New Roman" w:hAnsi="Times New Roman"/>
          <w:i w:val="0"/>
          <w:sz w:val="24"/>
        </w:rPr>
        <w:t xml:space="preserve">C2. </w:t>
      </w:r>
      <w:r>
        <w:rPr>
          <w:rFonts w:ascii="Times New Roman" w:hAnsi="Times New Roman"/>
          <w:sz w:val="24"/>
        </w:rPr>
        <w:t>Prasības publicēt informāciju par piegādātāja cenām, produkciju vai noietu</w:t>
      </w:r>
    </w:p>
    <w:p w14:paraId="17D568EF" w14:textId="77777777" w:rsidR="000A6469" w:rsidRPr="004D11C9" w:rsidRDefault="000A6469" w:rsidP="004D11C9">
      <w:pPr>
        <w:jc w:val="both"/>
        <w:rPr>
          <w:rFonts w:ascii="Times New Roman" w:eastAsia="Arial" w:hAnsi="Times New Roman" w:cs="Arial"/>
          <w:b/>
          <w:bCs/>
          <w:i/>
          <w:noProof/>
          <w:sz w:val="24"/>
          <w:szCs w:val="20"/>
        </w:rPr>
      </w:pPr>
    </w:p>
    <w:p w14:paraId="71276A58"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Noteikumi, kas pieprasa tirgus dalībniekiem publicēt informāciju par cenām vai produkcijas līmeni, var būtiski sekmēt karteļu veidošanos, jo karteļa darbības galvenais priekšnoteikums ir karteļa dalībnieku iespēja faktiski uzraudzīt savu konkurentu (vai līdzdalībnieku) uzvedību tirgū. Visdrīzāk karteļi izveidosies tad, ja ir mazāk tirgus dalībnieku, ja ir ievērojami šķēršļi ienākšanai tirgū, ja piegādātāju produkti ir relatīvi vienādi un ja informācija par cenas vai produkcijas izmaiņām ir pieejama vai nu pirms, vai arī neilgi pēc tam, kad notikusi cenas vai </w:t>
      </w:r>
      <w:r>
        <w:rPr>
          <w:rFonts w:ascii="Times New Roman" w:hAnsi="Times New Roman"/>
          <w:sz w:val="24"/>
        </w:rPr>
        <w:lastRenderedPageBreak/>
        <w:t>produkcijas maiņa.</w:t>
      </w:r>
    </w:p>
    <w:p w14:paraId="19763C59" w14:textId="77777777" w:rsidR="00867DDD" w:rsidRPr="004D11C9" w:rsidRDefault="00867DDD" w:rsidP="004D11C9">
      <w:pPr>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1215CF" w14:paraId="77D1EA7C" w14:textId="77777777" w:rsidTr="001215CF">
        <w:tc>
          <w:tcPr>
            <w:tcW w:w="9062" w:type="dxa"/>
          </w:tcPr>
          <w:p w14:paraId="079EF2B6" w14:textId="7DC18373" w:rsidR="001215CF" w:rsidRPr="001215CF" w:rsidRDefault="001215CF" w:rsidP="001215CF">
            <w:pPr>
              <w:jc w:val="center"/>
              <w:rPr>
                <w:rFonts w:ascii="Times New Roman" w:eastAsia="Arial" w:hAnsi="Times New Roman" w:cs="Arial"/>
                <w:noProof/>
                <w:sz w:val="24"/>
                <w:szCs w:val="20"/>
              </w:rPr>
            </w:pPr>
            <w:r>
              <w:rPr>
                <w:rFonts w:ascii="Times New Roman" w:hAnsi="Times New Roman"/>
                <w:b/>
                <w:sz w:val="24"/>
              </w:rPr>
              <w:t>27. ierāmējums. Pārredzamība cementa tirgū</w:t>
            </w:r>
          </w:p>
        </w:tc>
      </w:tr>
      <w:tr w:rsidR="001215CF" w14:paraId="465D854F" w14:textId="77777777" w:rsidTr="001215CF">
        <w:tc>
          <w:tcPr>
            <w:tcW w:w="9062" w:type="dxa"/>
          </w:tcPr>
          <w:p w14:paraId="7A5836E7" w14:textId="77777777" w:rsidR="001215CF" w:rsidRDefault="001215CF" w:rsidP="001215CF">
            <w:pPr>
              <w:jc w:val="both"/>
              <w:rPr>
                <w:rFonts w:ascii="Times New Roman" w:eastAsia="Arial" w:hAnsi="Times New Roman" w:cs="Arial"/>
                <w:noProof/>
                <w:sz w:val="24"/>
                <w:szCs w:val="18"/>
              </w:rPr>
            </w:pPr>
            <w:r>
              <w:rPr>
                <w:rFonts w:ascii="Times New Roman" w:hAnsi="Times New Roman"/>
                <w:sz w:val="24"/>
              </w:rPr>
              <w:t>Dānijā tika pieņemti normatīvie akti, lai uzlabotu pārdošanas darījumu pārredzamību cementa tirgū ar mērķi palīdzēt patērētājiem noskaidrot darījumu vidējās faktiskās cenas (par kurām parasti tika panākta vienošanās zem cenrāža cenām un kuras tāpēc patērētājiem ir bijis grūti noskaidrot). Šo normatīvo aktu problēma bija tā, ka tie sniedza cementa uzņēmumiem iespēju ar augstu precizitāti novērot konkurentu faktiskās cenas un iegūt informāciju, kas bija noderīga saskaņotai rīcībai. Šiem pārredzamības normatīvajiem aktiem sekoja darījumu cenu pieaugums par 15–20 procentiem viena gada laikā. Šis piemērs parāda iespējamos riskus, kas ir saistīti ar valdības prasībām publicēt detalizētu informāciju par konkurentu darbībām, jo šādas prasības var atbalsta cenu saskaņošanu starp uzņēmumiem, kas citādi slēgtu konfidenciālus līgumus ar saviem klientiem un nevarētu būt droši par savu konkurentu cenām.</w:t>
            </w:r>
          </w:p>
          <w:p w14:paraId="253F3740" w14:textId="77777777" w:rsidR="001215CF" w:rsidRPr="004D11C9" w:rsidRDefault="001215CF" w:rsidP="001215CF">
            <w:pPr>
              <w:jc w:val="both"/>
              <w:rPr>
                <w:rFonts w:ascii="Times New Roman" w:eastAsia="Arial" w:hAnsi="Times New Roman" w:cs="Arial"/>
                <w:noProof/>
                <w:sz w:val="24"/>
                <w:szCs w:val="18"/>
              </w:rPr>
            </w:pPr>
          </w:p>
          <w:p w14:paraId="4B1D83FE" w14:textId="3A238110" w:rsidR="001215CF" w:rsidRPr="001215CF" w:rsidRDefault="001215CF" w:rsidP="004D11C9">
            <w:pPr>
              <w:jc w:val="both"/>
              <w:rPr>
                <w:rFonts w:ascii="Times New Roman" w:eastAsia="Arial" w:hAnsi="Times New Roman" w:cs="Arial"/>
                <w:noProof/>
                <w:sz w:val="24"/>
                <w:szCs w:val="17"/>
              </w:rPr>
            </w:pPr>
            <w:r>
              <w:rPr>
                <w:rFonts w:ascii="Times New Roman" w:hAnsi="Times New Roman"/>
                <w:i/>
                <w:sz w:val="24"/>
              </w:rPr>
              <w:t>Avots</w:t>
            </w:r>
            <w:r>
              <w:rPr>
                <w:rFonts w:ascii="Times New Roman" w:hAnsi="Times New Roman"/>
                <w:sz w:val="24"/>
              </w:rPr>
              <w:t>: Albæk, S., P. Møllgaard un P. B. Overgaard (1997).</w:t>
            </w:r>
          </w:p>
        </w:tc>
      </w:tr>
    </w:tbl>
    <w:p w14:paraId="0974596C" w14:textId="77777777" w:rsidR="000A6469" w:rsidRPr="004D11C9" w:rsidRDefault="000A6469" w:rsidP="004D11C9">
      <w:pPr>
        <w:jc w:val="both"/>
        <w:rPr>
          <w:rFonts w:ascii="Times New Roman" w:eastAsia="Arial" w:hAnsi="Times New Roman" w:cs="Arial"/>
          <w:noProof/>
          <w:sz w:val="24"/>
          <w:szCs w:val="14"/>
        </w:rPr>
      </w:pPr>
    </w:p>
    <w:p w14:paraId="4F9741FA" w14:textId="717F79DD"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Noteikumus, kas pieprasa publicēt informāciju par cenu vai produkcijas ieguves līmeni, var pieņemt, lai uzlabot patērētāju informētību, un reizēm tie var uzlabot tirgus efektivitāti. Taču tad, ja iespējama karteļa veidošanās, paredzams, ka šādām prasībām kopumā būs nelabvēlīga ietekme. Visu sakopoto datu publicēšanai ir alternatīvas. Ja informācija galvenokārt ir savākta tādēļ, lai veidotu valsts politiku, var nebūt vajadzīgs to vispār publicēt. Ja mērķis ir palīdzēt patērētājiem vai sniegt vispārēju statistiku, kopēja statistika atbalsta karteļu veidošanos mazāk nekā statistika par atsevišķiem piegādātājiem.</w:t>
      </w:r>
    </w:p>
    <w:p w14:paraId="78CAE111" w14:textId="77777777" w:rsidR="000A6469" w:rsidRPr="004D11C9" w:rsidRDefault="000A6469" w:rsidP="004D11C9">
      <w:pPr>
        <w:jc w:val="both"/>
        <w:rPr>
          <w:rFonts w:ascii="Times New Roman" w:eastAsia="Arial" w:hAnsi="Times New Roman" w:cs="Arial"/>
          <w:noProof/>
          <w:sz w:val="24"/>
          <w:szCs w:val="21"/>
        </w:rPr>
      </w:pPr>
    </w:p>
    <w:p w14:paraId="1A2953CC" w14:textId="707BD30B" w:rsidR="000A6469" w:rsidRPr="004D11C9" w:rsidRDefault="001215CF" w:rsidP="004D11C9">
      <w:pPr>
        <w:pStyle w:val="Heading4"/>
        <w:ind w:left="0"/>
        <w:jc w:val="both"/>
        <w:rPr>
          <w:rFonts w:ascii="Times New Roman" w:hAnsi="Times New Roman"/>
          <w:noProof/>
          <w:sz w:val="24"/>
        </w:rPr>
      </w:pPr>
      <w:bookmarkStart w:id="61" w:name="Exemptions_from_general_competition_laws"/>
      <w:bookmarkEnd w:id="61"/>
      <w:r>
        <w:rPr>
          <w:rFonts w:ascii="Times New Roman" w:hAnsi="Times New Roman"/>
          <w:i w:val="0"/>
          <w:sz w:val="24"/>
        </w:rPr>
        <w:t xml:space="preserve">C3. </w:t>
      </w:r>
      <w:r>
        <w:rPr>
          <w:rFonts w:ascii="Times New Roman" w:hAnsi="Times New Roman"/>
          <w:sz w:val="24"/>
        </w:rPr>
        <w:t>Vispārējo konkurences tiesību izņēmumi</w:t>
      </w:r>
    </w:p>
    <w:p w14:paraId="3E806E16" w14:textId="77777777" w:rsidR="000A6469" w:rsidRPr="004D11C9" w:rsidRDefault="000A6469" w:rsidP="004D11C9">
      <w:pPr>
        <w:jc w:val="both"/>
        <w:rPr>
          <w:rFonts w:ascii="Times New Roman" w:eastAsia="Arial" w:hAnsi="Times New Roman" w:cs="Arial"/>
          <w:b/>
          <w:bCs/>
          <w:i/>
          <w:noProof/>
          <w:sz w:val="24"/>
          <w:szCs w:val="21"/>
        </w:rPr>
      </w:pPr>
    </w:p>
    <w:p w14:paraId="600C0593" w14:textId="4700C9FE"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Daudzās valstīs noteikti piegādātāji vai tautsaimniecības nozares gūst labumu tāpēc, ka tie tiek atbrīvoti no vispārējo konkurences tiesību aktu piemērošanas. Dažos gadījumos uz šīm nozarēm attiecas atsevišķi, īpaši nozarei piemēroti konkurences tiesību akti. Citos gadījumos šajās nozarēs nav pret konkurenci vērstas izturēšanās ierobežojumu. Dažkārt konkurences tiesību nodrošinātas uzraudzības trūkums var būt regulējuma spēkā esamības rezultāts. Ievērojamas atkāpes no konkurences tiesību vispārējas piemērošanas rada tiešu risku, ka veidosies karteļi, tiks izkropļotas cenas un notiks konkurenci kropļojošas apvienošanās.</w:t>
      </w:r>
      <w:r w:rsidR="001215CF">
        <w:rPr>
          <w:rStyle w:val="FootnoteReference"/>
          <w:rFonts w:ascii="Times New Roman" w:hAnsi="Times New Roman"/>
          <w:noProof/>
          <w:sz w:val="24"/>
        </w:rPr>
        <w:footnoteReference w:id="5"/>
      </w:r>
    </w:p>
    <w:p w14:paraId="483ED276" w14:textId="77777777" w:rsidR="000A6469" w:rsidRPr="004D11C9" w:rsidRDefault="000A6469" w:rsidP="004D11C9">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1215CF" w14:paraId="42EDB978" w14:textId="77777777" w:rsidTr="001215CF">
        <w:tc>
          <w:tcPr>
            <w:tcW w:w="9062" w:type="dxa"/>
          </w:tcPr>
          <w:p w14:paraId="6FD469DA" w14:textId="6F8BE8D7" w:rsidR="001215CF" w:rsidRPr="001215CF" w:rsidRDefault="001215CF" w:rsidP="001215CF">
            <w:pPr>
              <w:jc w:val="center"/>
              <w:rPr>
                <w:rFonts w:ascii="Times New Roman" w:hAnsi="Times New Roman"/>
                <w:b/>
                <w:noProof/>
                <w:sz w:val="24"/>
              </w:rPr>
            </w:pPr>
            <w:r>
              <w:rPr>
                <w:rFonts w:ascii="Times New Roman" w:hAnsi="Times New Roman"/>
                <w:b/>
                <w:sz w:val="24"/>
              </w:rPr>
              <w:t>28. ierāmējums. Lauksaimniecības kooperatīvi un atbrīvojums no konkurences tiesību piemērošanas</w:t>
            </w:r>
          </w:p>
        </w:tc>
      </w:tr>
      <w:tr w:rsidR="001215CF" w14:paraId="1F5AC84A" w14:textId="77777777" w:rsidTr="001215CF">
        <w:tc>
          <w:tcPr>
            <w:tcW w:w="9062" w:type="dxa"/>
          </w:tcPr>
          <w:p w14:paraId="42F60EFA" w14:textId="77777777" w:rsidR="001215CF" w:rsidRDefault="001215CF" w:rsidP="001215CF">
            <w:pPr>
              <w:jc w:val="both"/>
              <w:rPr>
                <w:rFonts w:ascii="Times New Roman" w:hAnsi="Times New Roman"/>
                <w:noProof/>
                <w:sz w:val="24"/>
              </w:rPr>
            </w:pPr>
            <w:r>
              <w:rPr>
                <w:rFonts w:ascii="Times New Roman" w:hAnsi="Times New Roman"/>
                <w:sz w:val="24"/>
              </w:rPr>
              <w:t>Daudzās valstīs lauksaimniecības kooperatīviem ir atļauts veidot savu produktu tirdzniecības organizācijas. Šos kooperatīvus var atbrīvot no konkurences tiesību piemērošanas. Dažreiz šādiem atbrīvojumiem ir labvēlīga ietekme. Piemēram, Itālijā ir kooperatīvs Parmas šķiņķa tirgošanai. Šis kooperatīvs spēj uzturēt augstus kvalitātes standartus (un ierobežot Parmas šķiņķa piedāvājumu, lai nodrošinātu, ka lauksaimnieki ir ieinteresēti uzturēt atbilstību standartiem un nodrošināt pietiekamu finansējumu kopīgiem tirdzniecības pasākumiem). Citi ražotāji Itālijā un citviet (piemēram, Sandaniēlē [</w:t>
            </w:r>
            <w:r>
              <w:rPr>
                <w:rFonts w:ascii="Times New Roman" w:hAnsi="Times New Roman"/>
                <w:i/>
                <w:sz w:val="24"/>
              </w:rPr>
              <w:t>San Daniele</w:t>
            </w:r>
            <w:r>
              <w:rPr>
                <w:rFonts w:ascii="Times New Roman" w:hAnsi="Times New Roman"/>
                <w:sz w:val="24"/>
              </w:rPr>
              <w:t xml:space="preserve">]) varēja ražot līdzīgu šķiņķi, tāpēc viena piegādātāja noteikts ierobežojums nekropļotu konkurenci (lai gan par problemātisku varētu uzskatīt gadījumu, kad par daudzuma ierobežojumu vienojas vairāki šķiņķa piegādātāji). Savukārt Amerikas Savienotajās Valstīs apelsīnu ražotāji, kuru saražotā apelsīnu produkcija procentuāli veidoja lielu daļu no kopējā apelsīnu produkcijas apjoma </w:t>
            </w:r>
            <w:r>
              <w:rPr>
                <w:rFonts w:ascii="Times New Roman" w:hAnsi="Times New Roman"/>
                <w:sz w:val="24"/>
              </w:rPr>
              <w:lastRenderedPageBreak/>
              <w:t>valstī, mainīja savus standartus attiecībā uz tirdzniecības vietā tirgojamo apelsīnu kvalitāti tādā veidā, kas ierobežoja apelsīnu piedāvājumu labas ražas gados un paplašināja pārdošanai piemēroto apelsīnu īpatsvaru sliktas ražas gados, tādējādi faktiski cenšoties saglabāt stabilu produkcijas līmeni tirdzniecības vietās gadu no gada. Šāda kooperatīva darbība var kropļot konkurenci, jo apvienība pārstāvēja lielu daļu no faktiskā apelsīnu pārdošanas apjoma un šķita, ka kvalitātes uzlabošana nav galvenais šīs apvienības darbības mērķis.</w:t>
            </w:r>
          </w:p>
          <w:p w14:paraId="74A95CD7" w14:textId="77777777" w:rsidR="001215CF" w:rsidRPr="004D11C9" w:rsidRDefault="001215CF" w:rsidP="001215CF">
            <w:pPr>
              <w:jc w:val="both"/>
              <w:rPr>
                <w:rFonts w:ascii="Times New Roman" w:hAnsi="Times New Roman"/>
                <w:noProof/>
                <w:sz w:val="24"/>
              </w:rPr>
            </w:pPr>
          </w:p>
          <w:p w14:paraId="34F11260" w14:textId="76AFBCF6" w:rsidR="001215CF" w:rsidRPr="001215CF" w:rsidRDefault="001215CF" w:rsidP="004D11C9">
            <w:pPr>
              <w:jc w:val="both"/>
              <w:rPr>
                <w:rFonts w:ascii="Times New Roman" w:eastAsia="Arial" w:hAnsi="Times New Roman" w:cs="Arial"/>
                <w:noProof/>
                <w:sz w:val="24"/>
                <w:szCs w:val="17"/>
              </w:rPr>
            </w:pPr>
            <w:r>
              <w:rPr>
                <w:rFonts w:ascii="Times New Roman" w:hAnsi="Times New Roman"/>
                <w:i/>
                <w:sz w:val="24"/>
              </w:rPr>
              <w:t>Avots</w:t>
            </w:r>
            <w:r>
              <w:rPr>
                <w:rFonts w:ascii="Times New Roman" w:hAnsi="Times New Roman"/>
                <w:sz w:val="24"/>
              </w:rPr>
              <w:t>: ESAO (2004).</w:t>
            </w:r>
          </w:p>
        </w:tc>
      </w:tr>
    </w:tbl>
    <w:p w14:paraId="4CCCA7B6" w14:textId="77777777" w:rsidR="000A6469" w:rsidRPr="004D11C9" w:rsidRDefault="000A6469" w:rsidP="004D11C9">
      <w:pPr>
        <w:jc w:val="both"/>
        <w:rPr>
          <w:rFonts w:ascii="Times New Roman" w:eastAsia="Arial" w:hAnsi="Times New Roman" w:cs="Arial"/>
          <w:noProof/>
          <w:sz w:val="24"/>
          <w:szCs w:val="26"/>
        </w:rPr>
      </w:pPr>
    </w:p>
    <w:p w14:paraId="624AD8F7" w14:textId="41423655"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Ja ir īpašs pamatojums izņēmumu turpmākajai pastāvēšanai, jāapsver līdzekļi, ar kuru palīdzību to ietekmi var maksimāli samazināt. Viens no iespējamiem veidiem, kā to panākt, ir skaidri norādīt darbību, uz ko var attiecināt atbrīvojumu, un darbību, uz ko atbrīvojums netiek attiecināts. Kā piemērus var minēt ES grupu atbrīvojumus, Kanādas autortiesību likumu par kolektīviem un ASV konkurences uzraudzības iestāžu uzņēmējdarbības pārskatīšanas vēstules, lai gan oficiāli tās nav saistošas.</w:t>
      </w:r>
    </w:p>
    <w:p w14:paraId="6C72727D" w14:textId="7549479A" w:rsidR="000A6469" w:rsidRPr="004D11C9" w:rsidRDefault="000A6469" w:rsidP="004D11C9">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405"/>
        <w:gridCol w:w="6657"/>
      </w:tblGrid>
      <w:tr w:rsidR="001215CF" w14:paraId="16AD50C5" w14:textId="77777777" w:rsidTr="00121F0E">
        <w:tc>
          <w:tcPr>
            <w:tcW w:w="2405" w:type="dxa"/>
          </w:tcPr>
          <w:p w14:paraId="4AEA25C6" w14:textId="7542A03E" w:rsidR="001215CF" w:rsidRPr="001215CF" w:rsidRDefault="001215CF" w:rsidP="004D11C9">
            <w:pPr>
              <w:jc w:val="both"/>
              <w:rPr>
                <w:rFonts w:ascii="Times New Roman" w:eastAsia="Arial" w:hAnsi="Times New Roman" w:cs="Arial"/>
                <w:noProof/>
                <w:sz w:val="24"/>
                <w:szCs w:val="32"/>
              </w:rPr>
            </w:pPr>
            <w:r>
              <w:rPr>
                <w:rFonts w:ascii="Times New Roman" w:hAnsi="Times New Roman"/>
                <w:b/>
                <w:sz w:val="24"/>
              </w:rPr>
              <w:t>D pārbaudes lapa</w:t>
            </w:r>
          </w:p>
        </w:tc>
        <w:tc>
          <w:tcPr>
            <w:tcW w:w="6657" w:type="dxa"/>
          </w:tcPr>
          <w:p w14:paraId="13B80BE7" w14:textId="115A136A" w:rsidR="001215CF" w:rsidRPr="001215CF" w:rsidRDefault="001215CF" w:rsidP="004D11C9">
            <w:pPr>
              <w:jc w:val="both"/>
              <w:rPr>
                <w:rFonts w:ascii="Times New Roman" w:eastAsia="Arial" w:hAnsi="Times New Roman" w:cs="Arial"/>
                <w:noProof/>
                <w:sz w:val="24"/>
              </w:rPr>
            </w:pPr>
            <w:r>
              <w:rPr>
                <w:rFonts w:ascii="Times New Roman" w:hAnsi="Times New Roman"/>
                <w:b/>
                <w:sz w:val="24"/>
              </w:rPr>
              <w:t>Patērētājiem pieejamo izvēles iespēju un informācijas ierobežošana</w:t>
            </w:r>
          </w:p>
        </w:tc>
      </w:tr>
    </w:tbl>
    <w:p w14:paraId="53E18532" w14:textId="77777777" w:rsidR="000A6469" w:rsidRPr="004D11C9" w:rsidRDefault="000A6469" w:rsidP="004D11C9">
      <w:pPr>
        <w:jc w:val="both"/>
        <w:rPr>
          <w:rFonts w:ascii="Times New Roman" w:eastAsia="Arial" w:hAnsi="Times New Roman" w:cs="Arial"/>
          <w:noProof/>
          <w:sz w:val="24"/>
        </w:rPr>
      </w:pPr>
    </w:p>
    <w:p w14:paraId="0DBFB0F3" w14:textId="4A10DA50" w:rsidR="000A6469" w:rsidRPr="004D11C9" w:rsidRDefault="001215CF" w:rsidP="004D11C9">
      <w:pPr>
        <w:pStyle w:val="Heading4"/>
        <w:ind w:left="0"/>
        <w:jc w:val="both"/>
        <w:rPr>
          <w:rFonts w:ascii="Times New Roman" w:hAnsi="Times New Roman"/>
          <w:noProof/>
          <w:sz w:val="24"/>
        </w:rPr>
      </w:pPr>
      <w:bookmarkStart w:id="62" w:name="Limits_the_ability_of_consumers_to_decid"/>
      <w:bookmarkEnd w:id="62"/>
      <w:r>
        <w:rPr>
          <w:rFonts w:ascii="Times New Roman" w:hAnsi="Times New Roman"/>
          <w:i w:val="0"/>
          <w:sz w:val="24"/>
        </w:rPr>
        <w:t xml:space="preserve">D1. </w:t>
      </w:r>
      <w:r>
        <w:rPr>
          <w:rFonts w:ascii="Times New Roman" w:hAnsi="Times New Roman"/>
          <w:sz w:val="24"/>
        </w:rPr>
        <w:t>Ierobežo patērētāju iespējas izvēlēties, kur iepirkties</w:t>
      </w:r>
    </w:p>
    <w:p w14:paraId="0DF40F54" w14:textId="77777777" w:rsidR="000A6469" w:rsidRPr="004D11C9" w:rsidRDefault="000A6469" w:rsidP="004D11C9">
      <w:pPr>
        <w:jc w:val="both"/>
        <w:rPr>
          <w:rFonts w:ascii="Times New Roman" w:eastAsia="Arial" w:hAnsi="Times New Roman" w:cs="Arial"/>
          <w:b/>
          <w:bCs/>
          <w:i/>
          <w:noProof/>
          <w:sz w:val="24"/>
          <w:szCs w:val="20"/>
        </w:rPr>
      </w:pPr>
    </w:p>
    <w:p w14:paraId="66FCD411"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Dažkārt noteikumi var ierobežot patērētāju iespējas iegādāties produkciju no vēlamā piegādātāja. Vienas no šādu ierobežojumu sekām ir tādas, ka patērētāji nesaņem vēlamo cenu vai pakalpojuma kvalitāti, regulējumam faktiski uzspiežot patērētājiem iegādāties produktus no piegādātājiem ar augstākām izmaksām vai produktus, kas neatbilst viņu vēlmēm.</w:t>
      </w:r>
    </w:p>
    <w:p w14:paraId="5E826793" w14:textId="0393FFEA" w:rsidR="00867DDD" w:rsidRDefault="00867DDD" w:rsidP="004D11C9">
      <w:pPr>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1215CF" w14:paraId="3B6A8DF6" w14:textId="77777777" w:rsidTr="001215CF">
        <w:tc>
          <w:tcPr>
            <w:tcW w:w="9062" w:type="dxa"/>
          </w:tcPr>
          <w:p w14:paraId="16FB2296" w14:textId="2E42330E" w:rsidR="001215CF" w:rsidRPr="001215CF" w:rsidRDefault="001215CF" w:rsidP="001215CF">
            <w:pPr>
              <w:jc w:val="center"/>
              <w:rPr>
                <w:rFonts w:ascii="Times New Roman" w:eastAsia="Arial" w:hAnsi="Times New Roman" w:cs="Arial"/>
                <w:noProof/>
                <w:sz w:val="24"/>
                <w:szCs w:val="20"/>
              </w:rPr>
            </w:pPr>
            <w:r>
              <w:rPr>
                <w:rFonts w:ascii="Times New Roman" w:hAnsi="Times New Roman"/>
                <w:b/>
                <w:sz w:val="24"/>
              </w:rPr>
              <w:t>29. ierāmējums. Elektronisko cigarešu regulējums</w:t>
            </w:r>
          </w:p>
        </w:tc>
      </w:tr>
      <w:tr w:rsidR="001215CF" w14:paraId="62E47DD8" w14:textId="77777777" w:rsidTr="001215CF">
        <w:tc>
          <w:tcPr>
            <w:tcW w:w="9062" w:type="dxa"/>
          </w:tcPr>
          <w:p w14:paraId="01D4FC6C" w14:textId="10F368C5" w:rsidR="001215CF" w:rsidRPr="001215CF" w:rsidRDefault="001215CF" w:rsidP="004D11C9">
            <w:pPr>
              <w:jc w:val="both"/>
              <w:rPr>
                <w:rFonts w:ascii="Times New Roman" w:eastAsia="Arial" w:hAnsi="Times New Roman" w:cs="Arial"/>
                <w:noProof/>
                <w:sz w:val="24"/>
                <w:szCs w:val="18"/>
              </w:rPr>
            </w:pPr>
            <w:r>
              <w:rPr>
                <w:rFonts w:ascii="Times New Roman" w:hAnsi="Times New Roman"/>
                <w:sz w:val="24"/>
              </w:rPr>
              <w:t>Eiropas Parlaments 2013. gada oktobrī izskatīja un noraidīja tiesību akta normu, kas paredzēja, ka elektroniskās cigaretes ir jātirgo aptiekās. Tādējādi elektroniskās cigaretes, ko salīdzinājumā ar cigaretēm mēdz uzskatīt par mazāk kaitīgu smēķēšanas veidu, būtu daudz mazāk pieejamas nekā cigaretes, ko var plaši iegādāties tabakas izstrādājumu tirdzniecības vietās. Pāreja uz elektronisko cigarešu pārdošanu aptiekās būtu ietekmējusi konkurenci starp cigaretēm un elektroniskajām cigaretēm. Vienlaikus ar elektronisko cigarešu izplatības palielināšanos būtiski samazinājās cigarešu pārdošanas apjomi. Eiropas Parlaments nolēma nenoteikt, ka elektronisko cigarešu tirdzniecība ir atļauta tikai aptiekās, jo īpaši tāpēc, ka šāda konkurences samazināšana varētu nelabvēlīgi ietekmēt veselību, ierobežojot iespējami drošāka smēķēšanas veida pieejamību.</w:t>
            </w:r>
          </w:p>
        </w:tc>
      </w:tr>
    </w:tbl>
    <w:p w14:paraId="4CF7E9B7" w14:textId="77777777" w:rsidR="000A6469" w:rsidRPr="004D11C9" w:rsidRDefault="000A6469" w:rsidP="004D11C9">
      <w:pPr>
        <w:jc w:val="both"/>
        <w:rPr>
          <w:rFonts w:ascii="Times New Roman" w:eastAsia="Arial" w:hAnsi="Times New Roman" w:cs="Arial"/>
          <w:noProof/>
          <w:sz w:val="24"/>
          <w:szCs w:val="14"/>
        </w:rPr>
      </w:pPr>
      <w:bookmarkStart w:id="63" w:name="_bookmark42"/>
      <w:bookmarkEnd w:id="63"/>
    </w:p>
    <w:p w14:paraId="5DCDF369"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Piemēram, daži noteikumi vai valsts apdrošināšanas atlīdzības normas ierobežo patērētājiem farmaceitisko produktu iegādi internetā. Norādītais ierobežojumu iemesls bieži vien var būt patērētāju drošība, lai gan dažās valstīs ir pierādījies, ka tālpārdošanas aptieku darbība ir droša un efektīva. Iespējams, vistiešākā ietekme, kas tiek panākta ar noteikumiem, kuri ierobežo to, kur vai no kā patērētāji var iegādāties produktus, ir tradicionālo uzņēmumu aizsardzība pret konkurenci.</w:t>
      </w:r>
    </w:p>
    <w:p w14:paraId="40FFEC7E" w14:textId="77777777" w:rsidR="000A6469" w:rsidRPr="004D11C9" w:rsidRDefault="000A6469" w:rsidP="004D11C9">
      <w:pPr>
        <w:jc w:val="both"/>
        <w:rPr>
          <w:rFonts w:ascii="Times New Roman" w:eastAsia="Arial" w:hAnsi="Times New Roman" w:cs="Arial"/>
          <w:noProof/>
          <w:sz w:val="24"/>
          <w:szCs w:val="21"/>
        </w:rPr>
      </w:pPr>
    </w:p>
    <w:p w14:paraId="35208673" w14:textId="7B1AAD20" w:rsidR="000A6469" w:rsidRPr="004D11C9" w:rsidRDefault="001215CF" w:rsidP="004D11C9">
      <w:pPr>
        <w:pStyle w:val="Heading4"/>
        <w:ind w:left="0"/>
        <w:jc w:val="both"/>
        <w:rPr>
          <w:rFonts w:ascii="Times New Roman" w:hAnsi="Times New Roman"/>
          <w:noProof/>
          <w:sz w:val="24"/>
        </w:rPr>
      </w:pPr>
      <w:bookmarkStart w:id="64" w:name="Reduces_the_mobility_of_customers_by_inc"/>
      <w:bookmarkEnd w:id="64"/>
      <w:r>
        <w:rPr>
          <w:rFonts w:ascii="Times New Roman" w:hAnsi="Times New Roman"/>
          <w:i w:val="0"/>
          <w:sz w:val="24"/>
        </w:rPr>
        <w:t xml:space="preserve">D2. </w:t>
      </w:r>
      <w:r>
        <w:rPr>
          <w:rFonts w:ascii="Times New Roman" w:hAnsi="Times New Roman"/>
          <w:sz w:val="24"/>
        </w:rPr>
        <w:t>Samazina pircēju mobilitāti, paaugstinot piegādātāju maiņas izmaksas</w:t>
      </w:r>
    </w:p>
    <w:p w14:paraId="3BD2BA1A" w14:textId="77777777" w:rsidR="000A6469" w:rsidRPr="004D11C9" w:rsidRDefault="000A6469" w:rsidP="004D11C9">
      <w:pPr>
        <w:jc w:val="both"/>
        <w:rPr>
          <w:rFonts w:ascii="Times New Roman" w:eastAsia="Arial" w:hAnsi="Times New Roman" w:cs="Arial"/>
          <w:b/>
          <w:bCs/>
          <w:i/>
          <w:noProof/>
          <w:sz w:val="24"/>
          <w:szCs w:val="20"/>
        </w:rPr>
      </w:pPr>
    </w:p>
    <w:p w14:paraId="1E3A467F"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Noteikumi var pamudināt patērētāju mainīt piegādātājus, ietekmējot “piegādātāja maiņas izmaksas” – tiešās un netiešās izmaksas, kas patērētājam rodas, pārejot no viena piegādātāja pie cita. Piegādātāja maiņas izmaksas var rasties dažādu iemeslu dēļ, tostarp nepamatoti ilgu līguma </w:t>
      </w:r>
      <w:r>
        <w:rPr>
          <w:rFonts w:ascii="Times New Roman" w:hAnsi="Times New Roman"/>
          <w:sz w:val="24"/>
        </w:rPr>
        <w:lastRenderedPageBreak/>
        <w:t>termiņu dēļ vai tādēļ, ka attiecīgā prece ir piesaistīta piegādātājam tādā veidā, kas apgrūtina pāreju pie cita piegādātāja, piemēram, piesaistot tālruņa numuru attiecīgā pakalpojuma sniedzējam. Ja patērētāji saskaras ar augstām piegādātāja maiņas izmaksām, viņiem var būt grūti nodrošināt, ka piegādātāji to neizmanto, lai pieprasītu augstākas cenas vai samazinātu pakalpojuma kvalitāti. Tāpēc piegādātāji bieži cenšas radīt vai uzturēt augstas piegādātāja maiņas izmaksas, dažkārt iestājoties par tādu politiku, kas nodrošinās augstas piegādātāja maiņas izmaksas.</w:t>
      </w:r>
    </w:p>
    <w:p w14:paraId="4BCC5DA0" w14:textId="77777777" w:rsidR="00867DDD" w:rsidRPr="004D11C9" w:rsidRDefault="00867DDD" w:rsidP="004D11C9">
      <w:pPr>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1215CF" w14:paraId="72F9BD33" w14:textId="77777777" w:rsidTr="001215CF">
        <w:tc>
          <w:tcPr>
            <w:tcW w:w="9062" w:type="dxa"/>
          </w:tcPr>
          <w:p w14:paraId="2E905AD7" w14:textId="39D906C7" w:rsidR="001215CF" w:rsidRPr="001215CF" w:rsidRDefault="001215CF" w:rsidP="001215CF">
            <w:pPr>
              <w:jc w:val="center"/>
              <w:rPr>
                <w:rFonts w:ascii="Times New Roman" w:eastAsia="Arial" w:hAnsi="Times New Roman" w:cs="Arial"/>
                <w:noProof/>
                <w:sz w:val="24"/>
                <w:szCs w:val="20"/>
              </w:rPr>
            </w:pPr>
            <w:r>
              <w:rPr>
                <w:rFonts w:ascii="Times New Roman" w:hAnsi="Times New Roman"/>
                <w:b/>
                <w:sz w:val="24"/>
              </w:rPr>
              <w:t>30. ierāmējums. Maksa par konta slēgšanu bankās</w:t>
            </w:r>
          </w:p>
        </w:tc>
      </w:tr>
      <w:tr w:rsidR="001215CF" w14:paraId="2865D5B9" w14:textId="77777777" w:rsidTr="001215CF">
        <w:tc>
          <w:tcPr>
            <w:tcW w:w="9062" w:type="dxa"/>
          </w:tcPr>
          <w:p w14:paraId="01D5A66C" w14:textId="77777777" w:rsidR="001215CF" w:rsidRDefault="001215CF" w:rsidP="001215CF">
            <w:pPr>
              <w:jc w:val="both"/>
              <w:rPr>
                <w:rFonts w:ascii="Times New Roman" w:hAnsi="Times New Roman"/>
                <w:noProof/>
                <w:sz w:val="24"/>
              </w:rPr>
            </w:pPr>
            <w:r>
              <w:rPr>
                <w:rFonts w:ascii="Times New Roman" w:hAnsi="Times New Roman"/>
                <w:sz w:val="24"/>
              </w:rPr>
              <w:t>Apvienotajā Karalistē bankas bija noteikušas maksu par konta slēgšanu. To neapšaubāmi varēja uzskatīt par maksu par piegādātāja maiņu, kas liktu lietotājiem pienācīgi apdomāt konta slēgšanu. Lai gan saistībā ar konta slēgšanu bankām rodas noteiktas izmaksas, valdība uzskatīja, ka tās nav būtiskas izmaksas salīdzinājumā ar kaitējumu, ko šāda maksa rada konkurencei, un noteica, ka šādas maksas piemērošana ir nelikumīga.</w:t>
            </w:r>
          </w:p>
          <w:p w14:paraId="7C5E3DF8" w14:textId="77777777" w:rsidR="001215CF" w:rsidRPr="004D11C9" w:rsidRDefault="001215CF" w:rsidP="001215CF">
            <w:pPr>
              <w:jc w:val="both"/>
              <w:rPr>
                <w:rFonts w:ascii="Times New Roman" w:eastAsia="Arial" w:hAnsi="Times New Roman" w:cs="Arial"/>
                <w:noProof/>
                <w:sz w:val="24"/>
                <w:szCs w:val="18"/>
              </w:rPr>
            </w:pPr>
          </w:p>
          <w:p w14:paraId="467C50E7" w14:textId="77777777" w:rsidR="001215CF" w:rsidRDefault="001215CF" w:rsidP="001215CF">
            <w:pPr>
              <w:jc w:val="both"/>
              <w:rPr>
                <w:rFonts w:ascii="Times New Roman" w:eastAsia="Arial" w:hAnsi="Times New Roman" w:cs="Arial"/>
                <w:noProof/>
                <w:sz w:val="24"/>
                <w:szCs w:val="18"/>
              </w:rPr>
            </w:pPr>
            <w:r>
              <w:rPr>
                <w:rFonts w:ascii="Times New Roman" w:hAnsi="Times New Roman"/>
                <w:sz w:val="24"/>
              </w:rPr>
              <w:t>Cits netiešāks piegādātāja maiņas izmaksu paveids ir radies no Brazīlijā iepriekš piekoptās prakses pieprasīt, lai čekos būtu iekļauta informācija, kas ļautu saņēmējam uzzināt, cik ilgi konts ir bijis atvērts. Čeku saņēmēji būtu ieinteresēti saņemt čekus no konta, kas ir bijis atvērts ilgāku laiku, un dažos gadījumos viņi negribētu pieņemt čekus no jauniem kontiem, kas savukārt motivētu patērētājus turpināt izmantot savas iepriekšējās bankas pakalpojumus.</w:t>
            </w:r>
          </w:p>
          <w:p w14:paraId="2A38776D" w14:textId="77777777" w:rsidR="001215CF" w:rsidRPr="004D11C9" w:rsidRDefault="001215CF" w:rsidP="001215CF">
            <w:pPr>
              <w:jc w:val="both"/>
              <w:rPr>
                <w:rFonts w:ascii="Times New Roman" w:eastAsia="Arial" w:hAnsi="Times New Roman" w:cs="Arial"/>
                <w:noProof/>
                <w:sz w:val="24"/>
                <w:szCs w:val="18"/>
              </w:rPr>
            </w:pPr>
          </w:p>
          <w:p w14:paraId="71DC3839" w14:textId="64393207" w:rsidR="001215CF" w:rsidRPr="001215CF" w:rsidRDefault="001215CF" w:rsidP="004D11C9">
            <w:pPr>
              <w:jc w:val="both"/>
              <w:rPr>
                <w:rFonts w:ascii="Times New Roman" w:eastAsia="Arial" w:hAnsi="Times New Roman" w:cs="Arial"/>
                <w:noProof/>
                <w:sz w:val="24"/>
                <w:szCs w:val="18"/>
              </w:rPr>
            </w:pPr>
            <w:r>
              <w:rPr>
                <w:rFonts w:ascii="Times New Roman" w:hAnsi="Times New Roman"/>
                <w:sz w:val="24"/>
              </w:rPr>
              <w:t>Meksikā bankas mēdza pieprasīt maksu par naudas līdzekļu pārskaitījumiem no vienas bankas uz citu banku, un tas nozīmēja, ka kontu turētāji, kas saņem algu no sava darba devēja bankas, izvēlējās to pašu banku, lai izvairītos no pārskaitījuma maksas.</w:t>
            </w:r>
          </w:p>
        </w:tc>
      </w:tr>
    </w:tbl>
    <w:p w14:paraId="2FCBE529" w14:textId="77777777" w:rsidR="000A6469" w:rsidRPr="004D11C9" w:rsidRDefault="000A6469" w:rsidP="004D11C9">
      <w:pPr>
        <w:jc w:val="both"/>
        <w:rPr>
          <w:rFonts w:ascii="Times New Roman" w:eastAsia="Arial" w:hAnsi="Times New Roman" w:cs="Arial"/>
          <w:noProof/>
          <w:sz w:val="24"/>
          <w:szCs w:val="14"/>
        </w:rPr>
      </w:pPr>
    </w:p>
    <w:p w14:paraId="3C232F0F" w14:textId="1284C04B"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Piegādātāja maiņas izmaksu samazināšanai vai likvidēšanai var būt liela konkurenci veicinoša ietekme, un politikas veidotājiem jācenšas nenoteikt tādus politikas pasākumus, kas paaugstina piegādātāja maiņas izmaksas patērētājiem. Ja ir nepārprotams risks, ka tiks ieviestas piegādātāja maiņas izmaksas, būtu ieteicams reg</w:t>
      </w:r>
      <w:r w:rsidR="009B66A1">
        <w:rPr>
          <w:rFonts w:ascii="Times New Roman" w:hAnsi="Times New Roman"/>
          <w:sz w:val="24"/>
        </w:rPr>
        <w:t>ulatīvajā</w:t>
      </w:r>
      <w:r>
        <w:rPr>
          <w:rFonts w:ascii="Times New Roman" w:hAnsi="Times New Roman"/>
          <w:sz w:val="24"/>
        </w:rPr>
        <w:t xml:space="preserve"> sistēmā iekļaut noteikumus, kas to izmantošanu ierobežo vai aizliedz. Pienācīga uzmanība jāpievērš tam, lai tiktu ņemtas vērā pamatotās piegādātāja maiņas izmaksas. Tā tas var būt, piemēram, gadījumos, kad par pakalpojumiem tiek maksāts pēc pakalpojuma saņemšanas un piegādātāja maiņas rezultātā šīs izmaksas var netikt segtas. Viens piemērs regulējuma izmantošanai nevajadzīgu piegādātāja maiņas izmaksu piemērošanas novēršanai ir tālruņa numuru pārnesamība. Tas ļauj patērētājiem un uzņēmumiem pāriet pie cita piegādātāja bez papildu maksas un neērtībām, ko rada iespējamie neatbildētie izsaukumi un nepieciešamība informēt citus par tālruņa numura maiņu.</w:t>
      </w:r>
    </w:p>
    <w:p w14:paraId="2CD13222" w14:textId="77777777" w:rsidR="000A6469" w:rsidRPr="004D11C9" w:rsidRDefault="000A6469" w:rsidP="004D11C9">
      <w:pPr>
        <w:jc w:val="both"/>
        <w:rPr>
          <w:rFonts w:ascii="Times New Roman" w:eastAsia="Arial" w:hAnsi="Times New Roman" w:cs="Arial"/>
          <w:noProof/>
          <w:sz w:val="24"/>
          <w:szCs w:val="21"/>
        </w:rPr>
      </w:pPr>
    </w:p>
    <w:p w14:paraId="707D1A77" w14:textId="09C453FD" w:rsidR="000A6469" w:rsidRPr="004D11C9" w:rsidRDefault="001215CF" w:rsidP="004D11C9">
      <w:pPr>
        <w:pStyle w:val="Heading4"/>
        <w:ind w:left="0"/>
        <w:jc w:val="both"/>
        <w:rPr>
          <w:rFonts w:ascii="Times New Roman" w:hAnsi="Times New Roman"/>
          <w:noProof/>
          <w:sz w:val="24"/>
        </w:rPr>
      </w:pPr>
      <w:bookmarkStart w:id="65" w:name="Fundamentally_changes_information_requir"/>
      <w:bookmarkEnd w:id="65"/>
      <w:r>
        <w:rPr>
          <w:rFonts w:ascii="Times New Roman" w:hAnsi="Times New Roman"/>
          <w:i w:val="0"/>
          <w:sz w:val="24"/>
        </w:rPr>
        <w:t xml:space="preserve">D3. </w:t>
      </w:r>
      <w:r>
        <w:rPr>
          <w:rFonts w:ascii="Times New Roman" w:hAnsi="Times New Roman"/>
          <w:sz w:val="24"/>
        </w:rPr>
        <w:t>Būtiski maina informāciju, kas nepieciešama pircējiem, lai efektīvi iepirktos.</w:t>
      </w:r>
    </w:p>
    <w:p w14:paraId="0A6D3873" w14:textId="77777777" w:rsidR="000A6469" w:rsidRPr="004D11C9" w:rsidRDefault="000A6469" w:rsidP="004D11C9">
      <w:pPr>
        <w:jc w:val="both"/>
        <w:rPr>
          <w:rFonts w:ascii="Times New Roman" w:eastAsia="Arial" w:hAnsi="Times New Roman" w:cs="Arial"/>
          <w:b/>
          <w:bCs/>
          <w:i/>
          <w:noProof/>
          <w:sz w:val="24"/>
          <w:szCs w:val="20"/>
        </w:rPr>
      </w:pPr>
    </w:p>
    <w:p w14:paraId="1B1B58F0" w14:textId="0436C873"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Dažkārt noteikumi ierobežo patērētājiem pieejamo informāciju vai arī nosaka prasību nodrošināt šādu informāciju, tomēr dara to tādā veidā, kas mulsina patērētājus un noved patērētājus pie sliktu lēmumu pieņemšanas. Piemēram, informatīvas etiķetes uz pārtikas produktiem ir regulējuma īstenošanas rezultāts un bieži vien ļauj pieņemt labāku lēmumu par to, kuru produktu izvēlēties. Īpaši svarīgi ir panākt, lai šādi noteikumi nodrošinātu patērētājiem vērtīgu informāciju un nenovestu pie sliktu lēmumu pieņemšanas, kas kropļo konkurenci.</w:t>
      </w:r>
    </w:p>
    <w:p w14:paraId="7A309A30" w14:textId="77777777" w:rsidR="00867DDD" w:rsidRPr="004D11C9" w:rsidRDefault="00867DDD" w:rsidP="004D11C9">
      <w:pPr>
        <w:jc w:val="both"/>
        <w:rPr>
          <w:rFonts w:ascii="Times New Roman" w:hAnsi="Times New Roman"/>
          <w:noProof/>
          <w:sz w:val="24"/>
        </w:rPr>
      </w:pPr>
    </w:p>
    <w:p w14:paraId="59431A1B" w14:textId="77777777" w:rsidR="000A6469" w:rsidRPr="004D11C9" w:rsidRDefault="000A6469" w:rsidP="004D11C9">
      <w:pPr>
        <w:jc w:val="both"/>
        <w:rPr>
          <w:rFonts w:ascii="Times New Roman" w:eastAsia="Arial" w:hAnsi="Times New Roman" w:cs="Arial"/>
          <w:noProof/>
          <w:sz w:val="24"/>
          <w:szCs w:val="15"/>
        </w:rPr>
      </w:pPr>
    </w:p>
    <w:p w14:paraId="7E4D57B9"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Ja informācija ir īpaši svarīga patērētāju lēmumu pieņemšanai un tai ir ilgtermiņa sekas, pastāv īpaši izteikta tendence regulēt šo informāciju.</w:t>
      </w:r>
    </w:p>
    <w:p w14:paraId="782B43D9" w14:textId="658F80C5" w:rsidR="000A6469" w:rsidRPr="004D11C9" w:rsidRDefault="000A6469" w:rsidP="004D11C9">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A0283B" w14:paraId="5125CB5A" w14:textId="77777777" w:rsidTr="00A0283B">
        <w:tc>
          <w:tcPr>
            <w:tcW w:w="9062" w:type="dxa"/>
          </w:tcPr>
          <w:p w14:paraId="32A3CE15" w14:textId="2DC92CC5" w:rsidR="00A0283B" w:rsidRDefault="00A0283B" w:rsidP="00A0283B">
            <w:pPr>
              <w:jc w:val="center"/>
              <w:rPr>
                <w:rFonts w:ascii="Times New Roman" w:eastAsia="Arial" w:hAnsi="Times New Roman" w:cs="Arial"/>
                <w:noProof/>
                <w:sz w:val="24"/>
                <w:szCs w:val="20"/>
              </w:rPr>
            </w:pPr>
            <w:r>
              <w:rPr>
                <w:rFonts w:ascii="Times New Roman" w:hAnsi="Times New Roman"/>
                <w:b/>
                <w:sz w:val="24"/>
              </w:rPr>
              <w:lastRenderedPageBreak/>
              <w:t>31. ierāmējums. Standartizētas informācijas paziņošana</w:t>
            </w:r>
          </w:p>
        </w:tc>
      </w:tr>
      <w:tr w:rsidR="00A0283B" w14:paraId="7088E8DA" w14:textId="77777777" w:rsidTr="00A0283B">
        <w:tc>
          <w:tcPr>
            <w:tcW w:w="9062" w:type="dxa"/>
          </w:tcPr>
          <w:p w14:paraId="5C37B047" w14:textId="77777777" w:rsidR="00A0283B" w:rsidRDefault="00A0283B" w:rsidP="00A0283B">
            <w:pPr>
              <w:jc w:val="both"/>
              <w:rPr>
                <w:rFonts w:ascii="Times New Roman" w:hAnsi="Times New Roman"/>
                <w:noProof/>
                <w:sz w:val="24"/>
              </w:rPr>
            </w:pPr>
            <w:r>
              <w:rPr>
                <w:rFonts w:ascii="Times New Roman" w:hAnsi="Times New Roman"/>
                <w:sz w:val="24"/>
              </w:rPr>
              <w:t>Daudzās valstīs ir spēkā noteikumi, kas prasa norādīt gada procentu likmi, izmantojot standarta definīciju, lai nodrošinātu, ka, pārdodot hipotēkas, aizdevēji vai mazumtirgotāji nenorāda nepareizas procentu likmes. ASV Federālās tirdzniecības komisijas veiktā pētījumā konstatēts, ka tas, kā informācija tiek pasniegta, var maldināt patērētājus par aizdevuma nosacījumiem. Piemēram, ja komisijas maksas ir jāpaziņo ārpusbanku aizdevējiem, bet ne banku aizdevējiem, tas var maldināt patērētājus un viņi var faktiski izvēlēties līgumus, kas procentu likmes ziņā kopumā ir dārgāki, piemēram, no bankas, kas nav paziņojusi komisijas maksu.</w:t>
            </w:r>
          </w:p>
          <w:p w14:paraId="5F72763F" w14:textId="77777777" w:rsidR="00A0283B" w:rsidRPr="004D11C9" w:rsidRDefault="00A0283B" w:rsidP="00A0283B">
            <w:pPr>
              <w:jc w:val="both"/>
              <w:rPr>
                <w:rFonts w:ascii="Times New Roman" w:eastAsia="Arial" w:hAnsi="Times New Roman" w:cs="Arial"/>
                <w:noProof/>
                <w:sz w:val="24"/>
                <w:szCs w:val="18"/>
              </w:rPr>
            </w:pPr>
          </w:p>
          <w:p w14:paraId="31F71FBA" w14:textId="411CCC7F" w:rsidR="00A0283B" w:rsidRPr="00A0283B" w:rsidRDefault="00A0283B" w:rsidP="004D11C9">
            <w:pPr>
              <w:jc w:val="both"/>
              <w:rPr>
                <w:rFonts w:ascii="Times New Roman" w:eastAsia="Arial" w:hAnsi="Times New Roman" w:cs="Arial"/>
                <w:noProof/>
                <w:sz w:val="24"/>
                <w:szCs w:val="17"/>
              </w:rPr>
            </w:pPr>
            <w:r>
              <w:rPr>
                <w:rFonts w:ascii="Times New Roman" w:hAnsi="Times New Roman"/>
                <w:i/>
                <w:sz w:val="24"/>
              </w:rPr>
              <w:t>Avots</w:t>
            </w:r>
            <w:r>
              <w:rPr>
                <w:rFonts w:ascii="Times New Roman" w:hAnsi="Times New Roman"/>
                <w:sz w:val="24"/>
              </w:rPr>
              <w:t>: Lacko, J. un J. Pappalardo, (2004).</w:t>
            </w:r>
          </w:p>
        </w:tc>
      </w:tr>
    </w:tbl>
    <w:p w14:paraId="01BEAE4D" w14:textId="77777777" w:rsidR="000A6469" w:rsidRPr="004D11C9" w:rsidRDefault="000A6469" w:rsidP="004D11C9">
      <w:pPr>
        <w:jc w:val="both"/>
        <w:rPr>
          <w:rFonts w:ascii="Times New Roman" w:eastAsia="Arial" w:hAnsi="Times New Roman" w:cs="Arial"/>
          <w:noProof/>
          <w:sz w:val="24"/>
          <w:szCs w:val="14"/>
        </w:rPr>
      </w:pPr>
      <w:bookmarkStart w:id="66" w:name="_bookmark44"/>
      <w:bookmarkEnd w:id="66"/>
    </w:p>
    <w:p w14:paraId="0B31607F" w14:textId="77777777" w:rsidR="000A6469" w:rsidRPr="004D11C9" w:rsidRDefault="000A6469" w:rsidP="004D11C9">
      <w:pPr>
        <w:pStyle w:val="Heading3"/>
        <w:ind w:left="0"/>
        <w:jc w:val="both"/>
        <w:rPr>
          <w:rFonts w:ascii="Times New Roman" w:hAnsi="Times New Roman"/>
          <w:noProof/>
          <w:sz w:val="24"/>
        </w:rPr>
      </w:pPr>
      <w:bookmarkStart w:id="67" w:name="Conclusion"/>
      <w:bookmarkStart w:id="68" w:name="_Toc62650473"/>
      <w:bookmarkEnd w:id="67"/>
      <w:r>
        <w:rPr>
          <w:rFonts w:ascii="Times New Roman" w:hAnsi="Times New Roman"/>
          <w:sz w:val="24"/>
        </w:rPr>
        <w:t>Secinājums</w:t>
      </w:r>
      <w:bookmarkEnd w:id="68"/>
    </w:p>
    <w:p w14:paraId="004F952D" w14:textId="77777777" w:rsidR="000A6469" w:rsidRPr="004D11C9" w:rsidRDefault="000A6469" w:rsidP="004D11C9">
      <w:pPr>
        <w:jc w:val="both"/>
        <w:rPr>
          <w:rFonts w:ascii="Times New Roman" w:eastAsia="Arial" w:hAnsi="Times New Roman" w:cs="Arial"/>
          <w:b/>
          <w:bCs/>
          <w:noProof/>
          <w:sz w:val="24"/>
          <w:szCs w:val="21"/>
        </w:rPr>
      </w:pPr>
    </w:p>
    <w:p w14:paraId="081A89D4"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Šajā nodaļā galvenā uzmanība ir pievērsta iespējamo konkurences ierobežojumu noteikšanas tehnikai. Dažos gadījumos turpmākā pārskatīšanā tā var būt labākais veids, kā pārvarēt būtiskas tirgus nepilnības. Tāpēc ir svarīgi sīkāk izpētīt iespējamos konkurences ierobežojumus, lai noskaidrotu, vai tie nosaka nepieciešamību izstrādāt alternatīvas un izmaiņu ieteikumus.</w:t>
      </w:r>
    </w:p>
    <w:p w14:paraId="35982630" w14:textId="08DDF716" w:rsidR="00A0283B" w:rsidRDefault="00A0283B">
      <w:pPr>
        <w:rPr>
          <w:rFonts w:ascii="Times New Roman" w:hAnsi="Times New Roman"/>
          <w:noProof/>
          <w:sz w:val="24"/>
        </w:rPr>
      </w:pPr>
      <w:r>
        <w:br w:type="page"/>
      </w:r>
    </w:p>
    <w:p w14:paraId="3CBA39CE" w14:textId="77777777" w:rsidR="000A6469" w:rsidRPr="004D11C9" w:rsidRDefault="000A6469" w:rsidP="004D11C9">
      <w:pPr>
        <w:jc w:val="both"/>
        <w:rPr>
          <w:rFonts w:ascii="Times New Roman" w:eastAsia="Arial" w:hAnsi="Times New Roman" w:cs="Arial"/>
          <w:noProof/>
          <w:sz w:val="24"/>
          <w:szCs w:val="29"/>
        </w:rPr>
      </w:pPr>
    </w:p>
    <w:p w14:paraId="4F485AA4" w14:textId="77777777" w:rsidR="000A6469" w:rsidRPr="004D11C9" w:rsidRDefault="000A6469" w:rsidP="004D11C9">
      <w:pPr>
        <w:jc w:val="both"/>
        <w:rPr>
          <w:rFonts w:ascii="Times New Roman" w:hAnsi="Times New Roman"/>
          <w:b/>
          <w:noProof/>
          <w:sz w:val="24"/>
        </w:rPr>
      </w:pPr>
      <w:bookmarkStart w:id="69" w:name="_bookmark45"/>
      <w:bookmarkEnd w:id="69"/>
      <w:r>
        <w:rPr>
          <w:rFonts w:ascii="Times New Roman" w:hAnsi="Times New Roman"/>
          <w:b/>
          <w:sz w:val="24"/>
        </w:rPr>
        <w:t>Detalizēts piemērs.</w:t>
      </w:r>
    </w:p>
    <w:p w14:paraId="25CA385F" w14:textId="77777777" w:rsidR="000A6469" w:rsidRPr="004D11C9" w:rsidRDefault="000A6469" w:rsidP="004D11C9">
      <w:pPr>
        <w:jc w:val="both"/>
        <w:rPr>
          <w:rFonts w:ascii="Times New Roman" w:hAnsi="Times New Roman"/>
          <w:b/>
          <w:noProof/>
          <w:sz w:val="24"/>
        </w:rPr>
      </w:pPr>
      <w:r>
        <w:rPr>
          <w:rFonts w:ascii="Times New Roman" w:hAnsi="Times New Roman"/>
          <w:b/>
          <w:sz w:val="24"/>
        </w:rPr>
        <w:t>Iespējamo konkurences ierobežojumu identificēšana</w:t>
      </w:r>
    </w:p>
    <w:p w14:paraId="59E1527A" w14:textId="77777777" w:rsidR="000A6469" w:rsidRPr="004D11C9" w:rsidRDefault="000A6469" w:rsidP="004D11C9">
      <w:pPr>
        <w:jc w:val="both"/>
        <w:rPr>
          <w:rFonts w:ascii="Times New Roman" w:eastAsia="Arial" w:hAnsi="Times New Roman" w:cs="Arial"/>
          <w:b/>
          <w:bCs/>
          <w:noProof/>
          <w:sz w:val="24"/>
          <w:szCs w:val="25"/>
        </w:rPr>
      </w:pPr>
    </w:p>
    <w:p w14:paraId="3425F47A" w14:textId="77777777" w:rsidR="000A6469" w:rsidRPr="004D11C9" w:rsidRDefault="000A6469" w:rsidP="004D11C9">
      <w:pPr>
        <w:jc w:val="both"/>
        <w:rPr>
          <w:rFonts w:ascii="Times New Roman" w:hAnsi="Times New Roman"/>
          <w:i/>
          <w:noProof/>
          <w:sz w:val="24"/>
        </w:rPr>
      </w:pPr>
      <w:r>
        <w:rPr>
          <w:rFonts w:ascii="Times New Roman" w:hAnsi="Times New Roman"/>
          <w:i/>
          <w:sz w:val="24"/>
        </w:rPr>
        <w:t>Šajā ierāmējumā ir turpināts detalizētā piemēra izklāsts, kas tiek izmantots viscaur šajā rokasgrāmatā.</w:t>
      </w:r>
    </w:p>
    <w:p w14:paraId="2F20C436" w14:textId="77777777" w:rsidR="000A6469" w:rsidRPr="004D11C9" w:rsidRDefault="000A6469" w:rsidP="004D11C9">
      <w:pPr>
        <w:jc w:val="both"/>
        <w:rPr>
          <w:rFonts w:ascii="Times New Roman" w:eastAsia="Arial" w:hAnsi="Times New Roman" w:cs="Arial"/>
          <w:i/>
          <w:noProof/>
          <w:sz w:val="24"/>
          <w:szCs w:val="10"/>
        </w:rPr>
      </w:pPr>
    </w:p>
    <w:p w14:paraId="171427EF" w14:textId="77777777" w:rsidR="000A6469" w:rsidRPr="004D11C9" w:rsidRDefault="000A6469" w:rsidP="004D11C9">
      <w:pPr>
        <w:jc w:val="both"/>
        <w:rPr>
          <w:rFonts w:ascii="Times New Roman" w:hAnsi="Times New Roman"/>
          <w:noProof/>
          <w:sz w:val="24"/>
        </w:rPr>
      </w:pPr>
      <w:r>
        <w:rPr>
          <w:rFonts w:ascii="Times New Roman" w:hAnsi="Times New Roman"/>
          <w:sz w:val="24"/>
        </w:rPr>
        <w:t>Lai identificētu iespējamos konkurences ierobežojumus, personāls piemēroja pārbaudes lapu attiecībā uz visām farmaceitisko līdzekļu nozares regulējuma jomām, kas nav atbrīvotas no pārbaudes. Galvenie iespējamie konkurences ierobežojumi ir norādīti turpmākajā tabulā.</w:t>
      </w:r>
    </w:p>
    <w:p w14:paraId="28FDD7EE" w14:textId="77777777" w:rsidR="00867DDD" w:rsidRPr="004D11C9" w:rsidRDefault="00867DDD" w:rsidP="004D11C9">
      <w:pPr>
        <w:jc w:val="both"/>
        <w:rPr>
          <w:rFonts w:ascii="Times New Roman" w:eastAsia="Arial" w:hAnsi="Times New Roman" w:cs="Arial"/>
          <w:noProof/>
          <w:sz w:val="24"/>
          <w:szCs w:val="18"/>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265"/>
        <w:gridCol w:w="2265"/>
        <w:gridCol w:w="2266"/>
        <w:gridCol w:w="2266"/>
      </w:tblGrid>
      <w:tr w:rsidR="00A0283B" w14:paraId="08B38C70" w14:textId="77777777" w:rsidTr="00A0283B">
        <w:tc>
          <w:tcPr>
            <w:tcW w:w="2265" w:type="dxa"/>
          </w:tcPr>
          <w:p w14:paraId="7EDD911F" w14:textId="0004068A" w:rsidR="00A0283B" w:rsidRPr="00A0283B" w:rsidRDefault="00A0283B" w:rsidP="004D11C9">
            <w:pPr>
              <w:jc w:val="both"/>
              <w:rPr>
                <w:rFonts w:ascii="Times New Roman" w:hAnsi="Times New Roman"/>
                <w:b/>
                <w:noProof/>
                <w:sz w:val="24"/>
              </w:rPr>
            </w:pPr>
            <w:r>
              <w:rPr>
                <w:rFonts w:ascii="Times New Roman" w:hAnsi="Times New Roman"/>
                <w:b/>
                <w:sz w:val="24"/>
              </w:rPr>
              <w:t>Pārbaudes lapas kategorija</w:t>
            </w:r>
          </w:p>
        </w:tc>
        <w:tc>
          <w:tcPr>
            <w:tcW w:w="2265" w:type="dxa"/>
          </w:tcPr>
          <w:p w14:paraId="15154D86" w14:textId="6D602D2D" w:rsidR="00A0283B" w:rsidRDefault="00A0283B" w:rsidP="004D11C9">
            <w:pPr>
              <w:jc w:val="both"/>
              <w:rPr>
                <w:rFonts w:ascii="Times New Roman" w:eastAsia="Arial" w:hAnsi="Times New Roman" w:cs="Arial"/>
                <w:noProof/>
                <w:sz w:val="24"/>
                <w:szCs w:val="15"/>
              </w:rPr>
            </w:pPr>
            <w:r>
              <w:rPr>
                <w:rFonts w:ascii="Times New Roman" w:hAnsi="Times New Roman"/>
                <w:b/>
                <w:sz w:val="24"/>
              </w:rPr>
              <w:t>Apakškategorija</w:t>
            </w:r>
          </w:p>
        </w:tc>
        <w:tc>
          <w:tcPr>
            <w:tcW w:w="2266" w:type="dxa"/>
          </w:tcPr>
          <w:p w14:paraId="6D4BB983" w14:textId="19901D2C" w:rsidR="00A0283B" w:rsidRPr="00A0283B" w:rsidRDefault="00A0283B" w:rsidP="00A0283B">
            <w:pPr>
              <w:tabs>
                <w:tab w:val="left" w:pos="1863"/>
              </w:tabs>
              <w:jc w:val="both"/>
              <w:rPr>
                <w:rFonts w:ascii="Times New Roman" w:hAnsi="Times New Roman"/>
                <w:b/>
                <w:noProof/>
                <w:sz w:val="24"/>
              </w:rPr>
            </w:pPr>
            <w:r>
              <w:rPr>
                <w:rFonts w:ascii="Times New Roman" w:hAnsi="Times New Roman"/>
                <w:b/>
                <w:sz w:val="24"/>
              </w:rPr>
              <w:t>Būtiskie normatīvie akti, regulējums un politika</w:t>
            </w:r>
          </w:p>
        </w:tc>
        <w:tc>
          <w:tcPr>
            <w:tcW w:w="2266" w:type="dxa"/>
          </w:tcPr>
          <w:p w14:paraId="0D18BA66" w14:textId="1504CF0E" w:rsidR="00A0283B" w:rsidRPr="00A0283B" w:rsidRDefault="00A0283B" w:rsidP="004D11C9">
            <w:pPr>
              <w:jc w:val="both"/>
              <w:rPr>
                <w:rFonts w:ascii="Times New Roman" w:hAnsi="Times New Roman"/>
                <w:b/>
                <w:noProof/>
                <w:sz w:val="24"/>
              </w:rPr>
            </w:pPr>
            <w:r>
              <w:rPr>
                <w:rFonts w:ascii="Times New Roman" w:hAnsi="Times New Roman"/>
                <w:b/>
                <w:sz w:val="24"/>
              </w:rPr>
              <w:t>Iespējamā ietekme uz konkurenci</w:t>
            </w:r>
          </w:p>
        </w:tc>
      </w:tr>
      <w:tr w:rsidR="00612B4B" w14:paraId="33C9E16C" w14:textId="77777777" w:rsidTr="00121F0E">
        <w:tc>
          <w:tcPr>
            <w:tcW w:w="2265" w:type="dxa"/>
            <w:vMerge w:val="restart"/>
            <w:vAlign w:val="center"/>
          </w:tcPr>
          <w:p w14:paraId="6B1F4CB2" w14:textId="03207E7F" w:rsidR="00612B4B" w:rsidRDefault="00612B4B" w:rsidP="00121F0E">
            <w:pPr>
              <w:rPr>
                <w:rFonts w:ascii="Times New Roman" w:eastAsia="Arial" w:hAnsi="Times New Roman" w:cs="Arial"/>
                <w:noProof/>
                <w:sz w:val="24"/>
                <w:szCs w:val="15"/>
              </w:rPr>
            </w:pPr>
            <w:r>
              <w:rPr>
                <w:rFonts w:ascii="Times New Roman" w:hAnsi="Times New Roman"/>
                <w:sz w:val="24"/>
              </w:rPr>
              <w:t>A. Ierobežo piegādātāju skaitu vai loku</w:t>
            </w:r>
          </w:p>
        </w:tc>
        <w:tc>
          <w:tcPr>
            <w:tcW w:w="2265" w:type="dxa"/>
            <w:vAlign w:val="center"/>
          </w:tcPr>
          <w:p w14:paraId="2ACE48B8" w14:textId="7AD0197D" w:rsidR="00612B4B" w:rsidRPr="00DE43DA" w:rsidRDefault="00612B4B" w:rsidP="00121F0E">
            <w:pPr>
              <w:rPr>
                <w:rFonts w:ascii="Times New Roman" w:hAnsi="Times New Roman"/>
                <w:noProof/>
                <w:sz w:val="24"/>
              </w:rPr>
            </w:pPr>
            <w:r>
              <w:rPr>
                <w:rFonts w:ascii="Times New Roman" w:hAnsi="Times New Roman"/>
                <w:sz w:val="24"/>
              </w:rPr>
              <w:t>Piešķir piegādātājam ekskluzīvas tiesības piegādāt preces vai sniegt pakalpojumus</w:t>
            </w:r>
          </w:p>
        </w:tc>
        <w:tc>
          <w:tcPr>
            <w:tcW w:w="2266" w:type="dxa"/>
          </w:tcPr>
          <w:p w14:paraId="502C7D07" w14:textId="77777777" w:rsidR="00612B4B" w:rsidRDefault="00612B4B" w:rsidP="004D11C9">
            <w:pPr>
              <w:jc w:val="both"/>
              <w:rPr>
                <w:rFonts w:ascii="Times New Roman" w:hAnsi="Times New Roman"/>
                <w:noProof/>
                <w:sz w:val="24"/>
              </w:rPr>
            </w:pPr>
            <w:r>
              <w:rPr>
                <w:rFonts w:ascii="Times New Roman" w:hAnsi="Times New Roman"/>
                <w:sz w:val="24"/>
              </w:rPr>
              <w:t>Zāļu patentus reglamentējošie normatīvie akti ļauj firmas zīmi izmantojošiem uzņēmumiem iegūt papildu patentus attiecībā uz uzlabojumiem vai modifikācijām, kas veiktas zālēs, kuras satur jau iepriekš izstrādātu aktīvo vielu.</w:t>
            </w:r>
          </w:p>
          <w:p w14:paraId="0D9193A1" w14:textId="77777777" w:rsidR="00612B4B" w:rsidRDefault="00612B4B" w:rsidP="004D11C9">
            <w:pPr>
              <w:jc w:val="both"/>
              <w:rPr>
                <w:rFonts w:ascii="Times New Roman" w:hAnsi="Times New Roman"/>
                <w:noProof/>
                <w:sz w:val="24"/>
              </w:rPr>
            </w:pPr>
          </w:p>
          <w:p w14:paraId="3F4FE987" w14:textId="77777777" w:rsidR="00612B4B" w:rsidRDefault="00612B4B" w:rsidP="004D11C9">
            <w:pPr>
              <w:jc w:val="both"/>
              <w:rPr>
                <w:rFonts w:ascii="Times New Roman" w:hAnsi="Times New Roman"/>
                <w:noProof/>
                <w:sz w:val="24"/>
              </w:rPr>
            </w:pPr>
          </w:p>
          <w:p w14:paraId="09BF319F" w14:textId="77777777" w:rsidR="00612B4B" w:rsidRDefault="00612B4B" w:rsidP="004D11C9">
            <w:pPr>
              <w:jc w:val="both"/>
              <w:rPr>
                <w:rFonts w:ascii="Times New Roman" w:hAnsi="Times New Roman"/>
                <w:noProof/>
                <w:sz w:val="24"/>
              </w:rPr>
            </w:pPr>
            <w:r>
              <w:rPr>
                <w:rFonts w:ascii="Times New Roman" w:hAnsi="Times New Roman"/>
                <w:sz w:val="24"/>
              </w:rPr>
              <w:t>Ja no zāļu patentēšanas līdz to apstiprināšanai tirdzniecībā ir pagājuši vairāk nekā 15 gadi, patenta termiņu var pagarināt, lai patenta īpašniekam nodrošinātu 5 gadus ilgu ekskluzīvu piegādes periodu.</w:t>
            </w:r>
          </w:p>
          <w:p w14:paraId="46C87EA7" w14:textId="7E1C9875" w:rsidR="00612B4B" w:rsidRPr="00A0283B" w:rsidRDefault="00612B4B" w:rsidP="004D11C9">
            <w:pPr>
              <w:jc w:val="both"/>
              <w:rPr>
                <w:rFonts w:ascii="Times New Roman" w:hAnsi="Times New Roman"/>
                <w:noProof/>
                <w:sz w:val="24"/>
              </w:rPr>
            </w:pPr>
            <w:r>
              <w:rPr>
                <w:rFonts w:ascii="Times New Roman" w:hAnsi="Times New Roman"/>
                <w:sz w:val="24"/>
              </w:rPr>
              <w:t>Farmaceiti nedrīkst aizstāt ar firmas zīmi marķēto produktu ar ģeneriskām zālēm, ja šāda aizstāšana nav atļauta zāļu receptē.</w:t>
            </w:r>
          </w:p>
        </w:tc>
        <w:tc>
          <w:tcPr>
            <w:tcW w:w="2266" w:type="dxa"/>
          </w:tcPr>
          <w:p w14:paraId="6048F2A3" w14:textId="77777777" w:rsidR="00612B4B" w:rsidRDefault="00612B4B" w:rsidP="004D11C9">
            <w:pPr>
              <w:jc w:val="both"/>
              <w:rPr>
                <w:rFonts w:ascii="Times New Roman" w:hAnsi="Times New Roman"/>
                <w:noProof/>
                <w:sz w:val="24"/>
              </w:rPr>
            </w:pPr>
            <w:r>
              <w:rPr>
                <w:rFonts w:ascii="Times New Roman" w:hAnsi="Times New Roman"/>
                <w:sz w:val="24"/>
              </w:rPr>
              <w:t>Veselības ministrija un Nacionālā konkurences uzraudzības iestāde ir saņēmušas daudz sūdzību par to, ka firmas zīmi izmantojoši zāļu ražotāji stratēģiski izmanto šādus patentus, lai ierobežotu konkurētspējīgu ģenerisko zāļu ienākšanu pēc parastā 20 gadu aizsardzības perioda beigām.</w:t>
            </w:r>
          </w:p>
          <w:p w14:paraId="638BEDB7" w14:textId="77777777" w:rsidR="00612B4B" w:rsidRDefault="00612B4B" w:rsidP="004D11C9">
            <w:pPr>
              <w:jc w:val="both"/>
              <w:rPr>
                <w:rFonts w:ascii="Times New Roman" w:hAnsi="Times New Roman"/>
                <w:noProof/>
                <w:sz w:val="24"/>
              </w:rPr>
            </w:pPr>
            <w:r>
              <w:rPr>
                <w:rFonts w:ascii="Times New Roman" w:hAnsi="Times New Roman"/>
                <w:sz w:val="24"/>
              </w:rPr>
              <w:t>Var aizkavēt ģenerisko zāļu konkurenci tirgū un pagarināt patenta īpašnieku ekskluzīvo piegāžu tiesības, pārsniedzot parasto 20 gadu periodu.</w:t>
            </w:r>
          </w:p>
          <w:p w14:paraId="406716C2" w14:textId="77777777" w:rsidR="00612B4B" w:rsidRDefault="00612B4B" w:rsidP="004D11C9">
            <w:pPr>
              <w:jc w:val="both"/>
              <w:rPr>
                <w:rFonts w:ascii="Times New Roman" w:hAnsi="Times New Roman"/>
                <w:noProof/>
                <w:sz w:val="24"/>
              </w:rPr>
            </w:pPr>
          </w:p>
          <w:p w14:paraId="48985673" w14:textId="77777777" w:rsidR="00612B4B" w:rsidRDefault="00612B4B" w:rsidP="004D11C9">
            <w:pPr>
              <w:jc w:val="both"/>
              <w:rPr>
                <w:rFonts w:ascii="Times New Roman" w:hAnsi="Times New Roman"/>
                <w:noProof/>
                <w:sz w:val="24"/>
              </w:rPr>
            </w:pPr>
          </w:p>
          <w:p w14:paraId="14AFB545" w14:textId="5822E054" w:rsidR="00612B4B" w:rsidRPr="00A0283B" w:rsidRDefault="00612B4B" w:rsidP="004D11C9">
            <w:pPr>
              <w:jc w:val="both"/>
              <w:rPr>
                <w:rFonts w:ascii="Times New Roman" w:hAnsi="Times New Roman"/>
                <w:noProof/>
                <w:sz w:val="24"/>
              </w:rPr>
            </w:pPr>
            <w:r>
              <w:rPr>
                <w:rFonts w:ascii="Times New Roman" w:hAnsi="Times New Roman"/>
                <w:sz w:val="24"/>
              </w:rPr>
              <w:t>Liedz farmaceitiem izsniegt lētākas ģeneriskās zāles atbilstošo, ar firmas zīmi marķēto produktu vietā vai lētākus ārstnieciskos aizstājējproduktus.</w:t>
            </w:r>
          </w:p>
        </w:tc>
      </w:tr>
      <w:tr w:rsidR="00612B4B" w14:paraId="38C5C95F" w14:textId="77777777" w:rsidTr="00121F0E">
        <w:tc>
          <w:tcPr>
            <w:tcW w:w="2265" w:type="dxa"/>
            <w:vMerge/>
          </w:tcPr>
          <w:p w14:paraId="62D9BF67" w14:textId="77777777" w:rsidR="00612B4B" w:rsidRDefault="00612B4B" w:rsidP="004D11C9">
            <w:pPr>
              <w:jc w:val="both"/>
              <w:rPr>
                <w:rFonts w:ascii="Times New Roman" w:eastAsia="Arial" w:hAnsi="Times New Roman" w:cs="Arial"/>
                <w:noProof/>
                <w:sz w:val="24"/>
                <w:szCs w:val="15"/>
              </w:rPr>
            </w:pPr>
          </w:p>
        </w:tc>
        <w:tc>
          <w:tcPr>
            <w:tcW w:w="2265" w:type="dxa"/>
            <w:vAlign w:val="center"/>
          </w:tcPr>
          <w:p w14:paraId="5690C415" w14:textId="16A6C7CF" w:rsidR="00612B4B" w:rsidRDefault="00612B4B" w:rsidP="00121F0E">
            <w:pPr>
              <w:rPr>
                <w:rFonts w:ascii="Times New Roman" w:eastAsia="Arial" w:hAnsi="Times New Roman" w:cs="Arial"/>
                <w:noProof/>
                <w:sz w:val="24"/>
                <w:szCs w:val="15"/>
              </w:rPr>
            </w:pPr>
            <w:r>
              <w:rPr>
                <w:rFonts w:ascii="Times New Roman" w:hAnsi="Times New Roman"/>
                <w:sz w:val="24"/>
              </w:rPr>
              <w:t xml:space="preserve">Nosaka licencēšanas, atļaujas izsniegšanas vai apstiprināšanas </w:t>
            </w:r>
            <w:r>
              <w:rPr>
                <w:rFonts w:ascii="Times New Roman" w:hAnsi="Times New Roman"/>
                <w:sz w:val="24"/>
              </w:rPr>
              <w:lastRenderedPageBreak/>
              <w:t>procesu kā darbības veikšanas nosacījumu</w:t>
            </w:r>
          </w:p>
        </w:tc>
        <w:tc>
          <w:tcPr>
            <w:tcW w:w="2266" w:type="dxa"/>
          </w:tcPr>
          <w:p w14:paraId="69357BDA" w14:textId="77777777" w:rsidR="00612B4B" w:rsidRDefault="00612B4B" w:rsidP="004D11C9">
            <w:pPr>
              <w:jc w:val="both"/>
              <w:rPr>
                <w:rFonts w:ascii="Times New Roman" w:eastAsia="Arial" w:hAnsi="Times New Roman" w:cs="Arial"/>
                <w:noProof/>
                <w:sz w:val="24"/>
                <w:szCs w:val="15"/>
              </w:rPr>
            </w:pPr>
            <w:r>
              <w:rPr>
                <w:rFonts w:ascii="Times New Roman" w:hAnsi="Times New Roman"/>
                <w:sz w:val="24"/>
              </w:rPr>
              <w:lastRenderedPageBreak/>
              <w:t xml:space="preserve">Lai saņemtu sertifikāciju, jāatbilst izkārtojuma, </w:t>
            </w:r>
            <w:r>
              <w:rPr>
                <w:rFonts w:ascii="Times New Roman" w:hAnsi="Times New Roman"/>
                <w:sz w:val="24"/>
              </w:rPr>
              <w:lastRenderedPageBreak/>
              <w:t>uzglabāšanas, uzraudzības, tehniskā nodrošinājuma un citām prasībām, ko noteikusi Aptieku profesionālās uzraudzības iestāde.</w:t>
            </w:r>
          </w:p>
          <w:p w14:paraId="1B8907C2" w14:textId="77777777" w:rsidR="00612B4B" w:rsidRDefault="00612B4B" w:rsidP="004D11C9">
            <w:pPr>
              <w:jc w:val="both"/>
              <w:rPr>
                <w:rFonts w:ascii="Times New Roman" w:eastAsia="Arial" w:hAnsi="Times New Roman" w:cs="Arial"/>
                <w:noProof/>
                <w:sz w:val="24"/>
                <w:szCs w:val="15"/>
              </w:rPr>
            </w:pPr>
          </w:p>
          <w:p w14:paraId="0ABF4887" w14:textId="68EEA98F" w:rsidR="00612B4B" w:rsidRDefault="00612B4B" w:rsidP="004D11C9">
            <w:pPr>
              <w:jc w:val="both"/>
              <w:rPr>
                <w:rFonts w:ascii="Times New Roman" w:eastAsia="Arial" w:hAnsi="Times New Roman" w:cs="Arial"/>
                <w:noProof/>
                <w:sz w:val="24"/>
                <w:szCs w:val="15"/>
              </w:rPr>
            </w:pPr>
            <w:r>
              <w:rPr>
                <w:rFonts w:ascii="Times New Roman" w:hAnsi="Times New Roman"/>
                <w:sz w:val="24"/>
              </w:rPr>
              <w:t>Lai ģeneriskās zāles varētu iekļaut valsts zāļu izsniegšanas sarakstā, tām ir jāatbilst Veselības ministrijas bioekvivalences kritērijiem.</w:t>
            </w:r>
          </w:p>
        </w:tc>
        <w:tc>
          <w:tcPr>
            <w:tcW w:w="2266" w:type="dxa"/>
          </w:tcPr>
          <w:p w14:paraId="09D1C18A" w14:textId="77777777" w:rsidR="00612B4B" w:rsidRDefault="00612B4B" w:rsidP="004D11C9">
            <w:pPr>
              <w:jc w:val="both"/>
              <w:rPr>
                <w:rFonts w:ascii="Times New Roman" w:eastAsia="Arial" w:hAnsi="Times New Roman" w:cs="Arial"/>
                <w:noProof/>
                <w:sz w:val="24"/>
                <w:szCs w:val="15"/>
              </w:rPr>
            </w:pPr>
            <w:r>
              <w:rPr>
                <w:rFonts w:ascii="Times New Roman" w:hAnsi="Times New Roman"/>
                <w:sz w:val="24"/>
              </w:rPr>
              <w:lastRenderedPageBreak/>
              <w:t xml:space="preserve">Palielinās ar ienākšanu aptieku nozarē saistītās izmaksas, potenciāli </w:t>
            </w:r>
            <w:r>
              <w:rPr>
                <w:rFonts w:ascii="Times New Roman" w:hAnsi="Times New Roman"/>
                <w:sz w:val="24"/>
              </w:rPr>
              <w:lastRenderedPageBreak/>
              <w:t>samazinot aptieku skaitu un konkurenci starp aptiekām.</w:t>
            </w:r>
          </w:p>
          <w:p w14:paraId="7E0E135A" w14:textId="77777777" w:rsidR="00612B4B" w:rsidRDefault="00612B4B" w:rsidP="004D11C9">
            <w:pPr>
              <w:jc w:val="both"/>
              <w:rPr>
                <w:rFonts w:ascii="Times New Roman" w:eastAsia="Arial" w:hAnsi="Times New Roman" w:cs="Arial"/>
                <w:noProof/>
                <w:sz w:val="24"/>
                <w:szCs w:val="15"/>
              </w:rPr>
            </w:pPr>
          </w:p>
          <w:p w14:paraId="674E0FEC" w14:textId="46412C88" w:rsidR="00612B4B" w:rsidRDefault="00612B4B" w:rsidP="004D11C9">
            <w:pPr>
              <w:jc w:val="both"/>
              <w:rPr>
                <w:rFonts w:ascii="Times New Roman" w:eastAsia="Arial" w:hAnsi="Times New Roman" w:cs="Arial"/>
                <w:noProof/>
                <w:sz w:val="24"/>
                <w:szCs w:val="15"/>
              </w:rPr>
            </w:pPr>
            <w:r>
              <w:rPr>
                <w:rFonts w:ascii="Times New Roman" w:hAnsi="Times New Roman"/>
                <w:sz w:val="24"/>
              </w:rPr>
              <w:t>Tās testēšanas un izmēģinājumu izmaksas, kas vajadzīgas, lai pierādītu, ka ģeneriskās zāles bioloģiski līdzinās ar firmas zīmi marķētajām zālēm, var radīt pārāk augstu šķērsli konkurējošu ģenerisko zāļu laišanai tirgū.</w:t>
            </w:r>
          </w:p>
        </w:tc>
      </w:tr>
      <w:tr w:rsidR="00612B4B" w14:paraId="14B63DA5" w14:textId="77777777" w:rsidTr="00121F0E">
        <w:tc>
          <w:tcPr>
            <w:tcW w:w="2265" w:type="dxa"/>
            <w:vMerge/>
          </w:tcPr>
          <w:p w14:paraId="16CB05ED" w14:textId="77777777" w:rsidR="00612B4B" w:rsidRDefault="00612B4B" w:rsidP="004D11C9">
            <w:pPr>
              <w:jc w:val="both"/>
              <w:rPr>
                <w:rFonts w:ascii="Times New Roman" w:eastAsia="Arial" w:hAnsi="Times New Roman" w:cs="Arial"/>
                <w:noProof/>
                <w:sz w:val="24"/>
                <w:szCs w:val="15"/>
              </w:rPr>
            </w:pPr>
          </w:p>
        </w:tc>
        <w:tc>
          <w:tcPr>
            <w:tcW w:w="2265" w:type="dxa"/>
            <w:vAlign w:val="center"/>
          </w:tcPr>
          <w:p w14:paraId="05AF025C" w14:textId="73A9533D" w:rsidR="00612B4B" w:rsidRDefault="00612B4B" w:rsidP="00121F0E">
            <w:pPr>
              <w:rPr>
                <w:rFonts w:ascii="Times New Roman" w:eastAsia="Arial" w:hAnsi="Times New Roman" w:cs="Arial"/>
                <w:noProof/>
                <w:sz w:val="24"/>
                <w:szCs w:val="15"/>
              </w:rPr>
            </w:pPr>
            <w:r>
              <w:rPr>
                <w:rFonts w:ascii="Times New Roman" w:hAnsi="Times New Roman"/>
                <w:sz w:val="24"/>
              </w:rPr>
              <w:t>Būtiski paaugstina ar ieiešanu tirgū vai iziešanu no tā saistītās izmaksas piegādātājam</w:t>
            </w:r>
          </w:p>
        </w:tc>
        <w:tc>
          <w:tcPr>
            <w:tcW w:w="2266" w:type="dxa"/>
          </w:tcPr>
          <w:p w14:paraId="25FA2BCF" w14:textId="4C136E12" w:rsidR="00612B4B" w:rsidRDefault="00612B4B" w:rsidP="004D11C9">
            <w:pPr>
              <w:jc w:val="both"/>
              <w:rPr>
                <w:rFonts w:ascii="Times New Roman" w:eastAsia="Arial" w:hAnsi="Times New Roman" w:cs="Arial"/>
                <w:noProof/>
                <w:sz w:val="24"/>
                <w:szCs w:val="15"/>
              </w:rPr>
            </w:pPr>
            <w:r>
              <w:rPr>
                <w:rFonts w:ascii="Times New Roman" w:hAnsi="Times New Roman"/>
                <w:sz w:val="24"/>
              </w:rPr>
              <w:t>Piegādātājam, kas laiž ģeneriskās zāles tirgū pirms attiecīgo, ar firmas zīmi marķēto zāļu patenta aizsardzības termiņa beigām, ir pienākums atsaukt savu produktu un atlīdzināt ar firmas zīmi marķēto zāļu piegādātājam zaudēto peļņu un izmaksas.</w:t>
            </w:r>
          </w:p>
        </w:tc>
        <w:tc>
          <w:tcPr>
            <w:tcW w:w="2266" w:type="dxa"/>
          </w:tcPr>
          <w:p w14:paraId="096F7A5F" w14:textId="4D096BE6" w:rsidR="00612B4B" w:rsidRDefault="00612B4B" w:rsidP="004D11C9">
            <w:pPr>
              <w:jc w:val="both"/>
              <w:rPr>
                <w:rFonts w:ascii="Times New Roman" w:eastAsia="Arial" w:hAnsi="Times New Roman" w:cs="Arial"/>
                <w:noProof/>
                <w:sz w:val="24"/>
                <w:szCs w:val="15"/>
              </w:rPr>
            </w:pPr>
            <w:r>
              <w:rPr>
                <w:rFonts w:ascii="Times New Roman" w:hAnsi="Times New Roman"/>
                <w:sz w:val="24"/>
              </w:rPr>
              <w:t>Iespējamība, ka var nākties maksāt lielu kompensāciju ar firmas zīmi marķēto zāļu uzņēmumam, var kavēt ģenerisko zāļu laišanu tirgū tad, ja pastāv šaubas par atlikušo pieprasīto patenta tiesību spēkā esamību.</w:t>
            </w:r>
          </w:p>
        </w:tc>
      </w:tr>
      <w:tr w:rsidR="00612B4B" w14:paraId="1257AFA8" w14:textId="77777777" w:rsidTr="00A0283B">
        <w:tc>
          <w:tcPr>
            <w:tcW w:w="2265" w:type="dxa"/>
            <w:vMerge/>
          </w:tcPr>
          <w:p w14:paraId="2E67A016" w14:textId="77777777" w:rsidR="00612B4B" w:rsidRDefault="00612B4B" w:rsidP="004D11C9">
            <w:pPr>
              <w:jc w:val="both"/>
              <w:rPr>
                <w:rFonts w:ascii="Times New Roman" w:eastAsia="Arial" w:hAnsi="Times New Roman" w:cs="Arial"/>
                <w:noProof/>
                <w:sz w:val="24"/>
                <w:szCs w:val="15"/>
              </w:rPr>
            </w:pPr>
          </w:p>
        </w:tc>
        <w:tc>
          <w:tcPr>
            <w:tcW w:w="2265" w:type="dxa"/>
          </w:tcPr>
          <w:p w14:paraId="587527DC" w14:textId="736555BC" w:rsidR="00612B4B" w:rsidRDefault="00612B4B" w:rsidP="004D11C9">
            <w:pPr>
              <w:jc w:val="both"/>
              <w:rPr>
                <w:rFonts w:ascii="Times New Roman" w:eastAsia="Arial" w:hAnsi="Times New Roman" w:cs="Arial"/>
                <w:noProof/>
                <w:sz w:val="24"/>
                <w:szCs w:val="15"/>
              </w:rPr>
            </w:pPr>
            <w:r>
              <w:rPr>
                <w:rFonts w:ascii="Times New Roman" w:hAnsi="Times New Roman"/>
                <w:sz w:val="24"/>
              </w:rPr>
              <w:t>Rada ģeogrāfiskus šķēršļus uzņēmumu iespējām piegādāt preces un darbaspēku vai sniegt pakalpojumus, vai investēt kapitālu</w:t>
            </w:r>
          </w:p>
        </w:tc>
        <w:tc>
          <w:tcPr>
            <w:tcW w:w="2266" w:type="dxa"/>
          </w:tcPr>
          <w:p w14:paraId="218701C9" w14:textId="24EF410B" w:rsidR="00612B4B" w:rsidRDefault="00612B4B" w:rsidP="004D11C9">
            <w:pPr>
              <w:jc w:val="both"/>
              <w:rPr>
                <w:rFonts w:ascii="Times New Roman" w:eastAsia="Arial" w:hAnsi="Times New Roman" w:cs="Arial"/>
                <w:noProof/>
                <w:sz w:val="24"/>
                <w:szCs w:val="15"/>
              </w:rPr>
            </w:pPr>
            <w:r>
              <w:rPr>
                <w:rFonts w:ascii="Times New Roman" w:hAnsi="Times New Roman"/>
                <w:sz w:val="24"/>
              </w:rPr>
              <w:t>Saskaņā ar veselības aizsardzības jomas tiesisko regulējumu farmaceitisko līdzekļu ievešana un piegādāšana tieši pacientam ir aizliegta.</w:t>
            </w:r>
          </w:p>
        </w:tc>
        <w:tc>
          <w:tcPr>
            <w:tcW w:w="2266" w:type="dxa"/>
          </w:tcPr>
          <w:p w14:paraId="535C2DD9" w14:textId="0718120E" w:rsidR="00612B4B" w:rsidRDefault="00612B4B" w:rsidP="004D11C9">
            <w:pPr>
              <w:jc w:val="both"/>
              <w:rPr>
                <w:rFonts w:ascii="Times New Roman" w:eastAsia="Arial" w:hAnsi="Times New Roman" w:cs="Arial"/>
                <w:noProof/>
                <w:sz w:val="24"/>
                <w:szCs w:val="15"/>
              </w:rPr>
            </w:pPr>
            <w:r>
              <w:rPr>
                <w:rFonts w:ascii="Times New Roman" w:hAnsi="Times New Roman"/>
                <w:sz w:val="24"/>
              </w:rPr>
              <w:t>Novērš konkurenci, ko veido pacientu īstenota paralēlā importēšana.</w:t>
            </w:r>
          </w:p>
        </w:tc>
      </w:tr>
      <w:tr w:rsidR="00612B4B" w14:paraId="1E70F75F" w14:textId="77777777" w:rsidTr="00121F0E">
        <w:tc>
          <w:tcPr>
            <w:tcW w:w="2265" w:type="dxa"/>
            <w:vMerge w:val="restart"/>
            <w:vAlign w:val="center"/>
          </w:tcPr>
          <w:p w14:paraId="5ADEB4EB" w14:textId="3C08EF3A" w:rsidR="00612B4B" w:rsidRDefault="00612B4B" w:rsidP="00121F0E">
            <w:pPr>
              <w:rPr>
                <w:rFonts w:ascii="Times New Roman" w:eastAsia="Arial" w:hAnsi="Times New Roman" w:cs="Arial"/>
                <w:noProof/>
                <w:sz w:val="24"/>
                <w:szCs w:val="15"/>
              </w:rPr>
            </w:pPr>
            <w:r>
              <w:rPr>
                <w:rFonts w:ascii="Times New Roman" w:hAnsi="Times New Roman"/>
                <w:sz w:val="24"/>
              </w:rPr>
              <w:t>B. Ierobežo piegādātāju konkurētspēju</w:t>
            </w:r>
          </w:p>
        </w:tc>
        <w:tc>
          <w:tcPr>
            <w:tcW w:w="2265" w:type="dxa"/>
            <w:vMerge w:val="restart"/>
            <w:vAlign w:val="center"/>
          </w:tcPr>
          <w:p w14:paraId="2CCF9368" w14:textId="6DAD6BEE" w:rsidR="00612B4B" w:rsidRDefault="00612B4B" w:rsidP="00121F0E">
            <w:pPr>
              <w:rPr>
                <w:rFonts w:ascii="Times New Roman" w:eastAsia="Arial" w:hAnsi="Times New Roman" w:cs="Arial"/>
                <w:noProof/>
                <w:sz w:val="24"/>
                <w:szCs w:val="15"/>
              </w:rPr>
            </w:pPr>
            <w:r>
              <w:rPr>
                <w:rFonts w:ascii="Times New Roman" w:hAnsi="Times New Roman"/>
                <w:sz w:val="24"/>
              </w:rPr>
              <w:t>Ierobežo pārdevēja iespējas noteikt preču vai pakalpojumu cenas</w:t>
            </w:r>
          </w:p>
        </w:tc>
        <w:tc>
          <w:tcPr>
            <w:tcW w:w="2266" w:type="dxa"/>
          </w:tcPr>
          <w:p w14:paraId="3256D62C" w14:textId="4778F68F" w:rsidR="00612B4B" w:rsidRDefault="00612B4B" w:rsidP="004D11C9">
            <w:pPr>
              <w:jc w:val="both"/>
              <w:rPr>
                <w:rFonts w:ascii="Times New Roman" w:eastAsia="Arial" w:hAnsi="Times New Roman" w:cs="Arial"/>
                <w:noProof/>
                <w:sz w:val="24"/>
                <w:szCs w:val="15"/>
              </w:rPr>
            </w:pPr>
            <w:r>
              <w:rPr>
                <w:rFonts w:ascii="Times New Roman" w:hAnsi="Times New Roman"/>
                <w:sz w:val="24"/>
              </w:rPr>
              <w:t>To patentēto farmaceitisko produktu cenas, kas uzskaitīti valsts izsniedzamo zāļu sarakstā, nedrīkst pārsniegt salīdzinājuma valstu apakšgrupas vidējo cenu.</w:t>
            </w:r>
          </w:p>
        </w:tc>
        <w:tc>
          <w:tcPr>
            <w:tcW w:w="2266" w:type="dxa"/>
          </w:tcPr>
          <w:p w14:paraId="48632436" w14:textId="080C9837" w:rsidR="00612B4B" w:rsidRDefault="009224D0" w:rsidP="004D11C9">
            <w:pPr>
              <w:jc w:val="both"/>
              <w:rPr>
                <w:rFonts w:ascii="Times New Roman" w:eastAsia="Arial" w:hAnsi="Times New Roman" w:cs="Arial"/>
                <w:noProof/>
                <w:sz w:val="24"/>
                <w:szCs w:val="15"/>
              </w:rPr>
            </w:pPr>
            <w:r>
              <w:rPr>
                <w:rFonts w:ascii="Times New Roman" w:hAnsi="Times New Roman"/>
                <w:sz w:val="24"/>
              </w:rPr>
              <w:t>Regulē maksimālās patentēto zāļu cenas, kas var radīt šķērsli atsevišķu zāļu laišanai tirgū un noteikt augstu cenas līmeni citu zāļu cenu noteikšanai.</w:t>
            </w:r>
          </w:p>
        </w:tc>
      </w:tr>
      <w:tr w:rsidR="00612B4B" w14:paraId="30495DC9" w14:textId="77777777" w:rsidTr="00121F0E">
        <w:tc>
          <w:tcPr>
            <w:tcW w:w="2265" w:type="dxa"/>
            <w:vMerge/>
            <w:vAlign w:val="center"/>
          </w:tcPr>
          <w:p w14:paraId="39B335CD" w14:textId="77777777" w:rsidR="00612B4B" w:rsidRDefault="00612B4B" w:rsidP="00121F0E">
            <w:pPr>
              <w:rPr>
                <w:rFonts w:ascii="Times New Roman" w:eastAsia="Arial" w:hAnsi="Times New Roman" w:cs="Arial"/>
                <w:noProof/>
                <w:sz w:val="24"/>
                <w:szCs w:val="15"/>
              </w:rPr>
            </w:pPr>
          </w:p>
        </w:tc>
        <w:tc>
          <w:tcPr>
            <w:tcW w:w="2265" w:type="dxa"/>
            <w:vMerge/>
            <w:vAlign w:val="center"/>
          </w:tcPr>
          <w:p w14:paraId="2B23D3EA" w14:textId="77777777" w:rsidR="00612B4B" w:rsidRDefault="00612B4B" w:rsidP="00121F0E">
            <w:pPr>
              <w:rPr>
                <w:rFonts w:ascii="Times New Roman" w:eastAsia="Arial" w:hAnsi="Times New Roman" w:cs="Arial"/>
                <w:noProof/>
                <w:sz w:val="24"/>
                <w:szCs w:val="15"/>
              </w:rPr>
            </w:pPr>
          </w:p>
        </w:tc>
        <w:tc>
          <w:tcPr>
            <w:tcW w:w="2266" w:type="dxa"/>
          </w:tcPr>
          <w:p w14:paraId="188574B4" w14:textId="63BF6ABB" w:rsidR="00612B4B" w:rsidRDefault="00612B4B" w:rsidP="004D11C9">
            <w:pPr>
              <w:jc w:val="both"/>
              <w:rPr>
                <w:rFonts w:ascii="Times New Roman" w:eastAsia="Arial" w:hAnsi="Times New Roman" w:cs="Arial"/>
                <w:noProof/>
                <w:sz w:val="24"/>
                <w:szCs w:val="15"/>
              </w:rPr>
            </w:pPr>
            <w:r>
              <w:rPr>
                <w:rFonts w:ascii="Times New Roman" w:hAnsi="Times New Roman"/>
                <w:sz w:val="24"/>
              </w:rPr>
              <w:t xml:space="preserve">Lai ģeneriskās zāles varētu iekļaut valsts un </w:t>
            </w:r>
            <w:r>
              <w:rPr>
                <w:rFonts w:ascii="Times New Roman" w:hAnsi="Times New Roman"/>
                <w:i/>
                <w:sz w:val="24"/>
              </w:rPr>
              <w:t>NPIP</w:t>
            </w:r>
            <w:r>
              <w:rPr>
                <w:rFonts w:ascii="Times New Roman" w:hAnsi="Times New Roman"/>
                <w:sz w:val="24"/>
              </w:rPr>
              <w:t xml:space="preserve"> zāļu formulāros, </w:t>
            </w:r>
            <w:r>
              <w:rPr>
                <w:rFonts w:ascii="Times New Roman" w:hAnsi="Times New Roman"/>
                <w:sz w:val="24"/>
              </w:rPr>
              <w:lastRenderedPageBreak/>
              <w:t>tām jābūt vismaz par 35 % lētākām par zālēm, kas marķētas ar firmas zīmi un ko ir paredzēts aizstāt ar attiecīgajām ģeneriskajām zālēm.</w:t>
            </w:r>
          </w:p>
        </w:tc>
        <w:tc>
          <w:tcPr>
            <w:tcW w:w="2266" w:type="dxa"/>
          </w:tcPr>
          <w:p w14:paraId="52DAD5D0" w14:textId="6D907815" w:rsidR="00612B4B" w:rsidRDefault="009224D0" w:rsidP="004D11C9">
            <w:pPr>
              <w:jc w:val="both"/>
              <w:rPr>
                <w:rFonts w:ascii="Times New Roman" w:eastAsia="Arial" w:hAnsi="Times New Roman" w:cs="Arial"/>
                <w:noProof/>
                <w:sz w:val="24"/>
                <w:szCs w:val="15"/>
              </w:rPr>
            </w:pPr>
            <w:r>
              <w:rPr>
                <w:rFonts w:ascii="Times New Roman" w:hAnsi="Times New Roman"/>
                <w:sz w:val="24"/>
              </w:rPr>
              <w:lastRenderedPageBreak/>
              <w:t xml:space="preserve">Dažos gadījumos cenu griesti var būt pārāk zemi, lai veicinātu </w:t>
            </w:r>
            <w:r>
              <w:rPr>
                <w:rFonts w:ascii="Times New Roman" w:hAnsi="Times New Roman"/>
                <w:sz w:val="24"/>
              </w:rPr>
              <w:lastRenderedPageBreak/>
              <w:t>ģenerisko zāļu piegādātāju ienākšanu tirgū, bet citos gadījumos tie var kalpot par bāzes cenu, novedot pie augstākām cenām.</w:t>
            </w:r>
          </w:p>
        </w:tc>
      </w:tr>
      <w:tr w:rsidR="00612B4B" w14:paraId="5DB2A24C" w14:textId="77777777" w:rsidTr="00121F0E">
        <w:tc>
          <w:tcPr>
            <w:tcW w:w="2265" w:type="dxa"/>
            <w:vMerge/>
            <w:vAlign w:val="center"/>
          </w:tcPr>
          <w:p w14:paraId="3395581F" w14:textId="77777777" w:rsidR="00612B4B" w:rsidRDefault="00612B4B" w:rsidP="00121F0E">
            <w:pPr>
              <w:rPr>
                <w:rFonts w:ascii="Times New Roman" w:eastAsia="Arial" w:hAnsi="Times New Roman" w:cs="Arial"/>
                <w:noProof/>
                <w:sz w:val="24"/>
                <w:szCs w:val="15"/>
              </w:rPr>
            </w:pPr>
          </w:p>
        </w:tc>
        <w:tc>
          <w:tcPr>
            <w:tcW w:w="2265" w:type="dxa"/>
            <w:vMerge w:val="restart"/>
            <w:vAlign w:val="center"/>
          </w:tcPr>
          <w:p w14:paraId="0362668C" w14:textId="4C638D30" w:rsidR="00612B4B" w:rsidRDefault="00612B4B" w:rsidP="00121F0E">
            <w:pPr>
              <w:rPr>
                <w:rFonts w:ascii="Times New Roman" w:eastAsia="Arial" w:hAnsi="Times New Roman" w:cs="Arial"/>
                <w:noProof/>
                <w:sz w:val="24"/>
                <w:szCs w:val="15"/>
              </w:rPr>
            </w:pPr>
            <w:r>
              <w:rPr>
                <w:rFonts w:ascii="Times New Roman" w:hAnsi="Times New Roman"/>
                <w:sz w:val="24"/>
              </w:rPr>
              <w:t>Ierobežo piegādātāju iespējas brīvi reklamēt vai pārdot savas preces vai pakalpojumus</w:t>
            </w:r>
          </w:p>
        </w:tc>
        <w:tc>
          <w:tcPr>
            <w:tcW w:w="2266" w:type="dxa"/>
          </w:tcPr>
          <w:p w14:paraId="7104AEB2" w14:textId="05DC230D" w:rsidR="00612B4B" w:rsidRDefault="009224D0" w:rsidP="004D11C9">
            <w:pPr>
              <w:jc w:val="both"/>
              <w:rPr>
                <w:rFonts w:ascii="Times New Roman" w:eastAsia="Arial" w:hAnsi="Times New Roman" w:cs="Arial"/>
                <w:noProof/>
                <w:sz w:val="24"/>
                <w:szCs w:val="15"/>
              </w:rPr>
            </w:pPr>
            <w:r>
              <w:rPr>
                <w:rFonts w:ascii="Times New Roman" w:hAnsi="Times New Roman"/>
                <w:sz w:val="24"/>
              </w:rPr>
              <w:t>Patērētājiem paredzētajās farmaceitisko līdzekļu reklāmās ir jāiekļauj brīdinājumi par iespējamajām nevēlamajām pacientu reakcijām.</w:t>
            </w:r>
          </w:p>
        </w:tc>
        <w:tc>
          <w:tcPr>
            <w:tcW w:w="2266" w:type="dxa"/>
          </w:tcPr>
          <w:p w14:paraId="5BAED873" w14:textId="69B24FA1" w:rsidR="00612B4B" w:rsidRDefault="009224D0" w:rsidP="004D11C9">
            <w:pPr>
              <w:jc w:val="both"/>
              <w:rPr>
                <w:rFonts w:ascii="Times New Roman" w:eastAsia="Arial" w:hAnsi="Times New Roman" w:cs="Arial"/>
                <w:noProof/>
                <w:sz w:val="24"/>
                <w:szCs w:val="15"/>
              </w:rPr>
            </w:pPr>
            <w:r>
              <w:rPr>
                <w:rFonts w:ascii="Times New Roman" w:hAnsi="Times New Roman"/>
                <w:sz w:val="24"/>
              </w:rPr>
              <w:t>Nosaka reklamēšanas prasības, kas var samazināt patērētāju pieprasījumu pēc farmaceitiskajiem līdzekļiem.</w:t>
            </w:r>
          </w:p>
        </w:tc>
      </w:tr>
      <w:tr w:rsidR="00612B4B" w14:paraId="1C3E5E72" w14:textId="77777777" w:rsidTr="00A0283B">
        <w:tc>
          <w:tcPr>
            <w:tcW w:w="2265" w:type="dxa"/>
            <w:vMerge/>
          </w:tcPr>
          <w:p w14:paraId="294D3A75" w14:textId="77777777" w:rsidR="00612B4B" w:rsidRDefault="00612B4B" w:rsidP="004D11C9">
            <w:pPr>
              <w:jc w:val="both"/>
              <w:rPr>
                <w:rFonts w:ascii="Times New Roman" w:eastAsia="Arial" w:hAnsi="Times New Roman" w:cs="Arial"/>
                <w:noProof/>
                <w:sz w:val="24"/>
                <w:szCs w:val="15"/>
              </w:rPr>
            </w:pPr>
          </w:p>
        </w:tc>
        <w:tc>
          <w:tcPr>
            <w:tcW w:w="2265" w:type="dxa"/>
            <w:vMerge/>
          </w:tcPr>
          <w:p w14:paraId="12C86775" w14:textId="77777777" w:rsidR="00612B4B" w:rsidRDefault="00612B4B" w:rsidP="004D11C9">
            <w:pPr>
              <w:jc w:val="both"/>
              <w:rPr>
                <w:rFonts w:ascii="Times New Roman" w:eastAsia="Arial" w:hAnsi="Times New Roman" w:cs="Arial"/>
                <w:noProof/>
                <w:sz w:val="24"/>
                <w:szCs w:val="15"/>
              </w:rPr>
            </w:pPr>
          </w:p>
        </w:tc>
        <w:tc>
          <w:tcPr>
            <w:tcW w:w="2266" w:type="dxa"/>
          </w:tcPr>
          <w:p w14:paraId="2D35BBE3" w14:textId="6ED452A5" w:rsidR="00612B4B" w:rsidRDefault="009224D0" w:rsidP="004D11C9">
            <w:pPr>
              <w:jc w:val="both"/>
              <w:rPr>
                <w:rFonts w:ascii="Times New Roman" w:eastAsia="Arial" w:hAnsi="Times New Roman" w:cs="Arial"/>
                <w:noProof/>
                <w:sz w:val="24"/>
                <w:szCs w:val="15"/>
              </w:rPr>
            </w:pPr>
            <w:r>
              <w:rPr>
                <w:rFonts w:ascii="Times New Roman" w:hAnsi="Times New Roman"/>
                <w:i/>
                <w:sz w:val="24"/>
              </w:rPr>
              <w:t>NPIP</w:t>
            </w:r>
            <w:r>
              <w:rPr>
                <w:rFonts w:ascii="Times New Roman" w:hAnsi="Times New Roman"/>
                <w:sz w:val="24"/>
              </w:rPr>
              <w:t xml:space="preserve"> ietvaros pacientiem ir jāsedz tikai neliela daļa no farmaceitisko līdzekļu izmaksām.</w:t>
            </w:r>
          </w:p>
        </w:tc>
        <w:tc>
          <w:tcPr>
            <w:tcW w:w="2266" w:type="dxa"/>
          </w:tcPr>
          <w:p w14:paraId="0175B8C7" w14:textId="2E09042B" w:rsidR="00612B4B" w:rsidRDefault="009224D0" w:rsidP="004D11C9">
            <w:pPr>
              <w:jc w:val="both"/>
              <w:rPr>
                <w:rFonts w:ascii="Times New Roman" w:eastAsia="Arial" w:hAnsi="Times New Roman" w:cs="Arial"/>
                <w:noProof/>
                <w:sz w:val="24"/>
                <w:szCs w:val="15"/>
              </w:rPr>
            </w:pPr>
            <w:r>
              <w:rPr>
                <w:rFonts w:ascii="Times New Roman" w:hAnsi="Times New Roman"/>
                <w:sz w:val="24"/>
              </w:rPr>
              <w:t>Ierobežo zemo cenu kā pieprasījuma pēc farmaceitiskajiem produktiem palielināšanas līdzekļa efektivitāti, jo pacienti sedz tikai nelielu izmaksu daļu.</w:t>
            </w:r>
          </w:p>
        </w:tc>
      </w:tr>
      <w:tr w:rsidR="00FD7C49" w14:paraId="6149974B" w14:textId="77777777" w:rsidTr="00121F0E">
        <w:tc>
          <w:tcPr>
            <w:tcW w:w="2265" w:type="dxa"/>
            <w:vAlign w:val="center"/>
          </w:tcPr>
          <w:p w14:paraId="56B7519A" w14:textId="09486B3B" w:rsidR="00FD7C49" w:rsidRDefault="00E92E44" w:rsidP="00121F0E">
            <w:pPr>
              <w:rPr>
                <w:rFonts w:ascii="Times New Roman" w:eastAsia="Arial" w:hAnsi="Times New Roman" w:cs="Arial"/>
                <w:noProof/>
                <w:sz w:val="24"/>
                <w:szCs w:val="15"/>
              </w:rPr>
            </w:pPr>
            <w:r>
              <w:rPr>
                <w:rFonts w:ascii="Times New Roman" w:hAnsi="Times New Roman"/>
                <w:sz w:val="24"/>
              </w:rPr>
              <w:t>C. Mazina piegādātājiem stimulu konkurēt</w:t>
            </w:r>
          </w:p>
        </w:tc>
        <w:tc>
          <w:tcPr>
            <w:tcW w:w="2265" w:type="dxa"/>
            <w:vAlign w:val="center"/>
          </w:tcPr>
          <w:p w14:paraId="51C259F6" w14:textId="0B125FB8" w:rsidR="00FD7C49" w:rsidRDefault="00E92E44" w:rsidP="00121F0E">
            <w:pPr>
              <w:rPr>
                <w:rFonts w:ascii="Times New Roman" w:eastAsia="Arial" w:hAnsi="Times New Roman" w:cs="Arial"/>
                <w:noProof/>
                <w:sz w:val="24"/>
                <w:szCs w:val="15"/>
              </w:rPr>
            </w:pPr>
            <w:r>
              <w:rPr>
                <w:rFonts w:ascii="Times New Roman" w:hAnsi="Times New Roman"/>
                <w:sz w:val="24"/>
              </w:rPr>
              <w:t>Prasa vai mudina publicēt informāciju par piegādātāja produkciju, cenām, noietu vai izmaksām</w:t>
            </w:r>
          </w:p>
        </w:tc>
        <w:tc>
          <w:tcPr>
            <w:tcW w:w="2266" w:type="dxa"/>
          </w:tcPr>
          <w:p w14:paraId="2802041E" w14:textId="543A1A07" w:rsidR="00FD7C49" w:rsidRDefault="00E92E44" w:rsidP="004D11C9">
            <w:pPr>
              <w:jc w:val="both"/>
              <w:rPr>
                <w:rFonts w:ascii="Times New Roman" w:eastAsia="Arial" w:hAnsi="Times New Roman" w:cs="Arial"/>
                <w:noProof/>
                <w:sz w:val="24"/>
                <w:szCs w:val="15"/>
              </w:rPr>
            </w:pPr>
            <w:r>
              <w:rPr>
                <w:rFonts w:ascii="Times New Roman" w:hAnsi="Times New Roman"/>
                <w:sz w:val="24"/>
              </w:rPr>
              <w:t>Visas farmaceitisko produktu cenrādī norādītās cenas ir publicētas valsts izsniedzamo zāļu sarakstā.</w:t>
            </w:r>
          </w:p>
        </w:tc>
        <w:tc>
          <w:tcPr>
            <w:tcW w:w="2266" w:type="dxa"/>
          </w:tcPr>
          <w:p w14:paraId="7064ACE4" w14:textId="600FD990" w:rsidR="00FD7C49" w:rsidRDefault="00E92E44" w:rsidP="004D11C9">
            <w:pPr>
              <w:jc w:val="both"/>
              <w:rPr>
                <w:rFonts w:ascii="Times New Roman" w:eastAsia="Arial" w:hAnsi="Times New Roman" w:cs="Arial"/>
                <w:noProof/>
                <w:sz w:val="24"/>
                <w:szCs w:val="15"/>
              </w:rPr>
            </w:pPr>
            <w:r>
              <w:rPr>
                <w:rFonts w:ascii="Times New Roman" w:hAnsi="Times New Roman"/>
                <w:sz w:val="24"/>
              </w:rPr>
              <w:t>Publisko informāciju par cenām, kas var sekmēt cenu saskaņošanu.</w:t>
            </w:r>
          </w:p>
        </w:tc>
      </w:tr>
      <w:tr w:rsidR="00E92E44" w14:paraId="53ABAD6A" w14:textId="77777777" w:rsidTr="00121F0E">
        <w:tc>
          <w:tcPr>
            <w:tcW w:w="2265" w:type="dxa"/>
            <w:vMerge w:val="restart"/>
            <w:vAlign w:val="center"/>
          </w:tcPr>
          <w:p w14:paraId="37636C6E" w14:textId="5BAA15B9" w:rsidR="00E92E44" w:rsidRDefault="00E92E44" w:rsidP="00121F0E">
            <w:pPr>
              <w:rPr>
                <w:rFonts w:ascii="Times New Roman" w:eastAsia="Arial" w:hAnsi="Times New Roman" w:cs="Arial"/>
                <w:noProof/>
                <w:sz w:val="24"/>
                <w:szCs w:val="15"/>
              </w:rPr>
            </w:pPr>
            <w:r>
              <w:rPr>
                <w:rFonts w:ascii="Times New Roman" w:hAnsi="Times New Roman"/>
                <w:sz w:val="24"/>
              </w:rPr>
              <w:t>D. Ierobežo pircējiem pieejamo izvēli un informāciju</w:t>
            </w:r>
          </w:p>
        </w:tc>
        <w:tc>
          <w:tcPr>
            <w:tcW w:w="2265" w:type="dxa"/>
            <w:vMerge w:val="restart"/>
            <w:vAlign w:val="center"/>
          </w:tcPr>
          <w:p w14:paraId="7C437A7E" w14:textId="1B414066" w:rsidR="00E92E44" w:rsidRDefault="00E92E44" w:rsidP="00121F0E">
            <w:pPr>
              <w:rPr>
                <w:rFonts w:ascii="Times New Roman" w:eastAsia="Arial" w:hAnsi="Times New Roman" w:cs="Arial"/>
                <w:noProof/>
                <w:sz w:val="24"/>
                <w:szCs w:val="15"/>
              </w:rPr>
            </w:pPr>
            <w:r>
              <w:rPr>
                <w:rFonts w:ascii="Times New Roman" w:hAnsi="Times New Roman"/>
                <w:sz w:val="24"/>
              </w:rPr>
              <w:t>Ierobežo patērētāju iespējas izvēlēties, kur iepirkties</w:t>
            </w:r>
          </w:p>
        </w:tc>
        <w:tc>
          <w:tcPr>
            <w:tcW w:w="2266" w:type="dxa"/>
          </w:tcPr>
          <w:p w14:paraId="43BF3F5D" w14:textId="6628428F" w:rsidR="00E92E44" w:rsidRDefault="00E92E44" w:rsidP="004D11C9">
            <w:pPr>
              <w:jc w:val="both"/>
              <w:rPr>
                <w:rFonts w:ascii="Times New Roman" w:eastAsia="Arial" w:hAnsi="Times New Roman" w:cs="Arial"/>
                <w:noProof/>
                <w:sz w:val="24"/>
                <w:szCs w:val="15"/>
              </w:rPr>
            </w:pPr>
            <w:r>
              <w:rPr>
                <w:rFonts w:ascii="Times New Roman" w:hAnsi="Times New Roman"/>
                <w:sz w:val="24"/>
              </w:rPr>
              <w:t xml:space="preserve">Pacientiem ir jāsedz visas izmaksas, kas saistītas ar farmaceitiskajiem līdzekļiem, kuri ir iekļauti valsts izsniedzamo zāļu sarakstā, bet nav iekļauti </w:t>
            </w:r>
            <w:r>
              <w:rPr>
                <w:rFonts w:ascii="Times New Roman" w:hAnsi="Times New Roman"/>
                <w:i/>
                <w:sz w:val="24"/>
              </w:rPr>
              <w:t>NPIP</w:t>
            </w:r>
            <w:r>
              <w:rPr>
                <w:rFonts w:ascii="Times New Roman" w:hAnsi="Times New Roman"/>
                <w:sz w:val="24"/>
              </w:rPr>
              <w:t xml:space="preserve"> izsniedzamo zāļu sarakstā.</w:t>
            </w:r>
          </w:p>
        </w:tc>
        <w:tc>
          <w:tcPr>
            <w:tcW w:w="2266" w:type="dxa"/>
          </w:tcPr>
          <w:p w14:paraId="1AEEBBEA" w14:textId="2259D68A" w:rsidR="00E92E44" w:rsidRDefault="00E92E44" w:rsidP="004D11C9">
            <w:pPr>
              <w:jc w:val="both"/>
              <w:rPr>
                <w:rFonts w:ascii="Times New Roman" w:eastAsia="Arial" w:hAnsi="Times New Roman" w:cs="Arial"/>
                <w:noProof/>
                <w:sz w:val="24"/>
                <w:szCs w:val="15"/>
              </w:rPr>
            </w:pPr>
            <w:r>
              <w:rPr>
                <w:rFonts w:ascii="Times New Roman" w:hAnsi="Times New Roman"/>
                <w:sz w:val="24"/>
              </w:rPr>
              <w:t>Var ierobežot izvēli, pieprasot pacientiem maksāt pilnu cenu par atsevišķiem farmaceitiskajiem līdzekļiem, bet ne par citiem farmaceitiskajiem līdzekļiem, ko var izmantot slimības ārstēšanai.</w:t>
            </w:r>
          </w:p>
        </w:tc>
      </w:tr>
      <w:tr w:rsidR="00E92E44" w14:paraId="039D5841" w14:textId="77777777" w:rsidTr="00A0283B">
        <w:tc>
          <w:tcPr>
            <w:tcW w:w="2265" w:type="dxa"/>
            <w:vMerge/>
          </w:tcPr>
          <w:p w14:paraId="48FA80FE" w14:textId="77777777" w:rsidR="00E92E44" w:rsidRDefault="00E92E44" w:rsidP="004D11C9">
            <w:pPr>
              <w:jc w:val="both"/>
              <w:rPr>
                <w:rFonts w:ascii="Times New Roman" w:eastAsia="Arial" w:hAnsi="Times New Roman" w:cs="Arial"/>
                <w:noProof/>
                <w:sz w:val="24"/>
                <w:szCs w:val="15"/>
              </w:rPr>
            </w:pPr>
          </w:p>
        </w:tc>
        <w:tc>
          <w:tcPr>
            <w:tcW w:w="2265" w:type="dxa"/>
            <w:vMerge/>
          </w:tcPr>
          <w:p w14:paraId="4D337C9F" w14:textId="77777777" w:rsidR="00E92E44" w:rsidRDefault="00E92E44" w:rsidP="004D11C9">
            <w:pPr>
              <w:jc w:val="both"/>
              <w:rPr>
                <w:rFonts w:ascii="Times New Roman" w:eastAsia="Arial" w:hAnsi="Times New Roman" w:cs="Arial"/>
                <w:noProof/>
                <w:sz w:val="24"/>
                <w:szCs w:val="15"/>
              </w:rPr>
            </w:pPr>
          </w:p>
        </w:tc>
        <w:tc>
          <w:tcPr>
            <w:tcW w:w="2266" w:type="dxa"/>
          </w:tcPr>
          <w:p w14:paraId="4B40AC43" w14:textId="2CBC0EBC" w:rsidR="00E92E44" w:rsidRDefault="00E92E44" w:rsidP="004D11C9">
            <w:pPr>
              <w:jc w:val="both"/>
              <w:rPr>
                <w:rFonts w:ascii="Times New Roman" w:eastAsia="Arial" w:hAnsi="Times New Roman" w:cs="Arial"/>
                <w:noProof/>
                <w:sz w:val="24"/>
                <w:szCs w:val="15"/>
              </w:rPr>
            </w:pPr>
            <w:r>
              <w:rPr>
                <w:rFonts w:ascii="Times New Roman" w:hAnsi="Times New Roman"/>
                <w:sz w:val="24"/>
              </w:rPr>
              <w:t xml:space="preserve">Saskaņā ar </w:t>
            </w:r>
            <w:r>
              <w:rPr>
                <w:rFonts w:ascii="Times New Roman" w:hAnsi="Times New Roman"/>
                <w:i/>
                <w:sz w:val="24"/>
              </w:rPr>
              <w:t>NPP</w:t>
            </w:r>
            <w:r>
              <w:rPr>
                <w:rFonts w:ascii="Times New Roman" w:hAnsi="Times New Roman"/>
                <w:sz w:val="24"/>
              </w:rPr>
              <w:t xml:space="preserve"> kompensācijas politiku tad, ja tiek parakstītas ģeneriskās zāles, farmaceita summa, par ko ir izrakstīts rēķins </w:t>
            </w:r>
            <w:r>
              <w:rPr>
                <w:rFonts w:ascii="Times New Roman" w:hAnsi="Times New Roman"/>
                <w:i/>
                <w:sz w:val="24"/>
              </w:rPr>
              <w:t>NPIP</w:t>
            </w:r>
            <w:r>
              <w:rPr>
                <w:rFonts w:ascii="Times New Roman" w:hAnsi="Times New Roman"/>
                <w:sz w:val="24"/>
              </w:rPr>
              <w:t xml:space="preserve">, nevar būt lielāka par to lētāko savstarpēji </w:t>
            </w:r>
            <w:r>
              <w:rPr>
                <w:rFonts w:ascii="Times New Roman" w:hAnsi="Times New Roman"/>
                <w:sz w:val="24"/>
              </w:rPr>
              <w:lastRenderedPageBreak/>
              <w:t>aizvietojamo ģenerisko zāļu cenu, kas ir iekļautas valsts izsniedzamo zāļu sarakstā.</w:t>
            </w:r>
          </w:p>
        </w:tc>
        <w:tc>
          <w:tcPr>
            <w:tcW w:w="2266" w:type="dxa"/>
          </w:tcPr>
          <w:p w14:paraId="0B1D71A4" w14:textId="162B8722" w:rsidR="00E92E44" w:rsidRDefault="00E92E44" w:rsidP="004D11C9">
            <w:pPr>
              <w:jc w:val="both"/>
              <w:rPr>
                <w:rFonts w:ascii="Times New Roman" w:eastAsia="Arial" w:hAnsi="Times New Roman" w:cs="Arial"/>
                <w:noProof/>
                <w:sz w:val="24"/>
                <w:szCs w:val="15"/>
              </w:rPr>
            </w:pPr>
            <w:r>
              <w:rPr>
                <w:rFonts w:ascii="Times New Roman" w:hAnsi="Times New Roman"/>
                <w:sz w:val="24"/>
              </w:rPr>
              <w:lastRenderedPageBreak/>
              <w:t>Var ierobežot farmaceitiem iegādājamo ģenerisko zāļu izvēli, radot stimulu iegādāties lētākās izsniedzamo zāļu sarakstā iekļautās ģeneriskās zāles.</w:t>
            </w:r>
          </w:p>
        </w:tc>
      </w:tr>
    </w:tbl>
    <w:p w14:paraId="46ABFD21" w14:textId="5F24153A" w:rsidR="000A6469" w:rsidRDefault="000A6469" w:rsidP="004D11C9">
      <w:pPr>
        <w:jc w:val="both"/>
        <w:rPr>
          <w:rFonts w:ascii="Times New Roman" w:eastAsia="Arial" w:hAnsi="Times New Roman" w:cs="Arial"/>
          <w:noProof/>
          <w:sz w:val="24"/>
          <w:szCs w:val="15"/>
        </w:rPr>
      </w:pPr>
    </w:p>
    <w:p w14:paraId="7476C660" w14:textId="08E92032" w:rsidR="00E92E44" w:rsidRDefault="00E92E44">
      <w:pPr>
        <w:rPr>
          <w:rFonts w:ascii="Times New Roman" w:hAnsi="Times New Roman"/>
          <w:noProof/>
          <w:sz w:val="24"/>
        </w:rPr>
      </w:pPr>
      <w:r>
        <w:br w:type="page"/>
      </w:r>
    </w:p>
    <w:p w14:paraId="68FA69A5" w14:textId="77777777" w:rsidR="000A6469" w:rsidRPr="004D11C9" w:rsidRDefault="000A6469" w:rsidP="004D11C9">
      <w:pPr>
        <w:jc w:val="both"/>
        <w:rPr>
          <w:rFonts w:ascii="Times New Roman" w:eastAsia="Arial" w:hAnsi="Times New Roman" w:cs="Arial"/>
          <w:noProof/>
          <w:sz w:val="24"/>
          <w:szCs w:val="29"/>
        </w:rPr>
      </w:pPr>
    </w:p>
    <w:p w14:paraId="34C0BD66" w14:textId="680C2E8C" w:rsidR="000A6469" w:rsidRPr="004D11C9" w:rsidRDefault="000A6469" w:rsidP="00F4401E">
      <w:pPr>
        <w:pStyle w:val="Heading1"/>
        <w:spacing w:before="0"/>
        <w:ind w:left="0"/>
        <w:jc w:val="both"/>
        <w:rPr>
          <w:rFonts w:ascii="Times New Roman" w:hAnsi="Times New Roman"/>
          <w:noProof/>
          <w:sz w:val="24"/>
        </w:rPr>
      </w:pPr>
      <w:bookmarkStart w:id="70" w:name="Chapter_4_Examination_of_potential_restr"/>
      <w:bookmarkStart w:id="71" w:name="_bookmark46"/>
      <w:bookmarkStart w:id="72" w:name="_Toc62650474"/>
      <w:bookmarkEnd w:id="70"/>
      <w:bookmarkEnd w:id="71"/>
      <w:r w:rsidRPr="00121F0E">
        <w:rPr>
          <w:rFonts w:ascii="Times New Roman" w:hAnsi="Times New Roman"/>
          <w:sz w:val="28"/>
          <w:szCs w:val="56"/>
        </w:rPr>
        <w:t>4. nodaļa</w:t>
      </w:r>
      <w:r w:rsidR="00F4401E">
        <w:rPr>
          <w:rFonts w:ascii="Times New Roman" w:hAnsi="Times New Roman"/>
          <w:sz w:val="24"/>
        </w:rPr>
        <w:br/>
      </w:r>
      <w:r>
        <w:rPr>
          <w:rFonts w:ascii="Times New Roman" w:hAnsi="Times New Roman"/>
          <w:sz w:val="24"/>
        </w:rPr>
        <w:t>Iespējamo ierobežojumu izskatīšana</w:t>
      </w:r>
      <w:bookmarkEnd w:id="72"/>
    </w:p>
    <w:p w14:paraId="612EC1A0" w14:textId="77777777" w:rsidR="000A6469" w:rsidRPr="004D11C9" w:rsidRDefault="000A6469" w:rsidP="004D11C9">
      <w:pPr>
        <w:jc w:val="both"/>
        <w:rPr>
          <w:rFonts w:ascii="Times New Roman" w:eastAsia="Arial" w:hAnsi="Times New Roman" w:cs="Arial"/>
          <w:b/>
          <w:bCs/>
          <w:noProof/>
          <w:sz w:val="24"/>
          <w:szCs w:val="36"/>
        </w:rPr>
      </w:pPr>
    </w:p>
    <w:p w14:paraId="59C71394"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Lai gan ar konkurences novērtēšanas pārbaudes lapu ir iespējams identificēt tos noteikumus, kas var ierobežot vai kropļot konkurenci, tā ne vienmēr atspoguļo šo ierobežojumu pakāpi vai labākā politikas risinājuma noteikšanai nepieciešamās analīzes līmeni. Lai arī daudzos gadījumos ierosinātais pasākums var izraisīt “jā” atbildi pārbaudes lapā, tam var būt ierobežots pret konkurenci vērstas ietekmes potenciāls.</w:t>
      </w:r>
    </w:p>
    <w:p w14:paraId="454709A7" w14:textId="77777777" w:rsidR="000A6469" w:rsidRPr="004D11C9" w:rsidRDefault="000A6469" w:rsidP="004D11C9">
      <w:pPr>
        <w:jc w:val="both"/>
        <w:rPr>
          <w:rFonts w:ascii="Times New Roman" w:eastAsia="Arial" w:hAnsi="Times New Roman" w:cs="Arial"/>
          <w:noProof/>
          <w:sz w:val="24"/>
          <w:szCs w:val="17"/>
        </w:rPr>
      </w:pPr>
    </w:p>
    <w:p w14:paraId="514A334B"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Kad ir konstatēts iespējamais konkurences ierobežojums, var veikt sākotnējo novērtējumu, lai noteiktu, vai ir nepieciešams detalizētāks ietekmes uz konkurenci novērtējums. Lai gan tam var nebūt nepieciešamas padziļinātas zināšanas par konkrēto tirgu, parasti būs nepieciešamas noteiktas zināšanas par šiem tirgiem un tirgus kontaktiem. Daudzu ierobežojumu pilno ietekmi nav iespējams noteikt, lasot vien attiecīgos noteikumus. Pat šķietami </w:t>
      </w:r>
      <w:r>
        <w:rPr>
          <w:rFonts w:ascii="Times New Roman" w:hAnsi="Times New Roman"/>
          <w:i/>
          <w:sz w:val="24"/>
        </w:rPr>
        <w:t xml:space="preserve">de minimis </w:t>
      </w:r>
      <w:r>
        <w:rPr>
          <w:rFonts w:ascii="Times New Roman" w:hAnsi="Times New Roman"/>
          <w:sz w:val="24"/>
        </w:rPr>
        <w:t>noteikumiem (piemēram, zema piesārņojuma automobiļu degvielas ražošanas standartiem vai pārtikas produktu uzglabāšanas laikam) var būt liela un neparedzama ietekme uz konkurenci.</w:t>
      </w:r>
    </w:p>
    <w:p w14:paraId="269EA61B" w14:textId="77777777" w:rsidR="000A6469" w:rsidRPr="004D11C9" w:rsidRDefault="000A6469" w:rsidP="004D11C9">
      <w:pPr>
        <w:jc w:val="both"/>
        <w:rPr>
          <w:rFonts w:ascii="Times New Roman" w:hAnsi="Times New Roman"/>
          <w:noProof/>
          <w:sz w:val="24"/>
        </w:rPr>
      </w:pPr>
    </w:p>
    <w:p w14:paraId="2F5715D4"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Bieži vien lielu daļu informācijas, kas nepieciešama sākotnējam konkurences novērtējumam, piemēram, produktu piegādātāju vai patērētāju identitāte un ietekmētais komercdarbības apjoms, var iegūt saistībā ar citām regulatīvās ietekmes novērtējumu veikšanas prasībām. Arī attiecīgajā nozarē vai politikas jomā iesaistītās amatpersonas, strādājot šajā nozarē vai politikas jomā, var būt ieguvušas informāciju par tirgiem, kuru var izmantot, lai novērtētu, vai ierosinātais regulējums spēj būtiski ietekmēt konkurenci. Sākotnējie kontakti ar uzņēmumiem, patērētājiem vai citiem, ko skar ierobežojums, var būt līdzeklis konkurences ierobežojuma iespējamās ietekmes sākotnējai novērtēšanai.</w:t>
      </w:r>
    </w:p>
    <w:p w14:paraId="3AED2C73" w14:textId="77777777" w:rsidR="000A6469" w:rsidRPr="004D11C9" w:rsidRDefault="000A6469" w:rsidP="004D11C9">
      <w:pPr>
        <w:jc w:val="both"/>
        <w:rPr>
          <w:rFonts w:ascii="Times New Roman" w:eastAsia="Arial" w:hAnsi="Times New Roman" w:cs="Arial"/>
          <w:noProof/>
          <w:sz w:val="24"/>
          <w:szCs w:val="20"/>
        </w:rPr>
      </w:pPr>
    </w:p>
    <w:p w14:paraId="6CDCA8EB" w14:textId="0575440D"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Ārējās speciālās zināšanas par nozari vai ekonomiku var noderēt pat sākotnējā novērtējuma veikšanai. Šādas speciālās zināšanas var būt svarīgas, piemēram, izvērtējot konkurentu apgalvojumus par to, ka ierosinātais regulējums viņus būtiski ietekmēs vai neietekmēs, vai nosakot galvenos konkurences aspektus attiecīgajā tirgū. Ārējās speciālās zināšanas var būt īpaši noderīgas sākotnējai novērtēšanai gadījumos, kad amatpersonām, kas ierosina regulējumu, parastajā darba procesā nav pienākuma iepazīties ar tirgiem, ko skar ierosinātais regulējums.</w:t>
      </w:r>
    </w:p>
    <w:p w14:paraId="684935FB" w14:textId="77777777" w:rsidR="000A6469" w:rsidRPr="004D11C9" w:rsidRDefault="000A6469" w:rsidP="004D11C9">
      <w:pPr>
        <w:jc w:val="both"/>
        <w:rPr>
          <w:rFonts w:ascii="Times New Roman" w:eastAsia="Arial" w:hAnsi="Times New Roman" w:cs="Arial"/>
          <w:noProof/>
          <w:sz w:val="24"/>
          <w:szCs w:val="21"/>
        </w:rPr>
      </w:pPr>
    </w:p>
    <w:p w14:paraId="5BA8CCB4" w14:textId="55B3E0D1" w:rsidR="000A6469" w:rsidRPr="004D11C9" w:rsidRDefault="00E92E44" w:rsidP="00E92E44">
      <w:pPr>
        <w:pStyle w:val="Heading3"/>
        <w:tabs>
          <w:tab w:val="left" w:pos="401"/>
        </w:tabs>
        <w:ind w:left="0"/>
        <w:jc w:val="both"/>
        <w:rPr>
          <w:rFonts w:ascii="Times New Roman" w:hAnsi="Times New Roman"/>
          <w:noProof/>
          <w:sz w:val="24"/>
        </w:rPr>
      </w:pPr>
      <w:bookmarkStart w:id="73" w:name="1._Indicators_of_need_for_in-depth_analy"/>
      <w:bookmarkStart w:id="74" w:name="_bookmark47"/>
      <w:bookmarkStart w:id="75" w:name="_Toc62650475"/>
      <w:bookmarkEnd w:id="73"/>
      <w:bookmarkEnd w:id="74"/>
      <w:r>
        <w:rPr>
          <w:rFonts w:ascii="Times New Roman" w:hAnsi="Times New Roman"/>
          <w:sz w:val="24"/>
        </w:rPr>
        <w:t>1. Rādītāji, kas liecina par padziļinātas analīzes nepieciešamību</w:t>
      </w:r>
      <w:bookmarkEnd w:id="75"/>
    </w:p>
    <w:p w14:paraId="75C1EC28" w14:textId="77777777" w:rsidR="000A6469" w:rsidRPr="004D11C9" w:rsidRDefault="000A6469" w:rsidP="004D11C9">
      <w:pPr>
        <w:jc w:val="both"/>
        <w:rPr>
          <w:rFonts w:ascii="Times New Roman" w:eastAsia="Arial" w:hAnsi="Times New Roman" w:cs="Arial"/>
          <w:b/>
          <w:bCs/>
          <w:noProof/>
          <w:sz w:val="24"/>
          <w:szCs w:val="21"/>
        </w:rPr>
      </w:pPr>
    </w:p>
    <w:p w14:paraId="2B8DA169"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Par padziļinātākas analīzes nepieciešamību liecina šādi rādītāji:</w:t>
      </w:r>
    </w:p>
    <w:p w14:paraId="7375FBC1" w14:textId="77777777" w:rsidR="000A6469" w:rsidRPr="004D11C9" w:rsidRDefault="000A6469" w:rsidP="004D11C9">
      <w:pPr>
        <w:jc w:val="both"/>
        <w:rPr>
          <w:rFonts w:ascii="Times New Roman" w:eastAsia="Arial" w:hAnsi="Times New Roman" w:cs="Arial"/>
          <w:noProof/>
          <w:sz w:val="24"/>
          <w:szCs w:val="20"/>
        </w:rPr>
      </w:pPr>
    </w:p>
    <w:p w14:paraId="10480750" w14:textId="77777777" w:rsidR="000A6469" w:rsidRPr="004D11C9" w:rsidRDefault="000A6469" w:rsidP="00E92E44">
      <w:pPr>
        <w:pStyle w:val="BodyText"/>
        <w:numPr>
          <w:ilvl w:val="2"/>
          <w:numId w:val="19"/>
        </w:numPr>
        <w:ind w:left="426" w:hanging="426"/>
        <w:jc w:val="both"/>
        <w:rPr>
          <w:rFonts w:ascii="Times New Roman" w:hAnsi="Times New Roman"/>
          <w:noProof/>
          <w:sz w:val="24"/>
        </w:rPr>
      </w:pPr>
      <w:r>
        <w:rPr>
          <w:rFonts w:ascii="Times New Roman" w:hAnsi="Times New Roman"/>
          <w:sz w:val="24"/>
        </w:rPr>
        <w:t>regulējums ietekmē tirgu vai tirgus ar lielu komercdarbības apjomu;</w:t>
      </w:r>
    </w:p>
    <w:p w14:paraId="364D46A1" w14:textId="77777777" w:rsidR="000A6469" w:rsidRPr="004D11C9" w:rsidRDefault="000A6469" w:rsidP="00E92E44">
      <w:pPr>
        <w:pStyle w:val="BodyText"/>
        <w:numPr>
          <w:ilvl w:val="2"/>
          <w:numId w:val="19"/>
        </w:numPr>
        <w:ind w:left="426" w:hanging="426"/>
        <w:jc w:val="both"/>
        <w:rPr>
          <w:rFonts w:ascii="Times New Roman" w:hAnsi="Times New Roman"/>
          <w:noProof/>
          <w:sz w:val="24"/>
        </w:rPr>
      </w:pPr>
      <w:r>
        <w:rPr>
          <w:rFonts w:ascii="Times New Roman" w:hAnsi="Times New Roman"/>
          <w:sz w:val="24"/>
        </w:rPr>
        <w:t>regulējums būtiski ietekmē svarīgu konkurences dimensiju, piemēram, inovāciju augsto tehnoloģiju tirgos vai konkurentu salīdzinošās izmaksas tirgos, kuros cena ir īpaši svarīgs konkurētspējas faktors;</w:t>
      </w:r>
    </w:p>
    <w:p w14:paraId="4D9B5BAA" w14:textId="77777777" w:rsidR="000A6469" w:rsidRPr="004D11C9" w:rsidRDefault="000A6469" w:rsidP="00E92E44">
      <w:pPr>
        <w:pStyle w:val="BodyText"/>
        <w:numPr>
          <w:ilvl w:val="2"/>
          <w:numId w:val="19"/>
        </w:numPr>
        <w:ind w:left="426" w:hanging="426"/>
        <w:jc w:val="both"/>
        <w:rPr>
          <w:rFonts w:ascii="Times New Roman" w:hAnsi="Times New Roman"/>
          <w:noProof/>
          <w:sz w:val="24"/>
        </w:rPr>
      </w:pPr>
      <w:r>
        <w:rPr>
          <w:rFonts w:ascii="Times New Roman" w:hAnsi="Times New Roman"/>
          <w:sz w:val="24"/>
        </w:rPr>
        <w:t>regulējums ierobežo viena piegādātāja vai piegādātāju apakšgrupas spēju konkurēt tirgos, kuros ir ierobežots konkurentu skaits;</w:t>
      </w:r>
    </w:p>
    <w:p w14:paraId="5C18660B" w14:textId="77777777" w:rsidR="000A6469" w:rsidRPr="004D11C9" w:rsidRDefault="000A6469" w:rsidP="00E92E44">
      <w:pPr>
        <w:pStyle w:val="BodyText"/>
        <w:numPr>
          <w:ilvl w:val="2"/>
          <w:numId w:val="19"/>
        </w:numPr>
        <w:ind w:left="426" w:hanging="426"/>
        <w:jc w:val="both"/>
        <w:rPr>
          <w:rFonts w:ascii="Times New Roman" w:hAnsi="Times New Roman"/>
          <w:noProof/>
          <w:sz w:val="24"/>
        </w:rPr>
      </w:pPr>
      <w:r>
        <w:rPr>
          <w:rFonts w:ascii="Times New Roman" w:hAnsi="Times New Roman"/>
          <w:sz w:val="24"/>
        </w:rPr>
        <w:t>regulējums rada būtiskas bažas dažiem konkurentiem, patērētājiem un citām skartajām pusēm vai</w:t>
      </w:r>
    </w:p>
    <w:p w14:paraId="2F0F934E" w14:textId="77777777" w:rsidR="000A6469" w:rsidRPr="004D11C9" w:rsidRDefault="000A6469" w:rsidP="00E92E44">
      <w:pPr>
        <w:pStyle w:val="BodyText"/>
        <w:numPr>
          <w:ilvl w:val="2"/>
          <w:numId w:val="19"/>
        </w:numPr>
        <w:ind w:left="426" w:hanging="426"/>
        <w:jc w:val="both"/>
        <w:rPr>
          <w:rFonts w:ascii="Times New Roman" w:hAnsi="Times New Roman"/>
          <w:noProof/>
          <w:sz w:val="24"/>
        </w:rPr>
      </w:pPr>
      <w:r>
        <w:rPr>
          <w:rFonts w:ascii="Times New Roman" w:hAnsi="Times New Roman"/>
          <w:sz w:val="24"/>
        </w:rPr>
        <w:t>regulējums īpaši skar agresīvu, novatorisku vai citādi unikālu konkurentu vai potenciālo jaunpienācēju.</w:t>
      </w:r>
    </w:p>
    <w:p w14:paraId="0392F2FA" w14:textId="77777777" w:rsidR="000A6469" w:rsidRPr="004D11C9" w:rsidRDefault="000A6469" w:rsidP="004D11C9">
      <w:pPr>
        <w:jc w:val="both"/>
        <w:rPr>
          <w:rFonts w:ascii="Times New Roman" w:eastAsia="Arial" w:hAnsi="Times New Roman" w:cs="Arial"/>
          <w:noProof/>
          <w:sz w:val="24"/>
          <w:szCs w:val="21"/>
        </w:rPr>
      </w:pPr>
    </w:p>
    <w:p w14:paraId="378019EB" w14:textId="09033D74" w:rsidR="000A6469" w:rsidRPr="004D11C9" w:rsidRDefault="007E3D44" w:rsidP="007E3D44">
      <w:pPr>
        <w:pStyle w:val="Heading3"/>
        <w:tabs>
          <w:tab w:val="left" w:pos="401"/>
        </w:tabs>
        <w:ind w:left="0"/>
        <w:jc w:val="both"/>
        <w:rPr>
          <w:rFonts w:ascii="Times New Roman" w:hAnsi="Times New Roman"/>
          <w:noProof/>
          <w:sz w:val="24"/>
        </w:rPr>
      </w:pPr>
      <w:bookmarkStart w:id="76" w:name="2._Indicators_that_in-depth_analysis_is_"/>
      <w:bookmarkStart w:id="77" w:name="_bookmark48"/>
      <w:bookmarkStart w:id="78" w:name="_Toc62650476"/>
      <w:bookmarkEnd w:id="76"/>
      <w:bookmarkEnd w:id="77"/>
      <w:r>
        <w:rPr>
          <w:rFonts w:ascii="Times New Roman" w:hAnsi="Times New Roman"/>
          <w:sz w:val="24"/>
        </w:rPr>
        <w:lastRenderedPageBreak/>
        <w:t>2. Rādītāji, kas liecina par to, ka padziļināta analīze nav nepieciešama</w:t>
      </w:r>
      <w:bookmarkEnd w:id="78"/>
    </w:p>
    <w:p w14:paraId="486F0F95" w14:textId="77777777" w:rsidR="000A6469" w:rsidRPr="004D11C9" w:rsidRDefault="000A6469" w:rsidP="004D11C9">
      <w:pPr>
        <w:jc w:val="both"/>
        <w:rPr>
          <w:rFonts w:ascii="Times New Roman" w:eastAsia="Arial" w:hAnsi="Times New Roman" w:cs="Arial"/>
          <w:b/>
          <w:bCs/>
          <w:noProof/>
          <w:sz w:val="24"/>
          <w:szCs w:val="21"/>
        </w:rPr>
      </w:pPr>
    </w:p>
    <w:p w14:paraId="67B59E58"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Daudzos gadījumos var būt nepieciešama ierobežota konkurences analīze, jo attiecīgais konkurences ierobežojums ir neapšaubāmi nepieciešams vispārēja veselības aizsardzības, drošuma, drošības vai citas valsts politikas mērķa sasniegšanai. Lai noteiktu, vai ir nepieciešama padziļināta konkurences analīze, pārbaudes veicējam ir jāņem vērā fakts, ka pret konkurenci vērsti ierobežojumi var būt ierosināti ar apgalvojumu, ka tādējādi tiks sekmēti uzlabojumi veselības aizsardzības, drošuma vai citās politikas jomās, lai gan nozares patiesais mērķis ir samazināt konkurenci. Ja tiek veikta neliela padziļināta analīze, īpaši svarīga nozīme ir noteikumu ietekmes retrospektīvai pārbaudei. Piemēri, kad šāds gadījums var pastāvēt:</w:t>
      </w:r>
    </w:p>
    <w:p w14:paraId="3D88804B" w14:textId="77777777" w:rsidR="000A6469" w:rsidRPr="004D11C9" w:rsidRDefault="000A6469" w:rsidP="004D11C9">
      <w:pPr>
        <w:jc w:val="both"/>
        <w:rPr>
          <w:rFonts w:ascii="Times New Roman" w:eastAsia="Arial" w:hAnsi="Times New Roman" w:cs="Arial"/>
          <w:noProof/>
          <w:sz w:val="24"/>
          <w:szCs w:val="20"/>
        </w:rPr>
      </w:pPr>
    </w:p>
    <w:p w14:paraId="38AE8D6C" w14:textId="77777777" w:rsidR="000A6469" w:rsidRPr="004D11C9" w:rsidRDefault="000A6469" w:rsidP="007E3D44">
      <w:pPr>
        <w:pStyle w:val="BodyText"/>
        <w:numPr>
          <w:ilvl w:val="2"/>
          <w:numId w:val="19"/>
        </w:numPr>
        <w:ind w:left="426" w:hanging="426"/>
        <w:jc w:val="both"/>
        <w:rPr>
          <w:rFonts w:ascii="Times New Roman" w:hAnsi="Times New Roman"/>
          <w:noProof/>
          <w:sz w:val="24"/>
        </w:rPr>
      </w:pPr>
      <w:r>
        <w:rPr>
          <w:rFonts w:ascii="Times New Roman" w:hAnsi="Times New Roman"/>
          <w:sz w:val="24"/>
        </w:rPr>
        <w:t>tādu ķīmisko vielu vai produktu izmantošanas aizliegumi, kas nopietni apdraud veselību un drošību;</w:t>
      </w:r>
    </w:p>
    <w:p w14:paraId="3D4CF4E0" w14:textId="0C1B7A6A" w:rsidR="000A6469" w:rsidRPr="007E3D44" w:rsidRDefault="000A6469" w:rsidP="007E3D44">
      <w:pPr>
        <w:pStyle w:val="BodyText"/>
        <w:numPr>
          <w:ilvl w:val="2"/>
          <w:numId w:val="19"/>
        </w:numPr>
        <w:ind w:left="426" w:hanging="426"/>
        <w:jc w:val="both"/>
        <w:rPr>
          <w:rFonts w:ascii="Times New Roman" w:hAnsi="Times New Roman"/>
          <w:noProof/>
          <w:sz w:val="24"/>
        </w:rPr>
      </w:pPr>
      <w:r>
        <w:rPr>
          <w:rFonts w:ascii="Times New Roman" w:hAnsi="Times New Roman"/>
          <w:sz w:val="24"/>
        </w:rPr>
        <w:t>ierobežojumi attiecībā uz reklamēšanu mazāk aizsargātām grupām vai prasība sniegt reklāmā svarīgu veselības aizsardzības un drošības informāciju;</w:t>
      </w:r>
    </w:p>
    <w:p w14:paraId="4C5AFB0F" w14:textId="77777777" w:rsidR="000A6469" w:rsidRPr="004D11C9" w:rsidRDefault="000A6469" w:rsidP="007E3D44">
      <w:pPr>
        <w:pStyle w:val="BodyText"/>
        <w:numPr>
          <w:ilvl w:val="2"/>
          <w:numId w:val="19"/>
        </w:numPr>
        <w:ind w:left="426" w:hanging="426"/>
        <w:jc w:val="both"/>
        <w:rPr>
          <w:rFonts w:ascii="Times New Roman" w:hAnsi="Times New Roman"/>
          <w:noProof/>
          <w:sz w:val="24"/>
        </w:rPr>
      </w:pPr>
      <w:r>
        <w:rPr>
          <w:rFonts w:ascii="Times New Roman" w:hAnsi="Times New Roman"/>
          <w:sz w:val="24"/>
        </w:rPr>
        <w:t>ierobežojumi attiecībā uz to, kuri konkurenti var piegādāt preces un pakalpojumus, ja tas rada nopietnas valsts drošības problēmas, un</w:t>
      </w:r>
    </w:p>
    <w:p w14:paraId="595E4571" w14:textId="77777777" w:rsidR="000A6469" w:rsidRPr="004D11C9" w:rsidRDefault="000A6469" w:rsidP="007E3D44">
      <w:pPr>
        <w:pStyle w:val="BodyText"/>
        <w:numPr>
          <w:ilvl w:val="2"/>
          <w:numId w:val="19"/>
        </w:numPr>
        <w:ind w:left="426" w:hanging="426"/>
        <w:jc w:val="both"/>
        <w:rPr>
          <w:rFonts w:ascii="Times New Roman" w:hAnsi="Times New Roman"/>
          <w:noProof/>
          <w:sz w:val="24"/>
        </w:rPr>
      </w:pPr>
      <w:r>
        <w:rPr>
          <w:rFonts w:ascii="Times New Roman" w:hAnsi="Times New Roman"/>
          <w:sz w:val="24"/>
        </w:rPr>
        <w:t>bīstamu ražošanas metožu vai procesu aizliegumi vai tādu darba drošības standartu noteikšana, kas ir neapšaubāmi nepieciešami, lai aizsargātu darba ņēmēju vai patērētāju veselību un drošību, piemēram, vietās, kur notiek pārtikas apstrāde (restorānos, gaļas tirgotavās).</w:t>
      </w:r>
    </w:p>
    <w:p w14:paraId="109AD579" w14:textId="77777777" w:rsidR="000A6469" w:rsidRPr="004D11C9" w:rsidRDefault="000A6469" w:rsidP="004D11C9">
      <w:pPr>
        <w:jc w:val="both"/>
        <w:rPr>
          <w:rFonts w:ascii="Times New Roman" w:eastAsia="Arial" w:hAnsi="Times New Roman" w:cs="Arial"/>
          <w:noProof/>
          <w:sz w:val="24"/>
          <w:szCs w:val="20"/>
        </w:rPr>
      </w:pPr>
    </w:p>
    <w:p w14:paraId="1EFC3922"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Ierobežots konkurences novērtējums, visticamāk, būs nepieciešams arī tad, ja ir skaidrs, ka regulējumam ir minimāla potenciālā ietekme uz konkurenci. Piemēri, kad šāds gadījums var pastāvēt:</w:t>
      </w:r>
    </w:p>
    <w:p w14:paraId="4D288D57" w14:textId="77777777" w:rsidR="000A6469" w:rsidRPr="004D11C9" w:rsidRDefault="000A6469" w:rsidP="004D11C9">
      <w:pPr>
        <w:jc w:val="both"/>
        <w:rPr>
          <w:rFonts w:ascii="Times New Roman" w:hAnsi="Times New Roman"/>
          <w:noProof/>
          <w:sz w:val="24"/>
        </w:rPr>
      </w:pPr>
    </w:p>
    <w:p w14:paraId="27C32118" w14:textId="77777777" w:rsidR="000A6469" w:rsidRPr="004D11C9" w:rsidRDefault="000A6469" w:rsidP="007E3D44">
      <w:pPr>
        <w:pStyle w:val="BodyText"/>
        <w:numPr>
          <w:ilvl w:val="2"/>
          <w:numId w:val="19"/>
        </w:numPr>
        <w:ind w:left="426" w:hanging="426"/>
        <w:jc w:val="both"/>
        <w:rPr>
          <w:rFonts w:ascii="Times New Roman" w:hAnsi="Times New Roman"/>
          <w:noProof/>
          <w:sz w:val="24"/>
        </w:rPr>
      </w:pPr>
      <w:r>
        <w:rPr>
          <w:rFonts w:ascii="Times New Roman" w:hAnsi="Times New Roman"/>
          <w:sz w:val="24"/>
        </w:rPr>
        <w:t>licences prasība, ja prasība ir pamatota un nav faktiska licenču skaita ierobežojuma, licences cena (ja tāda tiek piemērota) ir samērīga ar izmaksām un jebkurš licences piešķiršanas atteikums ir jāpaskaidro rakstiski, norādot iemeslus, kādēļ konkrētais gadījums neatbilst publicētajiem licencēšanas kritērijiem;</w:t>
      </w:r>
    </w:p>
    <w:p w14:paraId="03D94B12" w14:textId="77777777" w:rsidR="000A6469" w:rsidRPr="004D11C9" w:rsidRDefault="000A6469" w:rsidP="007E3D44">
      <w:pPr>
        <w:pStyle w:val="BodyText"/>
        <w:numPr>
          <w:ilvl w:val="2"/>
          <w:numId w:val="19"/>
        </w:numPr>
        <w:ind w:left="426" w:hanging="426"/>
        <w:jc w:val="both"/>
        <w:rPr>
          <w:rFonts w:ascii="Times New Roman" w:hAnsi="Times New Roman"/>
          <w:noProof/>
          <w:sz w:val="24"/>
        </w:rPr>
      </w:pPr>
      <w:r>
        <w:rPr>
          <w:rFonts w:ascii="Times New Roman" w:hAnsi="Times New Roman"/>
          <w:sz w:val="24"/>
        </w:rPr>
        <w:t>regulējums, kas rada papildu izmaksas tikai nelielam piegādātāju skaitam (tomēr pamats bažām rastos tad, ja šie konkurenti būtu īpaši inovatīvi vai efektīvi) tirgū ar daudziem konkurentiem;</w:t>
      </w:r>
    </w:p>
    <w:p w14:paraId="4221B19A" w14:textId="77777777" w:rsidR="000A6469" w:rsidRPr="004D11C9" w:rsidRDefault="000A6469" w:rsidP="007E3D44">
      <w:pPr>
        <w:pStyle w:val="BodyText"/>
        <w:numPr>
          <w:ilvl w:val="2"/>
          <w:numId w:val="19"/>
        </w:numPr>
        <w:ind w:left="426" w:hanging="426"/>
        <w:jc w:val="both"/>
        <w:rPr>
          <w:rFonts w:ascii="Times New Roman" w:hAnsi="Times New Roman"/>
          <w:noProof/>
          <w:sz w:val="24"/>
        </w:rPr>
      </w:pPr>
      <w:r>
        <w:rPr>
          <w:rFonts w:ascii="Times New Roman" w:hAnsi="Times New Roman"/>
          <w:sz w:val="24"/>
        </w:rPr>
        <w:t>netiktu būtiski ietekmētas potenciālo konkurentu iespējas ieiet tirgū vai efektīvi konkurēt;</w:t>
      </w:r>
    </w:p>
    <w:p w14:paraId="21A74667" w14:textId="77777777" w:rsidR="000A6469" w:rsidRPr="004D11C9" w:rsidRDefault="000A6469" w:rsidP="007E3D44">
      <w:pPr>
        <w:pStyle w:val="BodyText"/>
        <w:numPr>
          <w:ilvl w:val="2"/>
          <w:numId w:val="19"/>
        </w:numPr>
        <w:ind w:left="426" w:hanging="426"/>
        <w:jc w:val="both"/>
        <w:rPr>
          <w:rFonts w:ascii="Times New Roman" w:hAnsi="Times New Roman"/>
          <w:noProof/>
          <w:sz w:val="24"/>
        </w:rPr>
      </w:pPr>
      <w:r>
        <w:rPr>
          <w:rFonts w:ascii="Times New Roman" w:hAnsi="Times New Roman"/>
          <w:sz w:val="24"/>
        </w:rPr>
        <w:t>konkurentiem netiktu liegts vai traucēts paplašināt ražošanu vai tirgus daļu, izstrādāt jaunus produktus vai tirgot produktus jauniem pircējiem, mainīt cenu vai noteikumus vai piemērot alternatīvas ražošanas metodes;</w:t>
      </w:r>
    </w:p>
    <w:p w14:paraId="29448EA6" w14:textId="77777777" w:rsidR="000A6469" w:rsidRPr="004D11C9" w:rsidRDefault="000A6469" w:rsidP="007E3D44">
      <w:pPr>
        <w:pStyle w:val="BodyText"/>
        <w:numPr>
          <w:ilvl w:val="2"/>
          <w:numId w:val="19"/>
        </w:numPr>
        <w:ind w:left="426" w:hanging="426"/>
        <w:jc w:val="both"/>
        <w:rPr>
          <w:rFonts w:ascii="Times New Roman" w:hAnsi="Times New Roman"/>
          <w:noProof/>
          <w:sz w:val="24"/>
        </w:rPr>
      </w:pPr>
      <w:r>
        <w:rPr>
          <w:rFonts w:ascii="Times New Roman" w:hAnsi="Times New Roman"/>
          <w:sz w:val="24"/>
        </w:rPr>
        <w:t>pircējiem netiktu liegts vai traucēts izvēlēties produktus vai piegādātājus, kam tie dod priekšroku.</w:t>
      </w:r>
    </w:p>
    <w:p w14:paraId="462136BE" w14:textId="77777777" w:rsidR="000A6469" w:rsidRPr="004D11C9" w:rsidRDefault="000A6469" w:rsidP="004D11C9">
      <w:pPr>
        <w:jc w:val="both"/>
        <w:rPr>
          <w:rFonts w:ascii="Times New Roman" w:eastAsia="Arial" w:hAnsi="Times New Roman" w:cs="Arial"/>
          <w:noProof/>
          <w:sz w:val="24"/>
          <w:szCs w:val="21"/>
        </w:rPr>
      </w:pPr>
    </w:p>
    <w:p w14:paraId="033DF8F5"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Visbeidzot, ierobežots konkurences novērtējums var būt nepieciešams, ja politikas mērķa sasniegšanai ir iespējams izmantot alternatīvus, vienlīdz efektīvus noteikumus, kas nerada potenciālu konkurences problēmjautājumu. Šādā gadījumā, kad citu atšķirību nav, var izvēlēties regulējumu, kas neierobežo konkurenci, un neveikt cita pasākuma padziļinātu konkurences novērtējumu.</w:t>
      </w:r>
    </w:p>
    <w:p w14:paraId="7B8491FD" w14:textId="77777777" w:rsidR="000A6469" w:rsidRPr="004D11C9" w:rsidRDefault="000A6469" w:rsidP="004D11C9">
      <w:pPr>
        <w:jc w:val="both"/>
        <w:rPr>
          <w:rFonts w:ascii="Times New Roman" w:eastAsia="Arial" w:hAnsi="Times New Roman" w:cs="Arial"/>
          <w:noProof/>
          <w:sz w:val="24"/>
          <w:szCs w:val="20"/>
        </w:rPr>
      </w:pPr>
    </w:p>
    <w:p w14:paraId="776173EE" w14:textId="0471338C"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Ja sākotnējais novērtējums liecina, ka ierosinātais regulējums var būtiski ierobežot konkurenci, var būt iespējams identificēt alternatīvas šādam regulējumam, kuras varētu izmantot attiecīgā politikas mērķa sasniegšanai un saistībā ar kurām pastāv mazāka iespējamība, ka tās ierobežos konkurenci. Nākamajā nodaļā ir sniegti tādu gadījumu piemēri, kad dažādu politikas mērķu sasniegšanai var izmantot mazāk ierobežojošus pasākumus. Pēc alternatīvu izvērtēšanas </w:t>
      </w:r>
      <w:r>
        <w:rPr>
          <w:rFonts w:ascii="Times New Roman" w:hAnsi="Times New Roman"/>
          <w:sz w:val="24"/>
        </w:rPr>
        <w:lastRenderedPageBreak/>
        <w:t>priekšroka regulējumam, kas paredz būtisku konkurences ierobežošanu, var tikt dota, ja, piemēram, alternatīvas nav iespējams praktiski īstenot. Tomēr pamatpieņēmums ir tāds, ka būtiski ierobežojumi nav nepieciešami un tie ir jāmaina.</w:t>
      </w:r>
    </w:p>
    <w:p w14:paraId="70A95CC1" w14:textId="77777777" w:rsidR="000A6469" w:rsidRPr="004D11C9" w:rsidRDefault="000A6469" w:rsidP="004D11C9">
      <w:pPr>
        <w:jc w:val="both"/>
        <w:rPr>
          <w:rFonts w:ascii="Times New Roman" w:eastAsia="Arial" w:hAnsi="Times New Roman" w:cs="Arial"/>
          <w:noProof/>
          <w:sz w:val="24"/>
          <w:szCs w:val="21"/>
        </w:rPr>
      </w:pPr>
    </w:p>
    <w:p w14:paraId="2C585C83" w14:textId="791D8997" w:rsidR="000A6469" w:rsidRPr="004D11C9" w:rsidRDefault="007E3D44" w:rsidP="007E3D44">
      <w:pPr>
        <w:pStyle w:val="Heading3"/>
        <w:tabs>
          <w:tab w:val="left" w:pos="401"/>
        </w:tabs>
        <w:ind w:left="0"/>
        <w:jc w:val="both"/>
        <w:rPr>
          <w:rFonts w:ascii="Times New Roman" w:hAnsi="Times New Roman"/>
          <w:noProof/>
          <w:sz w:val="24"/>
        </w:rPr>
      </w:pPr>
      <w:bookmarkStart w:id="79" w:name="3._Depth_of_investigation"/>
      <w:bookmarkStart w:id="80" w:name="_bookmark49"/>
      <w:bookmarkStart w:id="81" w:name="_Toc62650477"/>
      <w:bookmarkEnd w:id="79"/>
      <w:bookmarkEnd w:id="80"/>
      <w:r>
        <w:rPr>
          <w:rFonts w:ascii="Times New Roman" w:hAnsi="Times New Roman"/>
          <w:sz w:val="24"/>
        </w:rPr>
        <w:t>3. Izpētes padziļinātības pakāpe</w:t>
      </w:r>
      <w:bookmarkEnd w:id="81"/>
    </w:p>
    <w:p w14:paraId="54E1E5EE" w14:textId="77777777" w:rsidR="000A6469" w:rsidRPr="004D11C9" w:rsidRDefault="000A6469" w:rsidP="004D11C9">
      <w:pPr>
        <w:jc w:val="both"/>
        <w:rPr>
          <w:rFonts w:ascii="Times New Roman" w:eastAsia="Arial" w:hAnsi="Times New Roman" w:cs="Arial"/>
          <w:b/>
          <w:bCs/>
          <w:noProof/>
          <w:sz w:val="24"/>
          <w:szCs w:val="21"/>
        </w:rPr>
      </w:pPr>
    </w:p>
    <w:p w14:paraId="793EBB37" w14:textId="6D33C9D1"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Nepieciešamās izpētes padziļinātības pakāpe būs atkarīga no konkurences ierobežojuma potenciālās ietekmes pakāpes, informācijas vākšanas iespējām, pieejamajiem resursiem, laika, kas pieejams pārbaudes veikšanai</w:t>
      </w:r>
      <w:r w:rsidR="007E3D44">
        <w:rPr>
          <w:rStyle w:val="FootnoteReference"/>
          <w:rFonts w:ascii="Times New Roman" w:hAnsi="Times New Roman"/>
          <w:noProof/>
          <w:sz w:val="24"/>
        </w:rPr>
        <w:footnoteReference w:id="6"/>
      </w:r>
      <w:r>
        <w:rPr>
          <w:rFonts w:ascii="Times New Roman" w:hAnsi="Times New Roman"/>
          <w:sz w:val="24"/>
        </w:rPr>
        <w:t>, un analīzes līmeņa, kas nepieciešams, lai izvēlētos kādu no izskatītajām alternatīvām.</w:t>
      </w:r>
    </w:p>
    <w:p w14:paraId="76A1326D" w14:textId="77777777" w:rsidR="000A6469" w:rsidRPr="004D11C9" w:rsidRDefault="000A6469" w:rsidP="004D11C9">
      <w:pPr>
        <w:jc w:val="both"/>
        <w:rPr>
          <w:rFonts w:ascii="Times New Roman" w:eastAsia="Arial" w:hAnsi="Times New Roman" w:cs="Arial"/>
          <w:noProof/>
          <w:sz w:val="24"/>
          <w:szCs w:val="20"/>
        </w:rPr>
      </w:pPr>
    </w:p>
    <w:p w14:paraId="21186CC5"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Prioritāte ir jāpiešķir tiem noteikumiem, kas varētu radīt lielus konkurences ierobežojumus, piemēram, kas noved pie nepietiekama produkta piedāvājuma, bloķē potenciāli efektīvāku jaunpienācēju ienākšanu tirgū, rada nepamatoti augstas cenas vai izslēdz patērētāju vidū ļoti pieprasītus produktus.</w:t>
      </w:r>
    </w:p>
    <w:p w14:paraId="41118E12" w14:textId="77777777" w:rsidR="000A6469" w:rsidRPr="004D11C9" w:rsidRDefault="000A6469" w:rsidP="004D11C9">
      <w:pPr>
        <w:jc w:val="both"/>
        <w:rPr>
          <w:rFonts w:ascii="Times New Roman" w:eastAsia="Arial" w:hAnsi="Times New Roman" w:cs="Arial"/>
          <w:noProof/>
          <w:sz w:val="24"/>
          <w:szCs w:val="20"/>
        </w:rPr>
      </w:pPr>
    </w:p>
    <w:p w14:paraId="59840D79"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Ja ir pieejami atbilstoši dati, tos ir lietderīgi apkopot un izskatīt. Datu analīzes iekļaušana galīgajā ieteikuma redakcijā padarīs šo ieteikumu pilnīgāku un pārliecinošāku. Dati var būt sniegti, piemēram, par uzņēmējdarbības izmaksām, salīdzinošajām cenām starp reģioniem vai valstīm un ražošanas ierobežojumiem.</w:t>
      </w:r>
    </w:p>
    <w:p w14:paraId="3A05B8FE" w14:textId="77777777" w:rsidR="000A6469" w:rsidRPr="004D11C9" w:rsidRDefault="000A6469" w:rsidP="004D11C9">
      <w:pPr>
        <w:jc w:val="both"/>
        <w:rPr>
          <w:rFonts w:ascii="Times New Roman" w:eastAsia="Arial" w:hAnsi="Times New Roman" w:cs="Arial"/>
          <w:noProof/>
          <w:sz w:val="24"/>
          <w:szCs w:val="21"/>
        </w:rPr>
      </w:pPr>
    </w:p>
    <w:p w14:paraId="0896C08B" w14:textId="75983664" w:rsidR="000A6469" w:rsidRPr="004D11C9" w:rsidRDefault="007E3D44" w:rsidP="007E3D44">
      <w:pPr>
        <w:pStyle w:val="Heading3"/>
        <w:tabs>
          <w:tab w:val="left" w:pos="401"/>
        </w:tabs>
        <w:ind w:left="0"/>
        <w:jc w:val="both"/>
        <w:rPr>
          <w:rFonts w:ascii="Times New Roman" w:hAnsi="Times New Roman"/>
          <w:noProof/>
          <w:sz w:val="24"/>
        </w:rPr>
      </w:pPr>
      <w:bookmarkStart w:id="82" w:name="4._Considerations_in_conducting_analyses"/>
      <w:bookmarkStart w:id="83" w:name="_bookmark50"/>
      <w:bookmarkStart w:id="84" w:name="_Toc62650478"/>
      <w:bookmarkEnd w:id="82"/>
      <w:bookmarkEnd w:id="83"/>
      <w:r>
        <w:rPr>
          <w:rFonts w:ascii="Times New Roman" w:hAnsi="Times New Roman"/>
          <w:sz w:val="24"/>
        </w:rPr>
        <w:t>4. Apsvērumi, kas jāņem vērā, veicot analīzi</w:t>
      </w:r>
      <w:bookmarkEnd w:id="84"/>
    </w:p>
    <w:p w14:paraId="1A6546ED" w14:textId="77777777" w:rsidR="000A6469" w:rsidRPr="004D11C9" w:rsidRDefault="000A6469" w:rsidP="004D11C9">
      <w:pPr>
        <w:jc w:val="both"/>
        <w:rPr>
          <w:rFonts w:ascii="Times New Roman" w:eastAsia="Arial" w:hAnsi="Times New Roman" w:cs="Arial"/>
          <w:b/>
          <w:bCs/>
          <w:noProof/>
          <w:sz w:val="24"/>
          <w:szCs w:val="21"/>
        </w:rPr>
      </w:pPr>
    </w:p>
    <w:p w14:paraId="53F38EDA" w14:textId="3A571B4F"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Pētot regulējuma ietekmi uz konkurenci, jāņem vērā, ka tad, ja noteikumi ierobežo konkurenci, tie uzņēmumi, kas darbojas regulētajā nozarē, var būt apmierināti ar regulējuma ietekmi, jo regulējums ļauj tiem darboties mazākas sāncensības apstākļos un gūt lielāku peļņu. Regulējumu bieži vien ierosina nozares uzņēmumi, kas parasti rīkojas atbilstoši savām interesēm. Daudzas nozares un profesijas ir ieinteresētas iegūt kontroli pār ienākšanu tirgū, cenām un citiem konkurences elementiem. Lai gūtu objektīvu priekšstatu, viens no labas analīzes elementiem ir nodrošināt, ka neatkarīgs viedoklis tiek saņemts no personām, kas nav personīgi ieinteresētas iznākumā (piemēram, no konkurences uzraudzības iestādēm vai akadēmiskajām aprindām), vai tad, ja tas nav iespējams, viedokļi tiek saņemti no personām ar savstarpēji pretējām interesēm.</w:t>
      </w:r>
    </w:p>
    <w:p w14:paraId="41BC229A" w14:textId="77777777" w:rsidR="000A6469" w:rsidRPr="004D11C9" w:rsidRDefault="000A6469" w:rsidP="004D11C9">
      <w:pPr>
        <w:jc w:val="both"/>
        <w:rPr>
          <w:rFonts w:ascii="Times New Roman" w:eastAsia="Arial" w:hAnsi="Times New Roman" w:cs="Arial"/>
          <w:noProof/>
          <w:sz w:val="24"/>
          <w:szCs w:val="20"/>
        </w:rPr>
      </w:pPr>
    </w:p>
    <w:p w14:paraId="69884CE1"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Daudzus no analītiskajiem jēdzieniem, kas ir izstrādāti konkurences tiesību analīzei, var izmantot arī noteikumu ietekmes uz konkurenci novērtēšanai, lai arī šie analītiskie jēdzieni ir paredzēti izmantošanai atšķirīgā kontekstā. Ieteicamie parametri un jēdzieni šādas analīzes veikšanai ir plašāk apspriesti 2. sējumā “Norādījumi par konkurences novērtēšanas metodisko līdzekli”.</w:t>
      </w:r>
    </w:p>
    <w:p w14:paraId="2CFA32E6" w14:textId="77777777" w:rsidR="000A6469" w:rsidRPr="004D11C9" w:rsidRDefault="000A6469" w:rsidP="004D11C9">
      <w:pPr>
        <w:jc w:val="both"/>
        <w:rPr>
          <w:rFonts w:ascii="Times New Roman" w:eastAsia="Arial" w:hAnsi="Times New Roman" w:cs="Arial"/>
          <w:noProof/>
          <w:sz w:val="24"/>
          <w:szCs w:val="20"/>
        </w:rPr>
      </w:pPr>
    </w:p>
    <w:p w14:paraId="157F6F42" w14:textId="5CC9F5EB"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Informāciju un speciālās zināšanas, kas nepieciešamas noteikumu ietekmes uz konkurenci novērtēšanai, var iegūt no dažādiem avotiem, tostarp no:</w:t>
      </w:r>
    </w:p>
    <w:p w14:paraId="54DBF850" w14:textId="77777777" w:rsidR="000A6469" w:rsidRPr="004D11C9" w:rsidRDefault="000A6469" w:rsidP="004D11C9">
      <w:pPr>
        <w:jc w:val="both"/>
        <w:rPr>
          <w:rFonts w:ascii="Times New Roman" w:eastAsia="Arial" w:hAnsi="Times New Roman" w:cs="Arial"/>
          <w:noProof/>
          <w:sz w:val="24"/>
          <w:szCs w:val="20"/>
        </w:rPr>
      </w:pPr>
    </w:p>
    <w:p w14:paraId="15D1FDE4" w14:textId="77777777" w:rsidR="000A6469" w:rsidRPr="004D11C9" w:rsidRDefault="000A6469" w:rsidP="007E3D44">
      <w:pPr>
        <w:pStyle w:val="BodyText"/>
        <w:numPr>
          <w:ilvl w:val="2"/>
          <w:numId w:val="19"/>
        </w:numPr>
        <w:ind w:left="426" w:hanging="426"/>
        <w:jc w:val="both"/>
        <w:rPr>
          <w:rFonts w:ascii="Times New Roman" w:hAnsi="Times New Roman"/>
          <w:noProof/>
          <w:sz w:val="24"/>
        </w:rPr>
      </w:pPr>
      <w:r>
        <w:rPr>
          <w:rFonts w:ascii="Times New Roman" w:hAnsi="Times New Roman"/>
          <w:sz w:val="24"/>
        </w:rPr>
        <w:t>valdības, regulatīvo iestāžu vai uzraudzības iestāžu un NVO tehniskajiem ekspertiem;</w:t>
      </w:r>
    </w:p>
    <w:p w14:paraId="3405CBBA" w14:textId="77777777" w:rsidR="000A6469" w:rsidRPr="004D11C9" w:rsidRDefault="000A6469" w:rsidP="007E3D44">
      <w:pPr>
        <w:pStyle w:val="BodyText"/>
        <w:numPr>
          <w:ilvl w:val="2"/>
          <w:numId w:val="19"/>
        </w:numPr>
        <w:ind w:left="426" w:hanging="426"/>
        <w:jc w:val="both"/>
        <w:rPr>
          <w:rFonts w:ascii="Times New Roman" w:hAnsi="Times New Roman"/>
          <w:noProof/>
          <w:sz w:val="24"/>
        </w:rPr>
      </w:pPr>
      <w:r>
        <w:rPr>
          <w:rFonts w:ascii="Times New Roman" w:hAnsi="Times New Roman"/>
          <w:sz w:val="24"/>
        </w:rPr>
        <w:t>konkurences uzraudzības iestādēm;</w:t>
      </w:r>
    </w:p>
    <w:p w14:paraId="5D656560" w14:textId="77777777" w:rsidR="000A6469" w:rsidRPr="004D11C9" w:rsidRDefault="000A6469" w:rsidP="007E3D44">
      <w:pPr>
        <w:pStyle w:val="BodyText"/>
        <w:numPr>
          <w:ilvl w:val="2"/>
          <w:numId w:val="19"/>
        </w:numPr>
        <w:ind w:left="426" w:hanging="426"/>
        <w:jc w:val="both"/>
        <w:rPr>
          <w:rFonts w:ascii="Times New Roman" w:hAnsi="Times New Roman"/>
          <w:noProof/>
          <w:sz w:val="24"/>
        </w:rPr>
      </w:pPr>
      <w:r>
        <w:rPr>
          <w:rFonts w:ascii="Times New Roman" w:hAnsi="Times New Roman"/>
          <w:sz w:val="24"/>
        </w:rPr>
        <w:t>uzņēmējus pārstāvošām apvienībām;</w:t>
      </w:r>
    </w:p>
    <w:p w14:paraId="15EF06AB" w14:textId="77777777" w:rsidR="000A6469" w:rsidRPr="004D11C9" w:rsidRDefault="000A6469" w:rsidP="007E3D44">
      <w:pPr>
        <w:pStyle w:val="BodyText"/>
        <w:numPr>
          <w:ilvl w:val="2"/>
          <w:numId w:val="19"/>
        </w:numPr>
        <w:ind w:left="426" w:hanging="426"/>
        <w:jc w:val="both"/>
        <w:rPr>
          <w:rFonts w:ascii="Times New Roman" w:hAnsi="Times New Roman"/>
          <w:noProof/>
          <w:sz w:val="24"/>
        </w:rPr>
      </w:pPr>
      <w:r>
        <w:rPr>
          <w:rFonts w:ascii="Times New Roman" w:hAnsi="Times New Roman"/>
          <w:sz w:val="24"/>
        </w:rPr>
        <w:t>regulējuma piemērošanas jomā ietilpstošajiem uzņēmumiem;</w:t>
      </w:r>
    </w:p>
    <w:p w14:paraId="0DDF8C17" w14:textId="77777777" w:rsidR="000A6469" w:rsidRPr="004D11C9" w:rsidRDefault="000A6469" w:rsidP="007E3D44">
      <w:pPr>
        <w:pStyle w:val="BodyText"/>
        <w:numPr>
          <w:ilvl w:val="2"/>
          <w:numId w:val="19"/>
        </w:numPr>
        <w:ind w:left="426" w:hanging="426"/>
        <w:jc w:val="both"/>
        <w:rPr>
          <w:rFonts w:ascii="Times New Roman" w:hAnsi="Times New Roman"/>
          <w:noProof/>
          <w:sz w:val="24"/>
        </w:rPr>
      </w:pPr>
      <w:r>
        <w:rPr>
          <w:rFonts w:ascii="Times New Roman" w:hAnsi="Times New Roman"/>
          <w:sz w:val="24"/>
        </w:rPr>
        <w:t>uzņēmumiem, kas sadarbojas ar regulējuma piemērošanas jomā ietilpstošajiem uzņēmumiem;</w:t>
      </w:r>
    </w:p>
    <w:p w14:paraId="540E0A26" w14:textId="77777777" w:rsidR="000A6469" w:rsidRPr="004D11C9" w:rsidRDefault="000A6469" w:rsidP="007E3D44">
      <w:pPr>
        <w:pStyle w:val="BodyText"/>
        <w:numPr>
          <w:ilvl w:val="2"/>
          <w:numId w:val="19"/>
        </w:numPr>
        <w:ind w:left="426" w:hanging="426"/>
        <w:jc w:val="both"/>
        <w:rPr>
          <w:rFonts w:ascii="Times New Roman" w:hAnsi="Times New Roman"/>
          <w:noProof/>
          <w:sz w:val="24"/>
        </w:rPr>
      </w:pPr>
      <w:r>
        <w:rPr>
          <w:rFonts w:ascii="Times New Roman" w:hAnsi="Times New Roman"/>
          <w:sz w:val="24"/>
        </w:rPr>
        <w:t>nozares vai jomas ekspertiem, piemēram, no konsultantiem vai akadēmiskajām aprindām;</w:t>
      </w:r>
    </w:p>
    <w:p w14:paraId="39A82BB2" w14:textId="77777777" w:rsidR="000A6469" w:rsidRPr="004D11C9" w:rsidRDefault="000A6469" w:rsidP="007E3D44">
      <w:pPr>
        <w:pStyle w:val="BodyText"/>
        <w:numPr>
          <w:ilvl w:val="2"/>
          <w:numId w:val="19"/>
        </w:numPr>
        <w:ind w:left="426" w:hanging="426"/>
        <w:jc w:val="both"/>
        <w:rPr>
          <w:rFonts w:ascii="Times New Roman" w:hAnsi="Times New Roman"/>
          <w:noProof/>
          <w:sz w:val="24"/>
        </w:rPr>
      </w:pPr>
      <w:r>
        <w:rPr>
          <w:rFonts w:ascii="Times New Roman" w:hAnsi="Times New Roman"/>
          <w:sz w:val="24"/>
        </w:rPr>
        <w:lastRenderedPageBreak/>
        <w:t>valsts statistikas struktūrvienībām vai iestādēm;</w:t>
      </w:r>
    </w:p>
    <w:p w14:paraId="03A127FB" w14:textId="77777777" w:rsidR="000A6469" w:rsidRPr="004D11C9" w:rsidRDefault="000A6469" w:rsidP="007E3D44">
      <w:pPr>
        <w:pStyle w:val="BodyText"/>
        <w:numPr>
          <w:ilvl w:val="2"/>
          <w:numId w:val="19"/>
        </w:numPr>
        <w:ind w:left="426" w:hanging="426"/>
        <w:jc w:val="both"/>
        <w:rPr>
          <w:rFonts w:ascii="Times New Roman" w:hAnsi="Times New Roman"/>
          <w:noProof/>
          <w:sz w:val="24"/>
        </w:rPr>
      </w:pPr>
      <w:r>
        <w:rPr>
          <w:rFonts w:ascii="Times New Roman" w:hAnsi="Times New Roman"/>
          <w:sz w:val="24"/>
        </w:rPr>
        <w:t>patērētāju apvienībām un</w:t>
      </w:r>
    </w:p>
    <w:p w14:paraId="58877344" w14:textId="77777777" w:rsidR="000A6469" w:rsidRPr="004D11C9" w:rsidRDefault="000A6469" w:rsidP="007E3D44">
      <w:pPr>
        <w:pStyle w:val="BodyText"/>
        <w:numPr>
          <w:ilvl w:val="2"/>
          <w:numId w:val="19"/>
        </w:numPr>
        <w:ind w:left="426" w:hanging="426"/>
        <w:jc w:val="both"/>
        <w:rPr>
          <w:rFonts w:ascii="Times New Roman" w:hAnsi="Times New Roman"/>
          <w:noProof/>
          <w:sz w:val="24"/>
        </w:rPr>
      </w:pPr>
      <w:r>
        <w:rPr>
          <w:rFonts w:ascii="Times New Roman" w:hAnsi="Times New Roman"/>
          <w:sz w:val="24"/>
        </w:rPr>
        <w:t>patērētājiem (īpaši tad, ja patērētāji ir labi informēti vai ja starpproduktu patērētāji ir uzņēmumi).</w:t>
      </w:r>
    </w:p>
    <w:p w14:paraId="57A62AE2" w14:textId="77777777" w:rsidR="00867DDD" w:rsidRPr="004D11C9" w:rsidRDefault="00867DDD" w:rsidP="004D11C9">
      <w:pPr>
        <w:jc w:val="both"/>
        <w:rPr>
          <w:rFonts w:ascii="Times New Roman" w:hAnsi="Times New Roman"/>
          <w:noProof/>
          <w:sz w:val="24"/>
        </w:rPr>
      </w:pPr>
    </w:p>
    <w:p w14:paraId="2FC915D0" w14:textId="31503719" w:rsidR="00121F0E" w:rsidRDefault="00121F0E">
      <w:pPr>
        <w:rPr>
          <w:rFonts w:ascii="Times New Roman" w:eastAsia="Arial" w:hAnsi="Times New Roman" w:cs="Arial"/>
          <w:noProof/>
          <w:sz w:val="24"/>
          <w:szCs w:val="20"/>
        </w:rPr>
      </w:pPr>
      <w:r>
        <w:rPr>
          <w:rFonts w:ascii="Times New Roman" w:eastAsia="Arial" w:hAnsi="Times New Roman" w:cs="Arial"/>
          <w:noProof/>
          <w:sz w:val="24"/>
          <w:szCs w:val="20"/>
        </w:rPr>
        <w:br w:type="page"/>
      </w:r>
    </w:p>
    <w:p w14:paraId="1DBF4E9D" w14:textId="4F37AB8F" w:rsidR="00702F42" w:rsidRDefault="00702F42" w:rsidP="004D11C9">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3539"/>
        <w:gridCol w:w="5523"/>
      </w:tblGrid>
      <w:tr w:rsidR="00702F42" w14:paraId="5707D202" w14:textId="77777777" w:rsidTr="000F3534">
        <w:tc>
          <w:tcPr>
            <w:tcW w:w="9062" w:type="dxa"/>
            <w:gridSpan w:val="2"/>
          </w:tcPr>
          <w:p w14:paraId="3AC3A19F" w14:textId="77777777" w:rsidR="00702F42" w:rsidRDefault="00702F42" w:rsidP="00702F42">
            <w:pPr>
              <w:jc w:val="both"/>
              <w:rPr>
                <w:rFonts w:ascii="Times New Roman" w:hAnsi="Times New Roman"/>
                <w:b/>
                <w:noProof/>
                <w:sz w:val="24"/>
              </w:rPr>
            </w:pPr>
            <w:r>
              <w:rPr>
                <w:rFonts w:ascii="Times New Roman" w:hAnsi="Times New Roman"/>
                <w:b/>
                <w:sz w:val="24"/>
              </w:rPr>
              <w:t>Detalizēts piemērs.</w:t>
            </w:r>
          </w:p>
          <w:p w14:paraId="7C0B429F" w14:textId="1916ED92" w:rsidR="00702F42" w:rsidRPr="00702F42" w:rsidRDefault="00702F42" w:rsidP="004D11C9">
            <w:pPr>
              <w:jc w:val="both"/>
              <w:rPr>
                <w:rFonts w:ascii="Times New Roman" w:hAnsi="Times New Roman"/>
                <w:b/>
                <w:noProof/>
                <w:sz w:val="24"/>
              </w:rPr>
            </w:pPr>
            <w:r>
              <w:rPr>
                <w:rFonts w:ascii="Times New Roman" w:hAnsi="Times New Roman"/>
                <w:b/>
                <w:sz w:val="24"/>
              </w:rPr>
              <w:t>Konkurences analīze</w:t>
            </w:r>
          </w:p>
        </w:tc>
      </w:tr>
      <w:tr w:rsidR="00702F42" w14:paraId="19318E44" w14:textId="77777777" w:rsidTr="000F3534">
        <w:tc>
          <w:tcPr>
            <w:tcW w:w="9062" w:type="dxa"/>
            <w:gridSpan w:val="2"/>
          </w:tcPr>
          <w:p w14:paraId="57161EC2" w14:textId="77777777" w:rsidR="00702F42" w:rsidRPr="004D11C9" w:rsidRDefault="00702F42" w:rsidP="00702F42">
            <w:pPr>
              <w:jc w:val="both"/>
              <w:rPr>
                <w:rFonts w:ascii="Times New Roman" w:hAnsi="Times New Roman"/>
                <w:i/>
                <w:noProof/>
                <w:sz w:val="24"/>
              </w:rPr>
            </w:pPr>
            <w:r>
              <w:rPr>
                <w:rFonts w:ascii="Times New Roman" w:hAnsi="Times New Roman"/>
                <w:i/>
                <w:sz w:val="24"/>
              </w:rPr>
              <w:t>Šajā ierāmējumā ir turpināts detalizētā piemēra izklāsts, kas tiek izmantots viscaur šajā rokasgrāmatā.</w:t>
            </w:r>
          </w:p>
          <w:p w14:paraId="06A6EDE5" w14:textId="77777777" w:rsidR="00702F42" w:rsidRPr="004D11C9" w:rsidRDefault="00702F42" w:rsidP="00702F42">
            <w:pPr>
              <w:jc w:val="both"/>
              <w:rPr>
                <w:rFonts w:ascii="Times New Roman" w:eastAsia="Arial" w:hAnsi="Times New Roman" w:cs="Arial"/>
                <w:i/>
                <w:noProof/>
                <w:sz w:val="24"/>
                <w:szCs w:val="10"/>
              </w:rPr>
            </w:pPr>
          </w:p>
          <w:p w14:paraId="4D010F81" w14:textId="77777777" w:rsidR="00702F42" w:rsidRPr="004D11C9" w:rsidRDefault="00702F42" w:rsidP="00702F42">
            <w:pPr>
              <w:jc w:val="both"/>
              <w:rPr>
                <w:rFonts w:ascii="Times New Roman" w:hAnsi="Times New Roman"/>
                <w:noProof/>
                <w:sz w:val="24"/>
              </w:rPr>
            </w:pPr>
            <w:r>
              <w:rPr>
                <w:rFonts w:ascii="Times New Roman" w:hAnsi="Times New Roman"/>
                <w:sz w:val="24"/>
              </w:rPr>
              <w:t>Veselības ministrijas darbinieki veica konkurences analīzi 2 posmos attiecībā uz tiem konkurences ierobežojumiem, kas tika identificēti, izmantojot pārbaudes lapu. Pirmajā posmā tika veikts sākotnējais konkurences novērtējums attiecībā uz ierobežojumiem, kas tika identificēti, izmantojot pārbaudes lapu, lai noteiktu tos ierobežojumus, kuriem ir vislielākais konkurenci veicinošas reformas potenciāls. Otrajā posmā tika veikta detalizēta konkurences analīze attiecībā uz tiem ierobežojumiem, kas tika identificēti turpmākas analīzes veikšanai.</w:t>
            </w:r>
          </w:p>
          <w:p w14:paraId="3CBCB33C" w14:textId="77777777" w:rsidR="00702F42" w:rsidRPr="004D11C9" w:rsidRDefault="00702F42" w:rsidP="00702F42">
            <w:pPr>
              <w:jc w:val="both"/>
              <w:rPr>
                <w:rFonts w:ascii="Times New Roman" w:eastAsia="Arial" w:hAnsi="Times New Roman" w:cs="Arial"/>
                <w:noProof/>
                <w:sz w:val="24"/>
                <w:szCs w:val="14"/>
              </w:rPr>
            </w:pPr>
          </w:p>
          <w:p w14:paraId="2E34E9CD" w14:textId="77777777" w:rsidR="00702F42" w:rsidRPr="004D11C9" w:rsidRDefault="00702F42" w:rsidP="00702F42">
            <w:pPr>
              <w:jc w:val="both"/>
              <w:rPr>
                <w:rFonts w:ascii="Times New Roman" w:hAnsi="Times New Roman"/>
                <w:b/>
                <w:noProof/>
                <w:sz w:val="24"/>
              </w:rPr>
            </w:pPr>
            <w:r>
              <w:rPr>
                <w:rFonts w:ascii="Times New Roman" w:hAnsi="Times New Roman"/>
                <w:b/>
                <w:sz w:val="24"/>
              </w:rPr>
              <w:t>Sākotnējais konkurences novērtējums</w:t>
            </w:r>
          </w:p>
          <w:p w14:paraId="3EFA319E" w14:textId="77777777" w:rsidR="00702F42" w:rsidRPr="004D11C9" w:rsidRDefault="00702F42" w:rsidP="00702F42">
            <w:pPr>
              <w:jc w:val="both"/>
              <w:rPr>
                <w:rFonts w:ascii="Times New Roman" w:eastAsia="Arial" w:hAnsi="Times New Roman" w:cs="Arial"/>
                <w:b/>
                <w:bCs/>
                <w:noProof/>
                <w:sz w:val="24"/>
                <w:szCs w:val="14"/>
              </w:rPr>
            </w:pPr>
          </w:p>
          <w:p w14:paraId="1F4E5391" w14:textId="77777777" w:rsidR="00702F42" w:rsidRPr="004D11C9" w:rsidRDefault="00702F42" w:rsidP="00702F42">
            <w:pPr>
              <w:jc w:val="both"/>
              <w:rPr>
                <w:rFonts w:ascii="Times New Roman" w:hAnsi="Times New Roman"/>
                <w:noProof/>
                <w:sz w:val="24"/>
              </w:rPr>
            </w:pPr>
            <w:r>
              <w:rPr>
                <w:rFonts w:ascii="Times New Roman" w:hAnsi="Times New Roman"/>
                <w:sz w:val="24"/>
              </w:rPr>
              <w:t>Lai veiktu sākotnējo konkurences novērtējumu, darbinieki izmantoja Veselības ministrijai pieejamo statistikas informāciju un citu informāciju, kā arī publiski pieejamu datu informāciju un analīzi. Darbinieki saņēma arī analītisko atbalstu no valsts konkurences uzraudzības iestādes.</w:t>
            </w:r>
          </w:p>
          <w:p w14:paraId="1AE89B00" w14:textId="77777777" w:rsidR="00702F42" w:rsidRDefault="00702F42" w:rsidP="00702F42">
            <w:pPr>
              <w:jc w:val="both"/>
              <w:rPr>
                <w:rFonts w:ascii="Times New Roman" w:hAnsi="Times New Roman"/>
                <w:noProof/>
                <w:sz w:val="24"/>
              </w:rPr>
            </w:pPr>
          </w:p>
          <w:p w14:paraId="2F2AD4C6" w14:textId="511CB6F7" w:rsidR="00702F42" w:rsidRPr="00702F42" w:rsidRDefault="00702F42" w:rsidP="004D11C9">
            <w:pPr>
              <w:jc w:val="both"/>
              <w:rPr>
                <w:rFonts w:ascii="Times New Roman" w:hAnsi="Times New Roman"/>
                <w:noProof/>
                <w:sz w:val="24"/>
              </w:rPr>
            </w:pPr>
            <w:r>
              <w:rPr>
                <w:rFonts w:ascii="Times New Roman" w:hAnsi="Times New Roman"/>
                <w:sz w:val="24"/>
              </w:rPr>
              <w:t>Turpmāk izklāstīti galvenie secinājumi, kas tika gūti sākotnējā novērtēšanā.</w:t>
            </w:r>
          </w:p>
        </w:tc>
      </w:tr>
      <w:tr w:rsidR="00702F42" w14:paraId="1708A09E" w14:textId="77777777" w:rsidTr="00702F42">
        <w:tc>
          <w:tcPr>
            <w:tcW w:w="3539" w:type="dxa"/>
          </w:tcPr>
          <w:p w14:paraId="1D2B947B" w14:textId="6E18F7EE" w:rsidR="00702F42" w:rsidRDefault="00702F42" w:rsidP="00702F42">
            <w:pPr>
              <w:jc w:val="center"/>
              <w:rPr>
                <w:rFonts w:ascii="Times New Roman" w:eastAsia="Arial" w:hAnsi="Times New Roman" w:cs="Arial"/>
                <w:noProof/>
                <w:sz w:val="24"/>
                <w:szCs w:val="20"/>
              </w:rPr>
            </w:pPr>
            <w:r>
              <w:rPr>
                <w:rFonts w:ascii="Times New Roman" w:hAnsi="Times New Roman"/>
                <w:b/>
                <w:sz w:val="24"/>
              </w:rPr>
              <w:t>Ierobežojums</w:t>
            </w:r>
          </w:p>
        </w:tc>
        <w:tc>
          <w:tcPr>
            <w:tcW w:w="5523" w:type="dxa"/>
          </w:tcPr>
          <w:p w14:paraId="2BEBFAFE" w14:textId="0EC48C85" w:rsidR="00702F42" w:rsidRDefault="00702F42" w:rsidP="00702F42">
            <w:pPr>
              <w:jc w:val="center"/>
              <w:rPr>
                <w:rFonts w:ascii="Times New Roman" w:eastAsia="Arial" w:hAnsi="Times New Roman" w:cs="Arial"/>
                <w:noProof/>
                <w:sz w:val="24"/>
                <w:szCs w:val="20"/>
              </w:rPr>
            </w:pPr>
            <w:r>
              <w:rPr>
                <w:rFonts w:ascii="Times New Roman" w:hAnsi="Times New Roman"/>
                <w:b/>
                <w:sz w:val="24"/>
              </w:rPr>
              <w:t>Sākotnējais novērtējums</w:t>
            </w:r>
          </w:p>
        </w:tc>
      </w:tr>
      <w:tr w:rsidR="00702F42" w14:paraId="49CF95C0" w14:textId="77777777" w:rsidTr="00702F42">
        <w:tc>
          <w:tcPr>
            <w:tcW w:w="3539" w:type="dxa"/>
          </w:tcPr>
          <w:p w14:paraId="410685AB" w14:textId="44678B9E" w:rsidR="00702F42" w:rsidRPr="00702F42" w:rsidRDefault="00702F42" w:rsidP="004D11C9">
            <w:pPr>
              <w:jc w:val="both"/>
              <w:rPr>
                <w:rFonts w:ascii="Times New Roman" w:hAnsi="Times New Roman"/>
                <w:noProof/>
                <w:sz w:val="24"/>
              </w:rPr>
            </w:pPr>
            <w:r>
              <w:rPr>
                <w:rFonts w:ascii="Times New Roman" w:hAnsi="Times New Roman"/>
                <w:sz w:val="24"/>
              </w:rPr>
              <w:t>Zāļu patentus reglamentējošie normatīvie akti ļauj firmas zīmi izmantojošiem uzņēmumiem iegūt papildu patentus attiecībā uz uzlabojumiem vai modifikācijām, kas veiktas zālēs, kuras satur jau iepriekš izstrādātu aktīvo vielu.</w:t>
            </w:r>
          </w:p>
        </w:tc>
        <w:tc>
          <w:tcPr>
            <w:tcW w:w="5523" w:type="dxa"/>
          </w:tcPr>
          <w:p w14:paraId="08E07395" w14:textId="77777777" w:rsidR="00702F42" w:rsidRDefault="00702F42" w:rsidP="00702F42">
            <w:pPr>
              <w:jc w:val="both"/>
              <w:rPr>
                <w:rFonts w:ascii="Times New Roman" w:hAnsi="Times New Roman"/>
                <w:noProof/>
                <w:sz w:val="24"/>
              </w:rPr>
            </w:pPr>
            <w:r>
              <w:rPr>
                <w:rFonts w:ascii="Times New Roman" w:hAnsi="Times New Roman"/>
                <w:sz w:val="24"/>
              </w:rPr>
              <w:t>Patenta tiesību aizsardzības piešķiršana uzlabotajām vai modificētajām zālēm neliedz laist tirgū oriģinālo zāļu ģeneriskās versijas, tomēr tā var novest pie tā, ka daudzi pacienti pāriet pie jaunajām zālēm pirms sākotnējā patenta derīguma termiņa beigām. Tas var radīt šķērsli ģenerisko zāļu nonākšanai un izplatīšanai tirgū, jo pacienti var nevēlēties atgriezties pie sākotnējā zāļu sastāva.</w:t>
            </w:r>
          </w:p>
          <w:p w14:paraId="25BEC338" w14:textId="77777777" w:rsidR="00702F42" w:rsidRPr="004D11C9" w:rsidRDefault="00702F42" w:rsidP="00702F42">
            <w:pPr>
              <w:jc w:val="both"/>
              <w:rPr>
                <w:rFonts w:ascii="Times New Roman" w:hAnsi="Times New Roman"/>
                <w:noProof/>
                <w:sz w:val="24"/>
              </w:rPr>
            </w:pPr>
          </w:p>
          <w:p w14:paraId="2253F5A4" w14:textId="77777777" w:rsidR="00702F42" w:rsidRDefault="00702F42" w:rsidP="00702F42">
            <w:pPr>
              <w:jc w:val="both"/>
              <w:rPr>
                <w:rFonts w:ascii="Times New Roman" w:hAnsi="Times New Roman"/>
                <w:noProof/>
                <w:sz w:val="24"/>
              </w:rPr>
            </w:pPr>
            <w:r>
              <w:rPr>
                <w:rFonts w:ascii="Times New Roman" w:hAnsi="Times New Roman"/>
                <w:sz w:val="24"/>
              </w:rPr>
              <w:t>Veselības ministrijai un valsts konkurences uzraudzības iestādei ir paustas bažas par to, ka zāļu radītāji šādus patentus izmanto stratēģiski, lai novērstu vai kavētu ģenerisku zāļu faktisku nonākšanu tirgū. Tomēr firmas zīmi izmantojošie uzņēmumi apgalvo, ka jauni produkti, kas satur jau iepriekš izstrādātu aktīvo vielu, sniedz svarīgu terapeitisku labumu un tiem ir nepieciešama patentaizsardzība.</w:t>
            </w:r>
          </w:p>
          <w:p w14:paraId="0A035432" w14:textId="77777777" w:rsidR="00702F42" w:rsidRPr="004D11C9" w:rsidRDefault="00702F42" w:rsidP="00702F42">
            <w:pPr>
              <w:jc w:val="both"/>
              <w:rPr>
                <w:rFonts w:ascii="Times New Roman" w:hAnsi="Times New Roman"/>
                <w:noProof/>
                <w:sz w:val="24"/>
              </w:rPr>
            </w:pPr>
          </w:p>
          <w:p w14:paraId="3CC1BDCF" w14:textId="77777777" w:rsidR="00702F42" w:rsidRPr="004D11C9" w:rsidRDefault="00702F42" w:rsidP="00702F42">
            <w:pPr>
              <w:jc w:val="both"/>
              <w:rPr>
                <w:rFonts w:ascii="Times New Roman" w:eastAsia="Arial" w:hAnsi="Times New Roman" w:cs="Arial"/>
                <w:noProof/>
                <w:sz w:val="24"/>
                <w:szCs w:val="18"/>
              </w:rPr>
            </w:pPr>
            <w:r>
              <w:rPr>
                <w:rFonts w:ascii="Times New Roman" w:hAnsi="Times New Roman"/>
                <w:sz w:val="24"/>
              </w:rPr>
              <w:t>Valsts konkurences uzraudzības iestāde ir informējusi Veselības ministriju par to, ka tā izskata potenciālās konkurences tiesību un politikas problēmas, kas ir saistītas ar šādiem patentiem. Ņemot vērā konkurences uzraudzības iestādes pašreizējo darbu, pašlaik nav nepieciešama Veselības ministrijas iesaistīšanās šī jautājuma izskatīšanā. Tomēr Veselības ministrija sniegs informāciju konkurences uzraudzības iestādes veiktajā pārbaudē.</w:t>
            </w:r>
          </w:p>
          <w:p w14:paraId="3242DAC5" w14:textId="77777777" w:rsidR="00702F42" w:rsidRDefault="00702F42" w:rsidP="004D11C9">
            <w:pPr>
              <w:jc w:val="both"/>
              <w:rPr>
                <w:rFonts w:ascii="Times New Roman" w:eastAsia="Arial" w:hAnsi="Times New Roman" w:cs="Arial"/>
                <w:noProof/>
                <w:sz w:val="24"/>
                <w:szCs w:val="20"/>
              </w:rPr>
            </w:pPr>
          </w:p>
        </w:tc>
      </w:tr>
      <w:tr w:rsidR="00702F42" w14:paraId="68D67E64" w14:textId="77777777" w:rsidTr="00702F42">
        <w:tc>
          <w:tcPr>
            <w:tcW w:w="3539" w:type="dxa"/>
          </w:tcPr>
          <w:p w14:paraId="3BB0CCF4" w14:textId="765F42E1" w:rsidR="00702F42" w:rsidRDefault="00702F42" w:rsidP="004D11C9">
            <w:pPr>
              <w:jc w:val="both"/>
              <w:rPr>
                <w:rFonts w:ascii="Times New Roman" w:eastAsia="Arial" w:hAnsi="Times New Roman" w:cs="Arial"/>
                <w:noProof/>
                <w:sz w:val="24"/>
                <w:szCs w:val="20"/>
              </w:rPr>
            </w:pPr>
            <w:r>
              <w:rPr>
                <w:rFonts w:ascii="Times New Roman" w:hAnsi="Times New Roman"/>
                <w:sz w:val="24"/>
              </w:rPr>
              <w:lastRenderedPageBreak/>
              <w:t>Ja no zāļu patentēšanas līdz šo zāļu apstiprināšanai tirdzniecībā aizrit vairāk nekā 15 gadi, patenta termiņu atbilstoši vajadzībai var pagarināt, lai patenta īpašniekam nodrošinātu 5 gadus ilgu ekskluzīvās piegādes periodu.</w:t>
            </w:r>
          </w:p>
        </w:tc>
        <w:tc>
          <w:tcPr>
            <w:tcW w:w="5523" w:type="dxa"/>
          </w:tcPr>
          <w:p w14:paraId="3E6508D7" w14:textId="585C7BBC" w:rsidR="00702F42" w:rsidRDefault="00702F42" w:rsidP="00702F42">
            <w:pPr>
              <w:pStyle w:val="TableParagraph"/>
              <w:jc w:val="both"/>
              <w:rPr>
                <w:rFonts w:ascii="Times New Roman" w:hAnsi="Times New Roman"/>
                <w:noProof/>
                <w:sz w:val="24"/>
              </w:rPr>
            </w:pPr>
            <w:r>
              <w:rPr>
                <w:rFonts w:ascii="Times New Roman" w:hAnsi="Times New Roman"/>
                <w:sz w:val="24"/>
              </w:rPr>
              <w:t>Lai patentu īpašnieki varētu pretendēt uz patenta pagarinājumu, tiem ir jāpierāda, ka Veselības ministrijas apstiprinājuma iegūšanas novilcināšana bija nepieciešama, lai izpildītu prasības, kas noteiktas attiecībā uz zāļu iekļaušanu valsts izsniedzamo zāļu sarakstā.</w:t>
            </w:r>
          </w:p>
          <w:p w14:paraId="6F03BFEC" w14:textId="77777777" w:rsidR="00702F42" w:rsidRPr="004D11C9" w:rsidRDefault="00702F42" w:rsidP="00702F42">
            <w:pPr>
              <w:pStyle w:val="TableParagraph"/>
              <w:jc w:val="both"/>
              <w:rPr>
                <w:rFonts w:ascii="Times New Roman" w:hAnsi="Times New Roman"/>
                <w:noProof/>
                <w:sz w:val="24"/>
              </w:rPr>
            </w:pPr>
          </w:p>
          <w:p w14:paraId="4510EF14" w14:textId="77777777" w:rsidR="00702F42" w:rsidRPr="004D11C9" w:rsidRDefault="00702F42" w:rsidP="00702F42">
            <w:pPr>
              <w:pStyle w:val="TableParagraph"/>
              <w:jc w:val="both"/>
              <w:rPr>
                <w:rFonts w:ascii="Times New Roman" w:hAnsi="Times New Roman"/>
                <w:noProof/>
                <w:sz w:val="24"/>
              </w:rPr>
            </w:pPr>
            <w:r>
              <w:rPr>
                <w:rFonts w:ascii="Times New Roman" w:hAnsi="Times New Roman"/>
                <w:sz w:val="24"/>
              </w:rPr>
              <w:t>Lai gan patentu pagarināšana var ierobežot konkurentu ieiešanu tirgū, tā stimulē firmas zīmi izmantojošos uzņēmumus ieguldīt augsta līmeņa pētniecībā un attīstībā, kas vajadzīga, lai izstrādātu jaunus farmaceitiskos produktus.</w:t>
            </w:r>
          </w:p>
          <w:p w14:paraId="08B37D31" w14:textId="35B0BD57" w:rsidR="00702F42" w:rsidRDefault="00702F42" w:rsidP="00702F42">
            <w:pPr>
              <w:jc w:val="both"/>
              <w:rPr>
                <w:rFonts w:ascii="Times New Roman" w:eastAsia="Arial" w:hAnsi="Times New Roman" w:cs="Arial"/>
                <w:noProof/>
                <w:sz w:val="24"/>
                <w:szCs w:val="20"/>
              </w:rPr>
            </w:pPr>
            <w:r>
              <w:rPr>
                <w:rFonts w:ascii="Times New Roman" w:hAnsi="Times New Roman"/>
                <w:sz w:val="24"/>
              </w:rPr>
              <w:t>Turklāt jebkurš mēģinājums samazināt minimālo ekskluzivitātes periodu var nopietni ietekmēt valsts starptautiskās tirdzniecības attiecības, jo tas ir noteikts vairākos starptautiskos tirdzniecības nolīgumos.</w:t>
            </w:r>
          </w:p>
        </w:tc>
      </w:tr>
      <w:tr w:rsidR="00702F42" w14:paraId="54F8445C" w14:textId="77777777" w:rsidTr="00702F42">
        <w:tc>
          <w:tcPr>
            <w:tcW w:w="3539" w:type="dxa"/>
          </w:tcPr>
          <w:p w14:paraId="07BBA802" w14:textId="55251E0F" w:rsidR="00702F42" w:rsidRDefault="00702F42" w:rsidP="004D11C9">
            <w:pPr>
              <w:jc w:val="both"/>
              <w:rPr>
                <w:rFonts w:ascii="Times New Roman" w:eastAsia="Arial" w:hAnsi="Times New Roman" w:cs="Arial"/>
                <w:noProof/>
                <w:sz w:val="24"/>
                <w:szCs w:val="20"/>
              </w:rPr>
            </w:pPr>
            <w:r>
              <w:rPr>
                <w:rFonts w:ascii="Times New Roman" w:hAnsi="Times New Roman"/>
                <w:sz w:val="24"/>
              </w:rPr>
              <w:t>Farmaceitiem nav atļauts aizvietot produktu ar ģenerisku vai salīdzinoši lētāku ārstniecisku aizvietotāju, ja ārsts nav atļāvis šādu aizvietošanu.</w:t>
            </w:r>
          </w:p>
        </w:tc>
        <w:tc>
          <w:tcPr>
            <w:tcW w:w="5523" w:type="dxa"/>
          </w:tcPr>
          <w:p w14:paraId="3749BFE1" w14:textId="3EE295EE" w:rsidR="00702F42" w:rsidRDefault="00702F42" w:rsidP="00702F42">
            <w:pPr>
              <w:pStyle w:val="TableParagraph"/>
              <w:jc w:val="both"/>
              <w:rPr>
                <w:rFonts w:ascii="Times New Roman" w:hAnsi="Times New Roman"/>
                <w:noProof/>
                <w:sz w:val="24"/>
              </w:rPr>
            </w:pPr>
            <w:r>
              <w:rPr>
                <w:rFonts w:ascii="Times New Roman" w:hAnsi="Times New Roman"/>
                <w:sz w:val="24"/>
              </w:rPr>
              <w:t>Ārsti tiek aktīvi aicināti zāļu parakstīšanā ņemt vērā izmaksu apsvērumus un ievērot vadlīnijas par lētu zāļu parakstīšanu gadījumos, kad šajā ziņā nav jāpiemēro ar ārstniecības specifiku pamatoti izņēmumi. Lai gan šāda pieeja kopumā ir bijusi ļoti veiksmīga un valstij ir viens no augstākajiem ģenerisko zāļu izmantošanas līmeņiem ESAO, nesen veiktā pētījumā konstatēts, ka dažos gadījumos, kad ir iespējams izmantot arī ģeneriskās zāles vai lētākus patentētus produktus, ārsti joprojām pieprasa dārgāku produktu izsniegšanu.</w:t>
            </w:r>
          </w:p>
          <w:p w14:paraId="159EB2B7" w14:textId="77777777" w:rsidR="00702F42" w:rsidRPr="004D11C9" w:rsidRDefault="00702F42" w:rsidP="00702F42">
            <w:pPr>
              <w:pStyle w:val="TableParagraph"/>
              <w:jc w:val="both"/>
              <w:rPr>
                <w:rFonts w:ascii="Times New Roman" w:hAnsi="Times New Roman"/>
                <w:noProof/>
                <w:sz w:val="24"/>
              </w:rPr>
            </w:pPr>
          </w:p>
          <w:p w14:paraId="45291ADC" w14:textId="2352E9DD" w:rsidR="00702F42" w:rsidRDefault="00702F42" w:rsidP="00702F42">
            <w:pPr>
              <w:jc w:val="both"/>
              <w:rPr>
                <w:rFonts w:ascii="Times New Roman" w:eastAsia="Arial" w:hAnsi="Times New Roman" w:cs="Arial"/>
                <w:noProof/>
                <w:sz w:val="24"/>
                <w:szCs w:val="20"/>
              </w:rPr>
            </w:pPr>
            <w:r>
              <w:rPr>
                <w:rFonts w:ascii="Times New Roman" w:hAnsi="Times New Roman"/>
                <w:sz w:val="24"/>
              </w:rPr>
              <w:t>Lai arī tādējādi dažkārt var rasties lielākas izmaksas, tomēr zāļu parakstīšanas prakses ierobežošana, piemēram, nosakot, ka ārstiem ir jāpamato dārgāku produktu parakstīšana, var izraisīt to, ka tiek parakstīti mazāk efektīvi farmaceitiskie līdzekļi vai ar izmaksām saistītu apsvērumu dēļ tiek novilcināta ārstēšana, kā arī palielinās ārstu laika patēriņš. Turklāt mēģinājumi vēl vairāk ierobežot ārstu zāļu parakstīšanas praksi izraisītu lielus ārstu un pacientu grupu iebildumus.</w:t>
            </w:r>
          </w:p>
        </w:tc>
      </w:tr>
      <w:tr w:rsidR="00702F42" w14:paraId="0C126809" w14:textId="77777777" w:rsidTr="00702F42">
        <w:tc>
          <w:tcPr>
            <w:tcW w:w="3539" w:type="dxa"/>
          </w:tcPr>
          <w:p w14:paraId="5363607A" w14:textId="1DE283BC" w:rsidR="00702F42" w:rsidRDefault="00702F42" w:rsidP="004D11C9">
            <w:pPr>
              <w:jc w:val="both"/>
              <w:rPr>
                <w:rFonts w:ascii="Times New Roman" w:eastAsia="Arial" w:hAnsi="Times New Roman" w:cs="Arial"/>
                <w:noProof/>
                <w:sz w:val="24"/>
                <w:szCs w:val="20"/>
              </w:rPr>
            </w:pPr>
            <w:r>
              <w:rPr>
                <w:rFonts w:ascii="Times New Roman" w:hAnsi="Times New Roman"/>
                <w:sz w:val="24"/>
              </w:rPr>
              <w:t>Veselības aizsardzības jomas tiesiskais regulējums paredz, ka tam, lai aptiekas tiktu sertificētas, aptiekām ir jāizpilda izkārtojuma, uzglabāšanas, uzraudzības, tehniskā nodrošinājuma un citas prasības, ko noteikusi Aptieku profesionālās uzraudzības iestāde.</w:t>
            </w:r>
          </w:p>
        </w:tc>
        <w:tc>
          <w:tcPr>
            <w:tcW w:w="5523" w:type="dxa"/>
          </w:tcPr>
          <w:p w14:paraId="2679071B" w14:textId="21E4A5EF" w:rsidR="00702F42" w:rsidRDefault="00702F42" w:rsidP="004D11C9">
            <w:pPr>
              <w:jc w:val="both"/>
              <w:rPr>
                <w:rFonts w:ascii="Times New Roman" w:eastAsia="Arial" w:hAnsi="Times New Roman" w:cs="Arial"/>
                <w:noProof/>
                <w:sz w:val="24"/>
                <w:szCs w:val="20"/>
              </w:rPr>
            </w:pPr>
            <w:r>
              <w:rPr>
                <w:rFonts w:ascii="Times New Roman" w:hAnsi="Times New Roman"/>
                <w:sz w:val="24"/>
              </w:rPr>
              <w:t>Lai arī šīs prasības palielina izmaksas, kas saistītas ar ienākšanu aptieku nozarē, tās palīdz nodrošināt, ka aptiekas ir pareizi izveidotas, aprīkotas un vadītas, lai precīzi un droši izsniegtu farmaceitiskos produktus. Attiecībā uz uzraudzības iestāžu piemērotajām īpašajām prasībām nav saņemtas būtiskas sūdzības par to, ka šīs prasības ir pārmērīgi augstas, un nav pierādījumu, kas liecinātu, ka šīs prasības ir ievērojami samazinājušas jaunu aptieku parādīšanos tirgū.</w:t>
            </w:r>
          </w:p>
        </w:tc>
      </w:tr>
      <w:tr w:rsidR="00702F42" w14:paraId="6976518A" w14:textId="77777777" w:rsidTr="00702F42">
        <w:tc>
          <w:tcPr>
            <w:tcW w:w="3539" w:type="dxa"/>
          </w:tcPr>
          <w:p w14:paraId="5C3DB266" w14:textId="593C3FF2" w:rsidR="00702F42" w:rsidRDefault="00702F42" w:rsidP="004D11C9">
            <w:pPr>
              <w:jc w:val="both"/>
              <w:rPr>
                <w:rFonts w:ascii="Times New Roman" w:eastAsia="Arial" w:hAnsi="Times New Roman" w:cs="Arial"/>
                <w:noProof/>
                <w:sz w:val="24"/>
                <w:szCs w:val="20"/>
              </w:rPr>
            </w:pPr>
            <w:r>
              <w:rPr>
                <w:rFonts w:ascii="Times New Roman" w:hAnsi="Times New Roman"/>
                <w:sz w:val="24"/>
              </w:rPr>
              <w:t>Lai ģeneriskās zāles varētu iekļaut valsts izsniedzamo zāļu sarakstā, tām ir jāatbilst Veselības ministrijas bioekvivalences kritērijiem.</w:t>
            </w:r>
          </w:p>
        </w:tc>
        <w:tc>
          <w:tcPr>
            <w:tcW w:w="5523" w:type="dxa"/>
          </w:tcPr>
          <w:p w14:paraId="45F1D49C" w14:textId="157724D7" w:rsidR="00702F42" w:rsidRDefault="00702F42" w:rsidP="004D11C9">
            <w:pPr>
              <w:jc w:val="both"/>
              <w:rPr>
                <w:rFonts w:ascii="Times New Roman" w:eastAsia="Arial" w:hAnsi="Times New Roman" w:cs="Arial"/>
                <w:noProof/>
                <w:sz w:val="24"/>
                <w:szCs w:val="20"/>
              </w:rPr>
            </w:pPr>
            <w:r>
              <w:rPr>
                <w:rFonts w:ascii="Times New Roman" w:hAnsi="Times New Roman"/>
                <w:sz w:val="24"/>
              </w:rPr>
              <w:t xml:space="preserve">Lai arī šie kritēriji var ievērojami kavēt ģenerisko zāļu nonākšanu tirgū, bioekvivalences prasības ir būtiskas, lai nodrošinātu ģenerisko zāļu drošumu un terapeitisko efektivitāti. </w:t>
            </w:r>
            <w:r>
              <w:rPr>
                <w:rFonts w:ascii="Times New Roman" w:hAnsi="Times New Roman"/>
                <w:i/>
                <w:sz w:val="24"/>
              </w:rPr>
              <w:t>PAD</w:t>
            </w:r>
            <w:r>
              <w:rPr>
                <w:rFonts w:ascii="Times New Roman" w:hAnsi="Times New Roman"/>
                <w:sz w:val="24"/>
              </w:rPr>
              <w:t xml:space="preserve"> bioekvivalences prasības atbilst vispārpieņemtām starptautiskām normām un atbilstošiem </w:t>
            </w:r>
            <w:r>
              <w:rPr>
                <w:rFonts w:ascii="Times New Roman" w:hAnsi="Times New Roman"/>
                <w:sz w:val="24"/>
              </w:rPr>
              <w:lastRenderedPageBreak/>
              <w:t>medicīnas pētījumiem, un par tām nav saņemtas būtiskas sūdzības no ģenerisko zāļu ražotājiem.</w:t>
            </w:r>
          </w:p>
        </w:tc>
      </w:tr>
      <w:tr w:rsidR="00702F42" w14:paraId="5982D468" w14:textId="77777777" w:rsidTr="00702F42">
        <w:tc>
          <w:tcPr>
            <w:tcW w:w="3539" w:type="dxa"/>
          </w:tcPr>
          <w:p w14:paraId="36035FBD" w14:textId="1E03915E" w:rsidR="00702F42" w:rsidRDefault="00702F42" w:rsidP="004D11C9">
            <w:pPr>
              <w:jc w:val="both"/>
              <w:rPr>
                <w:rFonts w:ascii="Times New Roman" w:eastAsia="Arial" w:hAnsi="Times New Roman" w:cs="Arial"/>
                <w:noProof/>
                <w:sz w:val="24"/>
                <w:szCs w:val="20"/>
              </w:rPr>
            </w:pPr>
            <w:r>
              <w:rPr>
                <w:rFonts w:ascii="Times New Roman" w:hAnsi="Times New Roman"/>
                <w:sz w:val="24"/>
              </w:rPr>
              <w:lastRenderedPageBreak/>
              <w:t>Ģenerisko zāļu piegādātāji bieži apstrīd patentus, lai panāktu ģenerisko zāļu laišanu tirgū, un tā rezultātā var rasties augstas tiesvedības izmaksas un zaudējumu kompensācijas.</w:t>
            </w:r>
          </w:p>
        </w:tc>
        <w:tc>
          <w:tcPr>
            <w:tcW w:w="5523" w:type="dxa"/>
          </w:tcPr>
          <w:p w14:paraId="212A44B6" w14:textId="77777777" w:rsidR="00702F42" w:rsidRPr="004D11C9" w:rsidRDefault="00702F42" w:rsidP="00702F42">
            <w:pPr>
              <w:pStyle w:val="TableParagraph"/>
              <w:jc w:val="both"/>
              <w:rPr>
                <w:rFonts w:ascii="Times New Roman" w:hAnsi="Times New Roman"/>
                <w:noProof/>
                <w:sz w:val="24"/>
              </w:rPr>
            </w:pPr>
            <w:r>
              <w:rPr>
                <w:rFonts w:ascii="Times New Roman" w:hAnsi="Times New Roman"/>
                <w:sz w:val="24"/>
              </w:rPr>
              <w:t>No vienas puses, augstu tiesvedības izmaksu un zaudējumu kompensāciju iespējamība var būt būtisks šķērslis ienākšanai tirgū pat tad, ja apstrīdētais patents ir vājš. No otras puses, firmas zīmi izmantojošu uzņēmumu spēja aizsargāt savus derīgos patentus ir būtiska, lai tie būtu stimulēti uzņemties augstās izmaksas, kas nepieciešamas jaunu farmaceitisko līdzekļu laišanai tirgū. Lai noteiktu, vai pastāv atbilstošs līdzsvars starp ģenerisko zāļu nonākšanu tirgū un farmaceitisko līdzekļu patentu aizsardzību, ir rūpīgi jāizanalizē sarežģīti jautājumi, kas tostarp saistīti ar piemēroto patentu apstiprināšanas procesu, patentu tiesisko regulējumu un firmas zīmi izmantojošo uzņēmumu un ģenerisko zāļu uzņēmumu ienākšanas tirgū un tiesvedības stratēģijām.</w:t>
            </w:r>
          </w:p>
          <w:p w14:paraId="3A7C9C3E" w14:textId="6D9AC6B1" w:rsidR="00702F42" w:rsidRDefault="00702F42" w:rsidP="00702F42">
            <w:pPr>
              <w:jc w:val="both"/>
              <w:rPr>
                <w:rFonts w:ascii="Times New Roman" w:eastAsia="Arial" w:hAnsi="Times New Roman" w:cs="Arial"/>
                <w:noProof/>
                <w:sz w:val="24"/>
                <w:szCs w:val="20"/>
              </w:rPr>
            </w:pPr>
            <w:r>
              <w:rPr>
                <w:rFonts w:ascii="Times New Roman" w:hAnsi="Times New Roman"/>
                <w:sz w:val="24"/>
              </w:rPr>
              <w:t>Tomēr Veselības ministrija ir informēta par to, ka šim jautājumam tiks pievērsta uzmanība arī iepriekš minētajā valsts konkurences uzraudzības iestādes pārbaudē.</w:t>
            </w:r>
          </w:p>
        </w:tc>
      </w:tr>
      <w:tr w:rsidR="00702F42" w14:paraId="4E43440D" w14:textId="77777777" w:rsidTr="00702F42">
        <w:tc>
          <w:tcPr>
            <w:tcW w:w="3539" w:type="dxa"/>
          </w:tcPr>
          <w:p w14:paraId="1343E05E" w14:textId="31346E4C" w:rsidR="00702F42" w:rsidRDefault="00702F42" w:rsidP="004D11C9">
            <w:pPr>
              <w:jc w:val="both"/>
              <w:rPr>
                <w:rFonts w:ascii="Times New Roman" w:eastAsia="Arial" w:hAnsi="Times New Roman" w:cs="Arial"/>
                <w:noProof/>
                <w:sz w:val="24"/>
                <w:szCs w:val="20"/>
              </w:rPr>
            </w:pPr>
            <w:r>
              <w:rPr>
                <w:rFonts w:ascii="Times New Roman" w:hAnsi="Times New Roman"/>
                <w:sz w:val="24"/>
              </w:rPr>
              <w:t>Saskaņā ar veselības aizsardzības jomas tiesisko regulējumu farmaceitisko līdzekļu importēšana un piegādāšana tieši pacientam ir aizliegta.</w:t>
            </w:r>
          </w:p>
        </w:tc>
        <w:tc>
          <w:tcPr>
            <w:tcW w:w="5523" w:type="dxa"/>
          </w:tcPr>
          <w:p w14:paraId="34A5006E" w14:textId="77777777" w:rsidR="00702F42" w:rsidRDefault="00702F42" w:rsidP="00702F42">
            <w:pPr>
              <w:pStyle w:val="TableParagraph"/>
              <w:jc w:val="both"/>
              <w:rPr>
                <w:rFonts w:ascii="Times New Roman" w:hAnsi="Times New Roman"/>
                <w:noProof/>
                <w:sz w:val="24"/>
              </w:rPr>
            </w:pPr>
            <w:r>
              <w:rPr>
                <w:rFonts w:ascii="Times New Roman" w:hAnsi="Times New Roman"/>
                <w:sz w:val="24"/>
              </w:rPr>
              <w:t xml:space="preserve">Atļaujot pacientiem tieši importēt farmaceitiskos līdzekļus, dažos gadījumos varētu samazināties farmaceitisko līdzekļu izmaksas (piemēram, ja pacienti vēlas samazināt savu </w:t>
            </w:r>
            <w:r>
              <w:rPr>
                <w:rFonts w:ascii="Times New Roman" w:hAnsi="Times New Roman"/>
                <w:i/>
                <w:sz w:val="24"/>
              </w:rPr>
              <w:t>NPIP</w:t>
            </w:r>
            <w:r>
              <w:rPr>
                <w:rFonts w:ascii="Times New Roman" w:hAnsi="Times New Roman"/>
                <w:sz w:val="24"/>
              </w:rPr>
              <w:t xml:space="preserve"> līdzmaksājumu summu vai iegādājas </w:t>
            </w:r>
            <w:r>
              <w:rPr>
                <w:rFonts w:ascii="Times New Roman" w:hAnsi="Times New Roman"/>
                <w:i/>
                <w:sz w:val="24"/>
              </w:rPr>
              <w:t>NPIP</w:t>
            </w:r>
            <w:r>
              <w:rPr>
                <w:rFonts w:ascii="Times New Roman" w:hAnsi="Times New Roman"/>
                <w:sz w:val="24"/>
              </w:rPr>
              <w:t xml:space="preserve"> neietilpstošus farmaceitiskos līdzekļus).</w:t>
            </w:r>
          </w:p>
          <w:p w14:paraId="390E4B76" w14:textId="77777777" w:rsidR="00702F42" w:rsidRPr="004D11C9" w:rsidRDefault="00702F42" w:rsidP="00702F42">
            <w:pPr>
              <w:pStyle w:val="TableParagraph"/>
              <w:jc w:val="both"/>
              <w:rPr>
                <w:rFonts w:ascii="Times New Roman" w:hAnsi="Times New Roman"/>
                <w:noProof/>
                <w:sz w:val="24"/>
              </w:rPr>
            </w:pPr>
          </w:p>
          <w:p w14:paraId="2E03438D" w14:textId="7471BCFD" w:rsidR="00702F42" w:rsidRDefault="00702F42" w:rsidP="00702F42">
            <w:pPr>
              <w:jc w:val="both"/>
              <w:rPr>
                <w:rFonts w:ascii="Times New Roman" w:eastAsia="Arial" w:hAnsi="Times New Roman" w:cs="Arial"/>
                <w:noProof/>
                <w:sz w:val="24"/>
                <w:szCs w:val="20"/>
              </w:rPr>
            </w:pPr>
            <w:r>
              <w:rPr>
                <w:rFonts w:ascii="Times New Roman" w:hAnsi="Times New Roman"/>
                <w:sz w:val="24"/>
              </w:rPr>
              <w:t>Tomēr tiešā saistībā ar pacientu importētajiem farmaceitiskajiem līdzekļiem pastāv arī būtiski veselības aizsardzības un drošuma jautājumi. Tā kā šādu farmaceitisku līdzekļu izsniedzējs atrodas ārpus valsts robežām, Veselības ministrija nespēj pilnībā nodrošināt izsniegto zāļu drošumu, recepšu pareizu parakstīšanu un pacientu pienācīgu konsultēšanu. Gadījumos, kad tiek pieļauta kļūda vai tiek izsniegtas sliktas kvalitātes zāles, kas kaitē pacientam, valsts veselības aprūpes sistēma segtu attiecīgās ārstniecības izmaksas. Tiesiskā regulējuma izstrāde un pārvaldība šo problēmu risināšanai būtu sarežģīts, dārgs un ilgstošs process, un tas saskartos ar spēcīgu vietējās farmācijas nozares pretestību.</w:t>
            </w:r>
          </w:p>
        </w:tc>
      </w:tr>
      <w:tr w:rsidR="00702F42" w14:paraId="3622AE42" w14:textId="77777777" w:rsidTr="00702F42">
        <w:tc>
          <w:tcPr>
            <w:tcW w:w="3539" w:type="dxa"/>
          </w:tcPr>
          <w:p w14:paraId="700BBFFE" w14:textId="1814E1D8" w:rsidR="00702F42" w:rsidRDefault="00702F42" w:rsidP="004D11C9">
            <w:pPr>
              <w:jc w:val="both"/>
              <w:rPr>
                <w:rFonts w:ascii="Times New Roman" w:eastAsia="Arial" w:hAnsi="Times New Roman" w:cs="Arial"/>
                <w:noProof/>
                <w:sz w:val="24"/>
                <w:szCs w:val="20"/>
              </w:rPr>
            </w:pPr>
            <w:r>
              <w:rPr>
                <w:rFonts w:ascii="Times New Roman" w:hAnsi="Times New Roman"/>
                <w:sz w:val="24"/>
              </w:rPr>
              <w:t>To patentēto farmaceitisko līdzekļu cenas, kas ir iekļauti valsts izsniedzamo zāļu sarakstā, nedrīkst pārsniegt salīdzināmo valstu apakšgrupas vidējo cenu.</w:t>
            </w:r>
          </w:p>
        </w:tc>
        <w:tc>
          <w:tcPr>
            <w:tcW w:w="5523" w:type="dxa"/>
          </w:tcPr>
          <w:p w14:paraId="0DD16BD6" w14:textId="37E93AE8" w:rsidR="00702F42" w:rsidRDefault="00702F42" w:rsidP="004D11C9">
            <w:pPr>
              <w:jc w:val="both"/>
              <w:rPr>
                <w:rFonts w:ascii="Times New Roman" w:eastAsia="Arial" w:hAnsi="Times New Roman" w:cs="Arial"/>
                <w:noProof/>
                <w:sz w:val="24"/>
                <w:szCs w:val="20"/>
              </w:rPr>
            </w:pPr>
            <w:r>
              <w:rPr>
                <w:rFonts w:ascii="Times New Roman" w:hAnsi="Times New Roman"/>
                <w:sz w:val="24"/>
              </w:rPr>
              <w:t xml:space="preserve">Cenu ierobežošana valsts izsniedzamo zāļu sarakstā neļauj firmas zīmi izmantojošajiem uzņēmumiem izmantot savas patentu monopoltiesības tam, lai valstī noteiktu cenas, kas būtu augstākas par tādās salīdzinājuma valstīs noteikto cenu vidējo vērtību, kurās pastāv līdzīgi labklājības un veselības aprūpes sektora profili. Vairums ESAO valstu piemēro noteiktu maksimālās cenas regulējumu attiecībā uz patentēto zāļu cenām, vairākām jurisdikcijām izmantojot salīdzinājuma valstu pieeju. Tā kā šī pieeja tiek plaši izmantota starptautiskā mērogā, tās izmantošana valstī nerada </w:t>
            </w:r>
            <w:r>
              <w:rPr>
                <w:rFonts w:ascii="Times New Roman" w:hAnsi="Times New Roman"/>
                <w:sz w:val="24"/>
              </w:rPr>
              <w:lastRenderedPageBreak/>
              <w:t>būtiskus šķēršļus jaunu farmaceitisko produktu nonākšanai tirgū un tās atcelšana varētu izraisīt cenu paaugstināšanos.</w:t>
            </w:r>
          </w:p>
        </w:tc>
      </w:tr>
      <w:tr w:rsidR="00702F42" w14:paraId="20151787" w14:textId="77777777" w:rsidTr="00702F42">
        <w:tc>
          <w:tcPr>
            <w:tcW w:w="3539" w:type="dxa"/>
          </w:tcPr>
          <w:p w14:paraId="392DD0DA" w14:textId="0954848A" w:rsidR="00702F42" w:rsidRDefault="00702F42" w:rsidP="004D11C9">
            <w:pPr>
              <w:jc w:val="both"/>
              <w:rPr>
                <w:rFonts w:ascii="Times New Roman" w:eastAsia="Arial" w:hAnsi="Times New Roman" w:cs="Arial"/>
                <w:noProof/>
                <w:sz w:val="24"/>
                <w:szCs w:val="20"/>
              </w:rPr>
            </w:pPr>
            <w:r>
              <w:rPr>
                <w:rFonts w:ascii="Times New Roman" w:hAnsi="Times New Roman"/>
                <w:sz w:val="24"/>
              </w:rPr>
              <w:lastRenderedPageBreak/>
              <w:t>Lai ģeneriskās zāles varētu iekļaut valsts un NPIP zāļu formulāros, tām jābūt vismaz par 35 % lētākām par zālēm, kas marķētas ar firmas zīmi un ko ir paredzēts aizstāt ar attiecīgajām ģeneriskajām zālēm.</w:t>
            </w:r>
          </w:p>
        </w:tc>
        <w:tc>
          <w:tcPr>
            <w:tcW w:w="5523" w:type="dxa"/>
          </w:tcPr>
          <w:p w14:paraId="67D6F8F5" w14:textId="77777777" w:rsidR="00702F42" w:rsidRDefault="00702F42" w:rsidP="00702F42">
            <w:pPr>
              <w:pStyle w:val="TableParagraph"/>
              <w:jc w:val="both"/>
              <w:rPr>
                <w:rFonts w:ascii="Times New Roman" w:hAnsi="Times New Roman"/>
                <w:noProof/>
                <w:sz w:val="24"/>
              </w:rPr>
            </w:pPr>
            <w:r>
              <w:rPr>
                <w:rFonts w:ascii="Times New Roman" w:hAnsi="Times New Roman"/>
                <w:sz w:val="24"/>
              </w:rPr>
              <w:t xml:space="preserve">Šī prasība nodrošina, ka ģenerisko zāļu konkurētspējīga nonākšana tirgū vairumā gadījumu sniedz pircējiem vismaz 35 % lielu ietaupījumu. Lai nekavētu relatīvi dārgu ģenerisku zāļu laišanu tirgū, ir pieļaujami izņēmumi, ja ražotājs var pierādīt </w:t>
            </w:r>
            <w:r>
              <w:rPr>
                <w:rFonts w:ascii="Times New Roman" w:hAnsi="Times New Roman"/>
                <w:i/>
                <w:sz w:val="24"/>
              </w:rPr>
              <w:t>PAD</w:t>
            </w:r>
            <w:r>
              <w:rPr>
                <w:rFonts w:ascii="Times New Roman" w:hAnsi="Times New Roman"/>
                <w:sz w:val="24"/>
              </w:rPr>
              <w:t>, ka tie ir pamatoti.</w:t>
            </w:r>
          </w:p>
          <w:p w14:paraId="3D19ADDD" w14:textId="77777777" w:rsidR="00702F42" w:rsidRPr="004D11C9" w:rsidRDefault="00702F42" w:rsidP="00702F42">
            <w:pPr>
              <w:pStyle w:val="TableParagraph"/>
              <w:jc w:val="both"/>
              <w:rPr>
                <w:rFonts w:ascii="Times New Roman" w:hAnsi="Times New Roman"/>
                <w:noProof/>
                <w:sz w:val="24"/>
              </w:rPr>
            </w:pPr>
          </w:p>
          <w:p w14:paraId="2DB1FBC9" w14:textId="1D2FCF7A" w:rsidR="00702F42" w:rsidRDefault="00702F42" w:rsidP="00702F42">
            <w:pPr>
              <w:jc w:val="both"/>
              <w:rPr>
                <w:rFonts w:ascii="Times New Roman" w:eastAsia="Arial" w:hAnsi="Times New Roman" w:cs="Arial"/>
                <w:noProof/>
                <w:sz w:val="24"/>
                <w:szCs w:val="20"/>
              </w:rPr>
            </w:pPr>
            <w:r>
              <w:rPr>
                <w:rFonts w:ascii="Times New Roman" w:hAnsi="Times New Roman"/>
                <w:sz w:val="24"/>
              </w:rPr>
              <w:t>Politika rada ierobežotu šķērsli dārgu ģenerisko zāļu laišanai tirgū, bet, kas ir vēl svarīgāk, kā apspriests turpmāk, tā ir nodrošinājusi augstu cenas līmeni ģenerisko zāļu cenu noteikšanai.</w:t>
            </w:r>
          </w:p>
        </w:tc>
      </w:tr>
      <w:tr w:rsidR="00702F42" w14:paraId="7D8DB426" w14:textId="77777777" w:rsidTr="00702F42">
        <w:tc>
          <w:tcPr>
            <w:tcW w:w="3539" w:type="dxa"/>
          </w:tcPr>
          <w:p w14:paraId="3EFC9D03" w14:textId="00CACD98" w:rsidR="00702F42" w:rsidRDefault="00702F42" w:rsidP="004D11C9">
            <w:pPr>
              <w:jc w:val="both"/>
              <w:rPr>
                <w:rFonts w:ascii="Times New Roman" w:eastAsia="Arial" w:hAnsi="Times New Roman" w:cs="Arial"/>
                <w:noProof/>
                <w:sz w:val="24"/>
                <w:szCs w:val="20"/>
              </w:rPr>
            </w:pPr>
            <w:r>
              <w:rPr>
                <w:rFonts w:ascii="Times New Roman" w:hAnsi="Times New Roman"/>
                <w:sz w:val="24"/>
              </w:rPr>
              <w:t>Patērētājiem paredzētajās farmaceitisko līdzekļu reklāmās ir jābūt iekļautiem brīdinājumiem par iespējamu negatīvu reakciju.</w:t>
            </w:r>
          </w:p>
        </w:tc>
        <w:tc>
          <w:tcPr>
            <w:tcW w:w="5523" w:type="dxa"/>
          </w:tcPr>
          <w:p w14:paraId="7C204897" w14:textId="1EE3FCA2" w:rsidR="00702F42" w:rsidRDefault="00702F42" w:rsidP="004D11C9">
            <w:pPr>
              <w:jc w:val="both"/>
              <w:rPr>
                <w:rFonts w:ascii="Times New Roman" w:eastAsia="Arial" w:hAnsi="Times New Roman" w:cs="Arial"/>
                <w:noProof/>
                <w:sz w:val="24"/>
                <w:szCs w:val="20"/>
              </w:rPr>
            </w:pPr>
            <w:r>
              <w:rPr>
                <w:rFonts w:ascii="Times New Roman" w:hAnsi="Times New Roman"/>
                <w:sz w:val="24"/>
              </w:rPr>
              <w:t>Lai gan šādi brīdinājumi var samazināt patērētājiem paredzēto farmaceitisko līdzekļu reklāmu efektivitāti, tie sniedz vērtīgu veselības aizsardzības un drošības informāciju, lai palīdzētu pacientiem saziņā ar ārstu pieņemt apzinātus lēmumus par to iespējamo lietošanu.</w:t>
            </w:r>
          </w:p>
        </w:tc>
      </w:tr>
      <w:tr w:rsidR="00702F42" w14:paraId="4C518132" w14:textId="77777777" w:rsidTr="00702F42">
        <w:tc>
          <w:tcPr>
            <w:tcW w:w="3539" w:type="dxa"/>
          </w:tcPr>
          <w:p w14:paraId="623A5831" w14:textId="485EABBE" w:rsidR="00702F42" w:rsidRDefault="00702F42" w:rsidP="004D11C9">
            <w:pPr>
              <w:jc w:val="both"/>
              <w:rPr>
                <w:rFonts w:ascii="Times New Roman" w:eastAsia="Arial" w:hAnsi="Times New Roman" w:cs="Arial"/>
                <w:noProof/>
                <w:sz w:val="24"/>
                <w:szCs w:val="20"/>
              </w:rPr>
            </w:pPr>
            <w:r>
              <w:rPr>
                <w:rFonts w:ascii="Times New Roman" w:hAnsi="Times New Roman"/>
                <w:i/>
                <w:sz w:val="24"/>
              </w:rPr>
              <w:t>NPIP</w:t>
            </w:r>
            <w:r>
              <w:rPr>
                <w:rFonts w:ascii="Times New Roman" w:hAnsi="Times New Roman"/>
                <w:sz w:val="24"/>
              </w:rPr>
              <w:t xml:space="preserve"> ietvaros pacientiem ir jāsedz tikai neliela daļa no farmaceitisko līdzekļu izmaksām.</w:t>
            </w:r>
          </w:p>
        </w:tc>
        <w:tc>
          <w:tcPr>
            <w:tcW w:w="5523" w:type="dxa"/>
          </w:tcPr>
          <w:p w14:paraId="73562EE2" w14:textId="351CFAD7" w:rsidR="00702F42" w:rsidRDefault="00702F42" w:rsidP="004D11C9">
            <w:pPr>
              <w:jc w:val="both"/>
              <w:rPr>
                <w:rFonts w:ascii="Times New Roman" w:eastAsia="Arial" w:hAnsi="Times New Roman" w:cs="Arial"/>
                <w:noProof/>
                <w:sz w:val="24"/>
                <w:szCs w:val="20"/>
              </w:rPr>
            </w:pPr>
            <w:r>
              <w:rPr>
                <w:rFonts w:ascii="Times New Roman" w:hAnsi="Times New Roman"/>
                <w:i/>
                <w:sz w:val="24"/>
              </w:rPr>
              <w:t>NPIP</w:t>
            </w:r>
            <w:r>
              <w:rPr>
                <w:rFonts w:ascii="Times New Roman" w:hAnsi="Times New Roman"/>
                <w:sz w:val="24"/>
              </w:rPr>
              <w:t xml:space="preserve"> pacientu līdzmaksājumu paaugstināšana varētu palielināt zāles parakstošo ārstu jutību pret cenu un pacientu gatavību piekrist lētāku farmaceitisko līdzekļu, it īpaši ģenerisko zāļu, lietošanai. Tomēr, ņemot vērā sabiedrības augsto atbalstu </w:t>
            </w:r>
            <w:r>
              <w:rPr>
                <w:rFonts w:ascii="Times New Roman" w:hAnsi="Times New Roman"/>
                <w:i/>
                <w:sz w:val="24"/>
              </w:rPr>
              <w:t>NPIP</w:t>
            </w:r>
            <w:r>
              <w:rPr>
                <w:rFonts w:ascii="Times New Roman" w:hAnsi="Times New Roman"/>
                <w:sz w:val="24"/>
              </w:rPr>
              <w:t>, jebkurš priekšlikums par pacientu līdzmaksājumu ievērojamu paaugstināšanu, visticamāk, saskartos ar spēcīgu sabiedrības pretestību. Turklāt tas izraisītu nopietnas sabiedriskās kārtības problēmas. Šāda politika būtu rūpīgi jāizstrādā, lai neradītu nesamērīgu slogu personām ar zemākiem ienākumiem un ģimenēm. Pētījumi liecina arī par to, ka augstāki līdzmaksājumi var nelabvēlīgi ietekmēt veselību, jo pacienti, it īpaši pacienti no zemāku ienākumu grupām, var nolemt nelietot parakstītos medikamentus. Tādu pacientu skaita palielināšanās, kas nelieto parakstītos medikamentus, varētu palielināt ārstēšanas izmaksas arī citās veselības aprūpes sistēmas daļās.</w:t>
            </w:r>
          </w:p>
        </w:tc>
      </w:tr>
      <w:tr w:rsidR="00702F42" w14:paraId="477FB7DB" w14:textId="77777777" w:rsidTr="00702F42">
        <w:tc>
          <w:tcPr>
            <w:tcW w:w="3539" w:type="dxa"/>
          </w:tcPr>
          <w:p w14:paraId="2AE82D92" w14:textId="6CE73375" w:rsidR="00702F42" w:rsidRDefault="00702F42" w:rsidP="004D11C9">
            <w:pPr>
              <w:jc w:val="both"/>
              <w:rPr>
                <w:rFonts w:ascii="Times New Roman" w:eastAsia="Arial" w:hAnsi="Times New Roman" w:cs="Arial"/>
                <w:noProof/>
                <w:sz w:val="24"/>
                <w:szCs w:val="20"/>
              </w:rPr>
            </w:pPr>
            <w:r>
              <w:rPr>
                <w:rFonts w:ascii="Times New Roman" w:hAnsi="Times New Roman"/>
                <w:sz w:val="24"/>
              </w:rPr>
              <w:t>Visas farmaceitisko produktu cenas ir publicētas valsts izsniedzamo zāļu sarakstā.</w:t>
            </w:r>
          </w:p>
        </w:tc>
        <w:tc>
          <w:tcPr>
            <w:tcW w:w="5523" w:type="dxa"/>
          </w:tcPr>
          <w:p w14:paraId="6F440C6D" w14:textId="77777777" w:rsidR="00702F42" w:rsidRDefault="00702F42" w:rsidP="00702F42">
            <w:pPr>
              <w:pStyle w:val="TableParagraph"/>
              <w:jc w:val="both"/>
              <w:rPr>
                <w:rFonts w:ascii="Times New Roman" w:hAnsi="Times New Roman"/>
                <w:noProof/>
                <w:sz w:val="24"/>
              </w:rPr>
            </w:pPr>
            <w:r>
              <w:rPr>
                <w:rFonts w:ascii="Times New Roman" w:hAnsi="Times New Roman"/>
                <w:sz w:val="24"/>
              </w:rPr>
              <w:t>Farmaceitisko līdzekļu cenrāža cenas tiek publiskotas ar mērķi panākt, ka visiem pircējiem ir nodrošināta piekļuve farmaceitiskajiem līdzekļiem par vienādu cenu.</w:t>
            </w:r>
          </w:p>
          <w:p w14:paraId="209DAE81" w14:textId="77777777" w:rsidR="00702F42" w:rsidRPr="004D11C9" w:rsidRDefault="00702F42" w:rsidP="00702F42">
            <w:pPr>
              <w:pStyle w:val="TableParagraph"/>
              <w:jc w:val="both"/>
              <w:rPr>
                <w:rFonts w:ascii="Times New Roman" w:hAnsi="Times New Roman"/>
                <w:noProof/>
                <w:sz w:val="24"/>
              </w:rPr>
            </w:pPr>
          </w:p>
          <w:p w14:paraId="2828FD07" w14:textId="5C3C5CE9" w:rsidR="00702F42" w:rsidRDefault="00702F42" w:rsidP="00702F42">
            <w:pPr>
              <w:jc w:val="both"/>
              <w:rPr>
                <w:rFonts w:ascii="Times New Roman" w:eastAsia="Arial" w:hAnsi="Times New Roman" w:cs="Arial"/>
                <w:noProof/>
                <w:sz w:val="24"/>
                <w:szCs w:val="20"/>
              </w:rPr>
            </w:pPr>
            <w:r>
              <w:rPr>
                <w:rFonts w:ascii="Times New Roman" w:hAnsi="Times New Roman"/>
                <w:sz w:val="24"/>
              </w:rPr>
              <w:t xml:space="preserve">Tomēr </w:t>
            </w:r>
            <w:r>
              <w:rPr>
                <w:rFonts w:ascii="Times New Roman" w:hAnsi="Times New Roman"/>
                <w:i/>
                <w:sz w:val="24"/>
              </w:rPr>
              <w:t>PAD</w:t>
            </w:r>
            <w:r>
              <w:rPr>
                <w:rFonts w:ascii="Times New Roman" w:hAnsi="Times New Roman"/>
                <w:sz w:val="24"/>
              </w:rPr>
              <w:t xml:space="preserve"> darbinieki, izskatot jaunāko ģenerisko farmaceitisko līdzekļu cenas valsts izsniedzamo zāļu sarakstā, konstatēja, ka tās atbilst 65 % no attiecīgo ar firmas zīmi marķēto produktu cenām, kas liecina par to, ka cenu publiskošana veicina cenu līmeņa noteikšanu maksimālajā līmenī, kāds ir atļauts normatīvajos aktos. Šāda situācija pastāvēja pat tad, ja bija pieejamas vairākas ar firmas zīmi marķētu produktu ģeneriskās versijas. Tas, ka politikas dēļ var pastāvēt augsts ģenerisko zāļu cenu </w:t>
            </w:r>
            <w:r>
              <w:rPr>
                <w:rFonts w:ascii="Times New Roman" w:hAnsi="Times New Roman"/>
                <w:sz w:val="24"/>
              </w:rPr>
              <w:lastRenderedPageBreak/>
              <w:t>līmenis, saskan ar neatkarīgos pētījumos secināto, kuros norādīts, ka salīdzinājumā ar lielāko daļu citu valstu vietējā tirgū pastāv augstas ģenerisko zāļu cenas.</w:t>
            </w:r>
          </w:p>
        </w:tc>
      </w:tr>
      <w:tr w:rsidR="00702F42" w14:paraId="65CA7043" w14:textId="77777777" w:rsidTr="00702F42">
        <w:tc>
          <w:tcPr>
            <w:tcW w:w="3539" w:type="dxa"/>
          </w:tcPr>
          <w:p w14:paraId="7A00EEB2" w14:textId="594F7346" w:rsidR="00702F42" w:rsidRDefault="00702F42" w:rsidP="004D11C9">
            <w:pPr>
              <w:jc w:val="both"/>
              <w:rPr>
                <w:rFonts w:ascii="Times New Roman" w:eastAsia="Arial" w:hAnsi="Times New Roman" w:cs="Arial"/>
                <w:noProof/>
                <w:sz w:val="24"/>
                <w:szCs w:val="20"/>
              </w:rPr>
            </w:pPr>
            <w:r>
              <w:rPr>
                <w:rFonts w:ascii="Times New Roman" w:hAnsi="Times New Roman"/>
                <w:sz w:val="24"/>
              </w:rPr>
              <w:lastRenderedPageBreak/>
              <w:t xml:space="preserve">Pacientiem ir jāsedz visas izmaksas, kas saistītas ar farmaceitiskajiem līdzekļiem, kuri ir iekļauti valsts izsniedzamo zāļu sarakstā, bet nav iekļauti </w:t>
            </w:r>
            <w:r>
              <w:rPr>
                <w:rFonts w:ascii="Times New Roman" w:hAnsi="Times New Roman"/>
                <w:i/>
                <w:sz w:val="24"/>
              </w:rPr>
              <w:t>NPIP</w:t>
            </w:r>
            <w:r>
              <w:rPr>
                <w:rFonts w:ascii="Times New Roman" w:hAnsi="Times New Roman"/>
                <w:sz w:val="24"/>
              </w:rPr>
              <w:t xml:space="preserve"> izsniedzamo zāļu sarakstā.</w:t>
            </w:r>
          </w:p>
        </w:tc>
        <w:tc>
          <w:tcPr>
            <w:tcW w:w="5523" w:type="dxa"/>
          </w:tcPr>
          <w:p w14:paraId="10D2105D" w14:textId="71F1E4F2" w:rsidR="00702F42" w:rsidRDefault="00702F42" w:rsidP="004D11C9">
            <w:pPr>
              <w:jc w:val="both"/>
              <w:rPr>
                <w:rFonts w:ascii="Times New Roman" w:eastAsia="Arial" w:hAnsi="Times New Roman" w:cs="Arial"/>
                <w:noProof/>
                <w:sz w:val="24"/>
                <w:szCs w:val="20"/>
              </w:rPr>
            </w:pPr>
            <w:r>
              <w:rPr>
                <w:rFonts w:ascii="Times New Roman" w:hAnsi="Times New Roman"/>
                <w:sz w:val="24"/>
              </w:rPr>
              <w:t xml:space="preserve">Dažu valsts izsniedzamo zāļu sarakstā iekļautu zāļu izslēgšana no </w:t>
            </w:r>
            <w:r>
              <w:rPr>
                <w:rFonts w:ascii="Times New Roman" w:hAnsi="Times New Roman"/>
                <w:i/>
                <w:sz w:val="24"/>
              </w:rPr>
              <w:t>NPIP</w:t>
            </w:r>
            <w:r>
              <w:rPr>
                <w:rFonts w:ascii="Times New Roman" w:hAnsi="Times New Roman"/>
                <w:sz w:val="24"/>
              </w:rPr>
              <w:t xml:space="preserve"> izsniedzamo zāļu saraksta ir izmaksu kontroles pasākums, kas paredzēts, lai ierobežotu relatīvi dārgu farmaceitisko līdzekļu izsniegšanu, ja terapeitiskajā grupā ir pieejamas citas efektīvas, lētākas alternatīvas, un lai novērstu medicīniski nevajadzīgu farmaceitisko līdzekļu kompensēšanu no </w:t>
            </w:r>
            <w:r>
              <w:rPr>
                <w:rFonts w:ascii="Times New Roman" w:hAnsi="Times New Roman"/>
                <w:i/>
                <w:sz w:val="24"/>
              </w:rPr>
              <w:t>NPIP</w:t>
            </w:r>
            <w:r>
              <w:rPr>
                <w:rFonts w:ascii="Times New Roman" w:hAnsi="Times New Roman"/>
                <w:sz w:val="24"/>
              </w:rPr>
              <w:t xml:space="preserve"> līdzekļiem. </w:t>
            </w:r>
            <w:r>
              <w:rPr>
                <w:rFonts w:ascii="Times New Roman" w:hAnsi="Times New Roman"/>
                <w:i/>
                <w:sz w:val="24"/>
              </w:rPr>
              <w:t>NPIP</w:t>
            </w:r>
            <w:r>
              <w:rPr>
                <w:rFonts w:ascii="Times New Roman" w:hAnsi="Times New Roman"/>
                <w:sz w:val="24"/>
              </w:rPr>
              <w:t xml:space="preserve"> izsniedzamo zāļu saraksta ierobežošana, paredzot, ka tajā ir iekļaujami tikai salīdzinoši lēti farmaceitiskie līdzekļi, var veicināt konkurenci starp dažādiem farmaceitiskajiem līdzekļiem vienas terapeitiskās grupas ietvaros. Lai nepieļautu, ka politikai ir pārlieku nelabvēlīga ietekme uz veselības aizsardzību un pārdali, ir pieļaujami medicīniski pamatoti izņēmumi.</w:t>
            </w:r>
          </w:p>
        </w:tc>
      </w:tr>
      <w:tr w:rsidR="00702F42" w14:paraId="50FD69C6" w14:textId="77777777" w:rsidTr="00702F42">
        <w:tc>
          <w:tcPr>
            <w:tcW w:w="3539" w:type="dxa"/>
          </w:tcPr>
          <w:p w14:paraId="1D7A4BCD" w14:textId="7849AEA5" w:rsidR="00702F42" w:rsidRDefault="00702F42" w:rsidP="004D11C9">
            <w:pPr>
              <w:jc w:val="both"/>
              <w:rPr>
                <w:rFonts w:ascii="Times New Roman" w:eastAsia="Arial" w:hAnsi="Times New Roman" w:cs="Arial"/>
                <w:noProof/>
                <w:sz w:val="24"/>
                <w:szCs w:val="20"/>
              </w:rPr>
            </w:pPr>
            <w:r>
              <w:rPr>
                <w:rFonts w:ascii="Times New Roman" w:hAnsi="Times New Roman"/>
                <w:sz w:val="24"/>
              </w:rPr>
              <w:t xml:space="preserve">Saskaņā ar </w:t>
            </w:r>
            <w:r>
              <w:rPr>
                <w:rFonts w:ascii="Times New Roman" w:hAnsi="Times New Roman"/>
                <w:i/>
                <w:sz w:val="24"/>
              </w:rPr>
              <w:t>NPIP</w:t>
            </w:r>
            <w:r>
              <w:rPr>
                <w:rFonts w:ascii="Times New Roman" w:hAnsi="Times New Roman"/>
                <w:sz w:val="24"/>
              </w:rPr>
              <w:t xml:space="preserve"> kompensācijas politiku tad, ja tiek parakstītas ģeneriskās zāles, farmaceita summa, par ko ir izrakstīts rēķins </w:t>
            </w:r>
            <w:r>
              <w:rPr>
                <w:rFonts w:ascii="Times New Roman" w:hAnsi="Times New Roman"/>
                <w:i/>
                <w:sz w:val="24"/>
              </w:rPr>
              <w:t>NPP</w:t>
            </w:r>
            <w:r>
              <w:rPr>
                <w:rFonts w:ascii="Times New Roman" w:hAnsi="Times New Roman"/>
                <w:sz w:val="24"/>
              </w:rPr>
              <w:t>, nevar būt lielāka par to lētāko savstarpēji aizvietojamo ģenerisko zāļu cenu, kas ir iekļautas valsts izsniedzamo zāļu sarakstā.</w:t>
            </w:r>
          </w:p>
        </w:tc>
        <w:tc>
          <w:tcPr>
            <w:tcW w:w="5523" w:type="dxa"/>
          </w:tcPr>
          <w:p w14:paraId="77BAB6A2" w14:textId="286B98E8" w:rsidR="00702F42" w:rsidRDefault="00702F42" w:rsidP="004D11C9">
            <w:pPr>
              <w:jc w:val="both"/>
              <w:rPr>
                <w:rFonts w:ascii="Times New Roman" w:eastAsia="Arial" w:hAnsi="Times New Roman" w:cs="Arial"/>
                <w:noProof/>
                <w:sz w:val="24"/>
                <w:szCs w:val="20"/>
              </w:rPr>
            </w:pPr>
            <w:r>
              <w:rPr>
                <w:rFonts w:ascii="Times New Roman" w:hAnsi="Times New Roman"/>
                <w:sz w:val="24"/>
              </w:rPr>
              <w:t xml:space="preserve">Lai gan šāda politika var ierobežot aptieku izvēli, tās mērķis ir veicināt efektīvāku ģenerisko zāļu cenu konkurenci. Šī politika nodrošina, ka </w:t>
            </w:r>
            <w:r>
              <w:rPr>
                <w:rFonts w:ascii="Times New Roman" w:hAnsi="Times New Roman"/>
                <w:i/>
                <w:sz w:val="24"/>
              </w:rPr>
              <w:t>NPP</w:t>
            </w:r>
            <w:r>
              <w:rPr>
                <w:rFonts w:ascii="Times New Roman" w:hAnsi="Times New Roman"/>
                <w:sz w:val="24"/>
              </w:rPr>
              <w:t xml:space="preserve"> maksātā summa nepārsniedz to lētāko savstarpēji aizvietojamo ģenerisko zāļu cenu, kas ir iekļautas valsts izsniedzamo zāļu sarakstā.</w:t>
            </w:r>
          </w:p>
        </w:tc>
      </w:tr>
      <w:tr w:rsidR="00C407BB" w14:paraId="0A18F0D0" w14:textId="77777777" w:rsidTr="000F3534">
        <w:tc>
          <w:tcPr>
            <w:tcW w:w="9062" w:type="dxa"/>
            <w:gridSpan w:val="2"/>
          </w:tcPr>
          <w:p w14:paraId="48E8127B" w14:textId="77777777" w:rsidR="00C407BB" w:rsidRPr="004D11C9" w:rsidRDefault="00C407BB" w:rsidP="00C407BB">
            <w:pPr>
              <w:jc w:val="both"/>
              <w:rPr>
                <w:rFonts w:ascii="Times New Roman" w:hAnsi="Times New Roman"/>
                <w:b/>
                <w:noProof/>
                <w:sz w:val="24"/>
              </w:rPr>
            </w:pPr>
            <w:r>
              <w:rPr>
                <w:rFonts w:ascii="Times New Roman" w:hAnsi="Times New Roman"/>
                <w:b/>
                <w:sz w:val="24"/>
              </w:rPr>
              <w:t>Detalizēta konkurences analīze</w:t>
            </w:r>
          </w:p>
          <w:p w14:paraId="0A19DF0A" w14:textId="77777777" w:rsidR="00C407BB" w:rsidRPr="004D11C9" w:rsidRDefault="00C407BB" w:rsidP="00C407BB">
            <w:pPr>
              <w:jc w:val="both"/>
              <w:rPr>
                <w:rFonts w:ascii="Times New Roman" w:eastAsia="Arial" w:hAnsi="Times New Roman" w:cs="Arial"/>
                <w:b/>
                <w:bCs/>
                <w:noProof/>
                <w:sz w:val="24"/>
                <w:szCs w:val="14"/>
              </w:rPr>
            </w:pPr>
          </w:p>
          <w:p w14:paraId="120A9BB3" w14:textId="77777777" w:rsidR="00C407BB" w:rsidRDefault="00C407BB" w:rsidP="004D11C9">
            <w:pPr>
              <w:jc w:val="both"/>
              <w:rPr>
                <w:rFonts w:ascii="Times New Roman" w:hAnsi="Times New Roman"/>
                <w:noProof/>
                <w:sz w:val="24"/>
              </w:rPr>
            </w:pPr>
            <w:r>
              <w:rPr>
                <w:rFonts w:ascii="Times New Roman" w:hAnsi="Times New Roman"/>
                <w:sz w:val="24"/>
              </w:rPr>
              <w:t>Pamatojoties uz sākotnējo konkurences novērtējumu, padziļinātai konkurences novērtēšanai ir izraudzītas šādas ierobežojošas prasības:</w:t>
            </w:r>
          </w:p>
          <w:p w14:paraId="7C86CBFC" w14:textId="77777777" w:rsidR="00C407BB" w:rsidRDefault="00C407BB" w:rsidP="004D11C9">
            <w:pPr>
              <w:jc w:val="both"/>
              <w:rPr>
                <w:rFonts w:ascii="Times New Roman" w:hAnsi="Times New Roman"/>
                <w:noProof/>
                <w:sz w:val="24"/>
              </w:rPr>
            </w:pPr>
          </w:p>
          <w:p w14:paraId="11480336" w14:textId="77777777" w:rsidR="00C407BB" w:rsidRPr="00C407BB" w:rsidRDefault="00C407BB" w:rsidP="00C407BB">
            <w:pPr>
              <w:numPr>
                <w:ilvl w:val="3"/>
                <w:numId w:val="19"/>
              </w:numPr>
              <w:ind w:left="426" w:hanging="426"/>
              <w:jc w:val="both"/>
              <w:rPr>
                <w:rFonts w:ascii="Times New Roman" w:hAnsi="Times New Roman"/>
                <w:noProof/>
                <w:sz w:val="24"/>
              </w:rPr>
            </w:pPr>
            <w:r>
              <w:rPr>
                <w:rFonts w:ascii="Times New Roman" w:hAnsi="Times New Roman"/>
                <w:sz w:val="24"/>
              </w:rPr>
              <w:t xml:space="preserve">ģeneriskajām zālēm ir jābūt iekļautām valsts un </w:t>
            </w:r>
            <w:r>
              <w:rPr>
                <w:rFonts w:ascii="Times New Roman" w:hAnsi="Times New Roman"/>
                <w:i/>
                <w:sz w:val="24"/>
              </w:rPr>
              <w:t>NPIP</w:t>
            </w:r>
            <w:r>
              <w:rPr>
                <w:rFonts w:ascii="Times New Roman" w:hAnsi="Times New Roman"/>
                <w:sz w:val="24"/>
              </w:rPr>
              <w:t xml:space="preserve"> formulāros, un jānodrošina vismaz 35 % liels ietaupījums salīdzinājumā ar zālēm, kas ir marķētas ar firmas zīmi un ko ir paredzēts aizvietot ar attiecīgajām ģeneriskajām zālēm, un</w:t>
            </w:r>
          </w:p>
          <w:p w14:paraId="12AFDE0D" w14:textId="77777777" w:rsidR="00C407BB" w:rsidRPr="004D11C9" w:rsidRDefault="00C407BB" w:rsidP="00C407BB">
            <w:pPr>
              <w:numPr>
                <w:ilvl w:val="3"/>
                <w:numId w:val="19"/>
              </w:numPr>
              <w:ind w:left="426" w:hanging="426"/>
              <w:jc w:val="both"/>
              <w:rPr>
                <w:rFonts w:ascii="Times New Roman" w:eastAsia="Arial" w:hAnsi="Times New Roman" w:cs="Arial"/>
                <w:noProof/>
                <w:sz w:val="24"/>
                <w:szCs w:val="18"/>
              </w:rPr>
            </w:pPr>
            <w:r>
              <w:rPr>
                <w:rFonts w:ascii="Times New Roman" w:hAnsi="Times New Roman"/>
                <w:sz w:val="24"/>
              </w:rPr>
              <w:t>visas farmaceitisko produktu cenas ir jāpublicē valsts izsniedzamo zāļu sarakstā.</w:t>
            </w:r>
          </w:p>
          <w:p w14:paraId="7FE64B5F" w14:textId="77777777" w:rsidR="00C407BB" w:rsidRPr="004D11C9" w:rsidRDefault="00C407BB" w:rsidP="00C407BB">
            <w:pPr>
              <w:jc w:val="both"/>
              <w:rPr>
                <w:rFonts w:ascii="Times New Roman" w:eastAsia="Arial" w:hAnsi="Times New Roman" w:cs="Arial"/>
                <w:noProof/>
                <w:sz w:val="24"/>
                <w:szCs w:val="14"/>
              </w:rPr>
            </w:pPr>
          </w:p>
          <w:p w14:paraId="40E6739F" w14:textId="77777777" w:rsidR="00C407BB" w:rsidRDefault="00C407BB" w:rsidP="00C407BB">
            <w:pPr>
              <w:jc w:val="both"/>
              <w:rPr>
                <w:rFonts w:ascii="Times New Roman" w:hAnsi="Times New Roman"/>
                <w:noProof/>
                <w:sz w:val="24"/>
              </w:rPr>
            </w:pPr>
            <w:r>
              <w:rPr>
                <w:rFonts w:ascii="Times New Roman" w:hAnsi="Times New Roman"/>
                <w:sz w:val="24"/>
              </w:rPr>
              <w:t>Lai veiktu šo ierobežojumu detalizētu konkurences novērtējumu, ministrijas darbinieki papildus iekšējiem nozares un ekonomikas ekspertiem:</w:t>
            </w:r>
          </w:p>
          <w:p w14:paraId="63EE7B31" w14:textId="77777777" w:rsidR="00C407BB" w:rsidRPr="004D11C9" w:rsidRDefault="00C407BB" w:rsidP="00C407BB">
            <w:pPr>
              <w:jc w:val="both"/>
              <w:rPr>
                <w:rFonts w:ascii="Times New Roman" w:hAnsi="Times New Roman"/>
                <w:noProof/>
                <w:sz w:val="24"/>
              </w:rPr>
            </w:pPr>
          </w:p>
          <w:p w14:paraId="4EF8FE3C" w14:textId="77777777" w:rsidR="00C407BB" w:rsidRPr="004D11C9" w:rsidRDefault="00C407BB" w:rsidP="00C407BB">
            <w:pPr>
              <w:numPr>
                <w:ilvl w:val="3"/>
                <w:numId w:val="19"/>
              </w:numPr>
              <w:ind w:left="426" w:hanging="426"/>
              <w:jc w:val="both"/>
              <w:rPr>
                <w:rFonts w:ascii="Times New Roman" w:hAnsi="Times New Roman"/>
                <w:noProof/>
                <w:sz w:val="24"/>
              </w:rPr>
            </w:pPr>
            <w:r>
              <w:rPr>
                <w:rFonts w:ascii="Times New Roman" w:hAnsi="Times New Roman"/>
                <w:sz w:val="24"/>
              </w:rPr>
              <w:t>izmantoja arī ārējus nozares un ekonomikas ekspertus un saņēma analītiskus padomus un informāciju no valsts konkurences uzraudzības iestādes;</w:t>
            </w:r>
          </w:p>
          <w:p w14:paraId="413E322B" w14:textId="77777777" w:rsidR="00C407BB" w:rsidRPr="004D11C9" w:rsidRDefault="00C407BB" w:rsidP="00C407BB">
            <w:pPr>
              <w:numPr>
                <w:ilvl w:val="3"/>
                <w:numId w:val="19"/>
              </w:numPr>
              <w:ind w:left="426" w:hanging="426"/>
              <w:jc w:val="both"/>
              <w:rPr>
                <w:rFonts w:ascii="Times New Roman" w:hAnsi="Times New Roman"/>
                <w:noProof/>
                <w:sz w:val="24"/>
              </w:rPr>
            </w:pPr>
            <w:r>
              <w:rPr>
                <w:rFonts w:ascii="Times New Roman" w:hAnsi="Times New Roman"/>
                <w:sz w:val="24"/>
              </w:rPr>
              <w:t xml:space="preserve">ieguva pieeju </w:t>
            </w:r>
            <w:r>
              <w:rPr>
                <w:rFonts w:ascii="Times New Roman" w:hAnsi="Times New Roman"/>
                <w:i/>
                <w:sz w:val="24"/>
              </w:rPr>
              <w:t>NPIP</w:t>
            </w:r>
            <w:r>
              <w:rPr>
                <w:rFonts w:ascii="Times New Roman" w:hAnsi="Times New Roman"/>
                <w:sz w:val="24"/>
              </w:rPr>
              <w:t xml:space="preserve"> cenu un daudzumu datiem;</w:t>
            </w:r>
          </w:p>
          <w:p w14:paraId="0A176474" w14:textId="77777777" w:rsidR="00C407BB" w:rsidRPr="004D11C9" w:rsidRDefault="00C407BB" w:rsidP="00C407BB">
            <w:pPr>
              <w:numPr>
                <w:ilvl w:val="3"/>
                <w:numId w:val="19"/>
              </w:numPr>
              <w:ind w:left="426" w:hanging="426"/>
              <w:jc w:val="both"/>
              <w:rPr>
                <w:rFonts w:ascii="Times New Roman" w:hAnsi="Times New Roman"/>
                <w:noProof/>
                <w:sz w:val="24"/>
              </w:rPr>
            </w:pPr>
            <w:r>
              <w:rPr>
                <w:rFonts w:ascii="Times New Roman" w:hAnsi="Times New Roman"/>
                <w:sz w:val="24"/>
              </w:rPr>
              <w:t>saņēma trešo personu datus par cenām un daudzumiem vietējā tirgū attiecībā uz farmaceitiskajiem līdzekļiem, kas tiek apmaksāti no privātu zāļu plānu un personīgajiem līdzekļiem, kā arī par atlasītām zāļu cenām ārvalstīs;</w:t>
            </w:r>
          </w:p>
          <w:p w14:paraId="3E757EE5" w14:textId="77777777" w:rsidR="00C407BB" w:rsidRPr="004D11C9" w:rsidRDefault="00C407BB" w:rsidP="00C407BB">
            <w:pPr>
              <w:numPr>
                <w:ilvl w:val="3"/>
                <w:numId w:val="19"/>
              </w:numPr>
              <w:ind w:left="426" w:hanging="426"/>
              <w:jc w:val="both"/>
              <w:rPr>
                <w:rFonts w:ascii="Times New Roman" w:hAnsi="Times New Roman"/>
                <w:noProof/>
                <w:sz w:val="24"/>
              </w:rPr>
            </w:pPr>
            <w:r>
              <w:rPr>
                <w:rFonts w:ascii="Times New Roman" w:hAnsi="Times New Roman"/>
                <w:sz w:val="24"/>
              </w:rPr>
              <w:t>lūdza datus un informāciju nozares apvienībām un nozares dalībniekiem visos piegādes līmeņos;</w:t>
            </w:r>
          </w:p>
          <w:p w14:paraId="3C91FF58" w14:textId="77777777" w:rsidR="00C407BB" w:rsidRPr="004D11C9" w:rsidRDefault="00C407BB" w:rsidP="00C407BB">
            <w:pPr>
              <w:numPr>
                <w:ilvl w:val="3"/>
                <w:numId w:val="19"/>
              </w:numPr>
              <w:ind w:left="426" w:hanging="426"/>
              <w:jc w:val="both"/>
              <w:rPr>
                <w:rFonts w:ascii="Times New Roman" w:hAnsi="Times New Roman"/>
                <w:noProof/>
                <w:sz w:val="24"/>
              </w:rPr>
            </w:pPr>
            <w:r>
              <w:rPr>
                <w:rFonts w:ascii="Times New Roman" w:hAnsi="Times New Roman"/>
                <w:sz w:val="24"/>
              </w:rPr>
              <w:t>konsultējās ar attiecīgajām profesionālajām un pacientu grupām un</w:t>
            </w:r>
          </w:p>
          <w:p w14:paraId="47FD98E0" w14:textId="77777777" w:rsidR="00C407BB" w:rsidRPr="004D11C9" w:rsidRDefault="00C407BB" w:rsidP="00C407BB">
            <w:pPr>
              <w:numPr>
                <w:ilvl w:val="3"/>
                <w:numId w:val="19"/>
              </w:numPr>
              <w:ind w:left="426" w:hanging="426"/>
              <w:jc w:val="both"/>
              <w:rPr>
                <w:rFonts w:ascii="Times New Roman" w:hAnsi="Times New Roman"/>
                <w:noProof/>
                <w:sz w:val="24"/>
              </w:rPr>
            </w:pPr>
            <w:r>
              <w:rPr>
                <w:rFonts w:ascii="Times New Roman" w:hAnsi="Times New Roman"/>
                <w:sz w:val="24"/>
              </w:rPr>
              <w:t>izskatīja attiecīgo starptautisko pieredzi.</w:t>
            </w:r>
          </w:p>
          <w:p w14:paraId="66DEB545" w14:textId="77777777" w:rsidR="00C407BB" w:rsidRPr="004D11C9" w:rsidRDefault="00C407BB" w:rsidP="00C407BB">
            <w:pPr>
              <w:jc w:val="both"/>
              <w:rPr>
                <w:rFonts w:ascii="Times New Roman" w:eastAsia="Arial" w:hAnsi="Times New Roman" w:cs="Arial"/>
                <w:noProof/>
                <w:sz w:val="24"/>
                <w:szCs w:val="13"/>
              </w:rPr>
            </w:pPr>
          </w:p>
          <w:p w14:paraId="08DD077D" w14:textId="77777777" w:rsidR="00C407BB" w:rsidRPr="004D11C9" w:rsidRDefault="00C407BB" w:rsidP="00C407BB">
            <w:pPr>
              <w:jc w:val="both"/>
              <w:rPr>
                <w:rFonts w:ascii="Times New Roman" w:hAnsi="Times New Roman"/>
                <w:b/>
                <w:i/>
                <w:noProof/>
                <w:sz w:val="24"/>
              </w:rPr>
            </w:pPr>
            <w:r>
              <w:rPr>
                <w:rFonts w:ascii="Times New Roman" w:hAnsi="Times New Roman"/>
                <w:b/>
                <w:i/>
                <w:sz w:val="24"/>
              </w:rPr>
              <w:lastRenderedPageBreak/>
              <w:t>Galvenie analīzes secinājumi</w:t>
            </w:r>
          </w:p>
          <w:p w14:paraId="2274FDB6" w14:textId="77777777" w:rsidR="00C407BB" w:rsidRPr="004D11C9" w:rsidRDefault="00C407BB" w:rsidP="00C407BB">
            <w:pPr>
              <w:jc w:val="both"/>
              <w:rPr>
                <w:rFonts w:ascii="Times New Roman" w:eastAsia="Arial" w:hAnsi="Times New Roman" w:cs="Arial"/>
                <w:b/>
                <w:bCs/>
                <w:i/>
                <w:noProof/>
                <w:sz w:val="24"/>
                <w:szCs w:val="14"/>
              </w:rPr>
            </w:pPr>
          </w:p>
          <w:p w14:paraId="7D35E48A" w14:textId="77777777" w:rsidR="00C407BB" w:rsidRDefault="00C407BB" w:rsidP="00C407BB">
            <w:pPr>
              <w:jc w:val="both"/>
              <w:rPr>
                <w:rFonts w:ascii="Times New Roman" w:hAnsi="Times New Roman"/>
                <w:noProof/>
                <w:sz w:val="24"/>
              </w:rPr>
            </w:pPr>
            <w:r>
              <w:rPr>
                <w:rFonts w:ascii="Times New Roman" w:hAnsi="Times New Roman"/>
                <w:sz w:val="24"/>
              </w:rPr>
              <w:t>Daudzām ar firmas zīmi marķētām zālēm pastāv liela ģenerisko zāļu konkurence. Daudzām no šīm zālēm, it īpaši plaši izplatītām zālēm, ir vairākas ģeneriskas kopijas, kas ir iekļautas valsts izsniedzamo zāļu sarakstā (8 vai vairāk).</w:t>
            </w:r>
          </w:p>
          <w:p w14:paraId="178D6F88" w14:textId="77777777" w:rsidR="00C407BB" w:rsidRPr="004D11C9" w:rsidRDefault="00C407BB" w:rsidP="00C407BB">
            <w:pPr>
              <w:jc w:val="both"/>
              <w:rPr>
                <w:rFonts w:ascii="Times New Roman" w:hAnsi="Times New Roman"/>
                <w:noProof/>
                <w:sz w:val="24"/>
              </w:rPr>
            </w:pPr>
          </w:p>
          <w:p w14:paraId="27FC6F60" w14:textId="77777777" w:rsidR="00C407BB" w:rsidRPr="004D11C9" w:rsidRDefault="00C407BB" w:rsidP="00C407BB">
            <w:pPr>
              <w:jc w:val="both"/>
              <w:rPr>
                <w:rFonts w:ascii="Times New Roman" w:hAnsi="Times New Roman"/>
                <w:noProof/>
                <w:sz w:val="24"/>
              </w:rPr>
            </w:pPr>
            <w:r>
              <w:rPr>
                <w:rFonts w:ascii="Times New Roman" w:hAnsi="Times New Roman"/>
                <w:sz w:val="24"/>
              </w:rPr>
              <w:t xml:space="preserve">Lai gan daudzām ģeneriskām zālēm pastāv liela konkurence, tā neatspoguļojas </w:t>
            </w:r>
            <w:r>
              <w:rPr>
                <w:rFonts w:ascii="Times New Roman" w:hAnsi="Times New Roman"/>
                <w:i/>
                <w:sz w:val="24"/>
              </w:rPr>
              <w:t>NPIP</w:t>
            </w:r>
            <w:r>
              <w:rPr>
                <w:rFonts w:ascii="Times New Roman" w:hAnsi="Times New Roman"/>
                <w:sz w:val="24"/>
              </w:rPr>
              <w:t xml:space="preserve"> un valsts izsniedzamo zāļu cenrādī. Izskatot izsniedzamo zāļu cenrāža un </w:t>
            </w:r>
            <w:r>
              <w:rPr>
                <w:rFonts w:ascii="Times New Roman" w:hAnsi="Times New Roman"/>
                <w:i/>
                <w:sz w:val="24"/>
              </w:rPr>
              <w:t>NPIP</w:t>
            </w:r>
            <w:r>
              <w:rPr>
                <w:rFonts w:ascii="Times New Roman" w:hAnsi="Times New Roman"/>
                <w:sz w:val="24"/>
              </w:rPr>
              <w:t xml:space="preserve"> atmaksāšanas datus, kas iegūti par visām to ar firmas zīmi marķēto zāļu jaunajām ģenerisko zāļu versijām, kurām patenta tiesību aizsardzība beigusies iepriekšējo 5 gadu laikā, konstatēts, ka šīs cenas atbilst 65 % no attiecīgo ar firmas zīmi marķēto zāļu cenas vai no pievienotā maksimuma, kas atļauts farmaceitiskos līdzekļus reglamentējošajos normatīvajos aktos. Kopumā vidējās cenas atbilst 61 % no attiecīgo ar firmas zīmi marķēto zāļu cenas, kas, iespējams, atspoguļo iepriekšējās cenu izmaiņas un attīstību.</w:t>
            </w:r>
          </w:p>
          <w:p w14:paraId="1A498DD8" w14:textId="77777777" w:rsidR="00C407BB" w:rsidRPr="004D11C9" w:rsidRDefault="00C407BB" w:rsidP="00C407BB">
            <w:pPr>
              <w:jc w:val="both"/>
              <w:rPr>
                <w:rFonts w:ascii="Times New Roman" w:eastAsia="Arial" w:hAnsi="Times New Roman" w:cs="Arial"/>
                <w:noProof/>
                <w:sz w:val="24"/>
                <w:szCs w:val="14"/>
              </w:rPr>
            </w:pPr>
          </w:p>
          <w:p w14:paraId="12D35463" w14:textId="77777777" w:rsidR="00C407BB" w:rsidRDefault="00C407BB" w:rsidP="00C407BB">
            <w:pPr>
              <w:jc w:val="both"/>
              <w:rPr>
                <w:rFonts w:ascii="Times New Roman" w:hAnsi="Times New Roman"/>
                <w:noProof/>
                <w:sz w:val="24"/>
              </w:rPr>
            </w:pPr>
            <w:r>
              <w:rPr>
                <w:rFonts w:ascii="Times New Roman" w:hAnsi="Times New Roman"/>
                <w:sz w:val="24"/>
              </w:rPr>
              <w:t xml:space="preserve">Tā vietā, lai konkurētu, piedāvājot zemākas izsniedzamo zāļu saraksta vai </w:t>
            </w:r>
            <w:r>
              <w:rPr>
                <w:rFonts w:ascii="Times New Roman" w:hAnsi="Times New Roman"/>
                <w:i/>
                <w:sz w:val="24"/>
              </w:rPr>
              <w:t>NPIP</w:t>
            </w:r>
            <w:r>
              <w:rPr>
                <w:rFonts w:ascii="Times New Roman" w:hAnsi="Times New Roman"/>
                <w:sz w:val="24"/>
              </w:rPr>
              <w:t xml:space="preserve"> cenas, galvenais veids, kā ģenerisko zāļu piegādātāji konkurē, ir atlaižu piešķiršana aptiekām. Ģenerisko zāļu piegādātāji iekļauj savus produktus valsts izsniedzamo zāļu sarakstā, norādot maksimāli atļauto cenu, un izmanto šo cenu aptiekām izrakstītajos rēķinos. Aptiekas, savukārt, iesniedz šo rēķinā norādīto cenu apmaksai </w:t>
            </w:r>
            <w:r>
              <w:rPr>
                <w:rFonts w:ascii="Times New Roman" w:hAnsi="Times New Roman"/>
                <w:i/>
                <w:sz w:val="24"/>
              </w:rPr>
              <w:t>NPIP</w:t>
            </w:r>
            <w:r>
              <w:rPr>
                <w:rFonts w:ascii="Times New Roman" w:hAnsi="Times New Roman"/>
                <w:sz w:val="24"/>
              </w:rPr>
              <w:t xml:space="preserve"> un privātajiem maksātājiem. Tā kā vienu un to pašu ar firmas zīmi marķēto zāļu ģeneriskās versijas tiek uzskatītas par savstarpēji aizvietojamām, aptiekām ir jāuzglabā tikai viens vai divi šādi medikamenti. Ģenerisko zāļu piegādātāji konkurē par zāļu iekļaušanu aptieku krājumos, piedāvājot aptiekām rēķinā nenorādītas atlaides.</w:t>
            </w:r>
          </w:p>
          <w:p w14:paraId="5059274A" w14:textId="77777777" w:rsidR="00C407BB" w:rsidRPr="004D11C9" w:rsidRDefault="00C407BB" w:rsidP="00C407BB">
            <w:pPr>
              <w:jc w:val="both"/>
              <w:rPr>
                <w:rFonts w:ascii="Times New Roman" w:hAnsi="Times New Roman"/>
                <w:noProof/>
                <w:sz w:val="24"/>
              </w:rPr>
            </w:pPr>
          </w:p>
          <w:p w14:paraId="07452D1C" w14:textId="77777777" w:rsidR="00C407BB" w:rsidRPr="00C407BB" w:rsidRDefault="00C407BB" w:rsidP="00C407BB">
            <w:pPr>
              <w:jc w:val="both"/>
              <w:rPr>
                <w:rFonts w:ascii="Times New Roman" w:hAnsi="Times New Roman"/>
                <w:noProof/>
                <w:sz w:val="24"/>
              </w:rPr>
            </w:pPr>
            <w:r>
              <w:rPr>
                <w:rFonts w:ascii="Times New Roman" w:hAnsi="Times New Roman"/>
                <w:sz w:val="24"/>
              </w:rPr>
              <w:t xml:space="preserve">Šis konkurences paņēmiens atspoguļo stimulu struktūru, ko ir radījusi ģenerisko zāļu iekļaušanas </w:t>
            </w:r>
            <w:r>
              <w:rPr>
                <w:rFonts w:ascii="Times New Roman" w:hAnsi="Times New Roman"/>
                <w:i/>
                <w:sz w:val="24"/>
              </w:rPr>
              <w:t>NPIP</w:t>
            </w:r>
            <w:r>
              <w:rPr>
                <w:rFonts w:ascii="Times New Roman" w:hAnsi="Times New Roman"/>
                <w:sz w:val="24"/>
              </w:rPr>
              <w:t xml:space="preserve"> un valsts izsniedzamo zāļu sarakstā prakse. Ģenerisko zāļu ražotājiem ir maz stimulu vai nav stimula iekļaut ģeneriskās zāles valsts izsniedzamo zāļu sarakstā vai izrakstīt aptiekām rēķinus par cenām, kas ir zemākas par normatīvajos aktos atļauto maksimālo cenu.</w:t>
            </w:r>
          </w:p>
          <w:p w14:paraId="03E03BE1" w14:textId="77777777" w:rsidR="00C407BB" w:rsidRPr="004D11C9" w:rsidRDefault="00C407BB" w:rsidP="00C407BB">
            <w:pPr>
              <w:jc w:val="both"/>
              <w:rPr>
                <w:rFonts w:ascii="Times New Roman" w:eastAsia="Arial" w:hAnsi="Times New Roman" w:cs="Arial"/>
                <w:noProof/>
                <w:sz w:val="24"/>
                <w:szCs w:val="15"/>
              </w:rPr>
            </w:pPr>
          </w:p>
          <w:p w14:paraId="4C65DCC3" w14:textId="77777777" w:rsidR="00C407BB" w:rsidRDefault="00C407BB" w:rsidP="00C407BB">
            <w:pPr>
              <w:jc w:val="both"/>
              <w:rPr>
                <w:rFonts w:ascii="Times New Roman" w:hAnsi="Times New Roman"/>
                <w:noProof/>
                <w:sz w:val="24"/>
              </w:rPr>
            </w:pPr>
            <w:r>
              <w:rPr>
                <w:rFonts w:ascii="Times New Roman" w:hAnsi="Times New Roman"/>
                <w:sz w:val="24"/>
              </w:rPr>
              <w:t>Zemākas izsniedzamo zāļu saraksta cenas piedāvāšana labākajā gadījumā sniedz īslaicīgas vai nelielas konkurences priekšrocības, pat ja aptiekām ir jāizsniedz lētākās ģeneriskās zāles. Tā kā zemākā cena tiek publicēta valsts izsniedzamo zāļu sarakstā, konkurentiem ir iespēja ātri pieskaņoties šai cenai. Turklāt piegādātājs, kas samazina savas cenas izsniedzamo zāļu sarakstā un līdz ar to iespējamo aptiekām piešķiramo atlaižu lielumu, saskaras ar iespēju, ka aptiekas vairs neiegādāsies šā piegādātāja produktus vai samazinās šādu produktu iepirkumu.</w:t>
            </w:r>
          </w:p>
          <w:p w14:paraId="7AD2FD41" w14:textId="77777777" w:rsidR="00C407BB" w:rsidRPr="004D11C9" w:rsidRDefault="00C407BB" w:rsidP="00C407BB">
            <w:pPr>
              <w:jc w:val="both"/>
              <w:rPr>
                <w:rFonts w:ascii="Times New Roman" w:hAnsi="Times New Roman"/>
                <w:noProof/>
                <w:sz w:val="24"/>
              </w:rPr>
            </w:pPr>
          </w:p>
          <w:p w14:paraId="0B4A8D58" w14:textId="77777777" w:rsidR="00C407BB" w:rsidRDefault="00C407BB" w:rsidP="00C407BB">
            <w:pPr>
              <w:jc w:val="both"/>
              <w:rPr>
                <w:rFonts w:ascii="Times New Roman" w:hAnsi="Times New Roman"/>
                <w:noProof/>
                <w:sz w:val="24"/>
              </w:rPr>
            </w:pPr>
            <w:r>
              <w:rPr>
                <w:rFonts w:ascii="Times New Roman" w:hAnsi="Times New Roman"/>
                <w:sz w:val="24"/>
              </w:rPr>
              <w:t>Nav iespējams precīzi aprēķināt ģenerisko zāļu atlaižu lielumu, jo tam būtu nepieciešama plaša konfidenciāla informācija no aptiekām un ģenerisko zāļu piegādātājiem. Tomēr uzrunātie piegādātāji ir atzinuši, ka ir piešķīruši atlaides, kas vidēji ir atbildušas aptuveni 55 % no izsniedzamo zāļu sarakstā norādītajām ģenerisko zāļu cenām. Par šādu atlaižu līmeni ir iespējams pārliecināties, salīdzinot tādu plaši izplatītu ģenerisko zāļu vietējās cenas, kas veido vairāk par 35 %, ar to cenām divās salīdzinājuma valstīs, kurās ir pieejamas konkurētspējīgas ģenerisko zāļu cenas. Ņemot vērā šo produktu plašo izplatību, tiem ir vairāki piegādātāji un starp tiem pastāv spēcīga konkurence. Salīdzinājumā tika konstatēts, ka ārvalstu cenas vidēji ir par 60 % zemākas par vietējām izsniedzamo zāļu saraksta cenām.</w:t>
            </w:r>
          </w:p>
          <w:p w14:paraId="461D1DA5" w14:textId="77777777" w:rsidR="00C407BB" w:rsidRPr="004D11C9" w:rsidRDefault="00C407BB" w:rsidP="00C407BB">
            <w:pPr>
              <w:jc w:val="both"/>
              <w:rPr>
                <w:rFonts w:ascii="Times New Roman" w:hAnsi="Times New Roman"/>
                <w:noProof/>
                <w:sz w:val="24"/>
              </w:rPr>
            </w:pPr>
          </w:p>
          <w:p w14:paraId="66071104" w14:textId="77777777" w:rsidR="00C407BB" w:rsidRDefault="00C407BB" w:rsidP="00C407BB">
            <w:pPr>
              <w:jc w:val="both"/>
              <w:rPr>
                <w:rFonts w:ascii="Times New Roman" w:hAnsi="Times New Roman"/>
                <w:noProof/>
                <w:sz w:val="24"/>
              </w:rPr>
            </w:pPr>
            <w:r>
              <w:rPr>
                <w:rFonts w:ascii="Times New Roman" w:hAnsi="Times New Roman"/>
                <w:sz w:val="24"/>
              </w:rPr>
              <w:t xml:space="preserve">Lai gan ģeneriskās zāles samazina maksu par zāļu izsniegšanu, atlaides ir spēcīgs stimuls aptiekām izsniegt šīs ģeneriskās zāles dārgāku ar firmas zīmi marķēto zāļu vietā. Šā stimula apmērs ir norādīts turpmāk sniegtajā tabulā, izmantojot pašlaik noteikto 15 % izsniegšanas </w:t>
            </w:r>
            <w:r>
              <w:rPr>
                <w:rFonts w:ascii="Times New Roman" w:hAnsi="Times New Roman"/>
                <w:sz w:val="24"/>
              </w:rPr>
              <w:lastRenderedPageBreak/>
              <w:t>uzcenojumu, ko aptiekas drīkst piemērot, reprezentatīvu ar firmas zīmi marķētu recepšu zāļu cenu 40 ASV dolāru apmērā, ģenerisko zāļu cenu, kas atbilst 61 % no attiecīgo ar firmas zīmi marķēto zāļu cenas, un konkurētspējīgu cenu bez atlaides 55 % apmērā. Šī summa ir papildus fiksētajai izsniegšanas maksai – 4 ASV dolāriem.</w:t>
            </w:r>
          </w:p>
          <w:p w14:paraId="469A5A19" w14:textId="77777777" w:rsidR="00C407BB" w:rsidRDefault="00C407BB" w:rsidP="00C407BB">
            <w:pPr>
              <w:jc w:val="both"/>
              <w:rPr>
                <w:rFonts w:ascii="Times New Roman" w:eastAsia="Times New Roman" w:hAnsi="Times New Roman" w:cs="Times New Roman"/>
                <w:noProof/>
                <w:sz w:val="24"/>
                <w:szCs w:val="2"/>
              </w:rPr>
            </w:pPr>
          </w:p>
          <w:tbl>
            <w:tblPr>
              <w:tblStyle w:val="TableGrid"/>
              <w:tblpPr w:leftFromText="180" w:rightFromText="180" w:vertAnchor="text" w:horzAnchor="margin" w:tblpY="161"/>
              <w:tblW w:w="0" w:type="auto"/>
              <w:tblCellMar>
                <w:top w:w="28" w:type="dxa"/>
                <w:left w:w="28" w:type="dxa"/>
                <w:bottom w:w="28" w:type="dxa"/>
                <w:right w:w="28" w:type="dxa"/>
              </w:tblCellMar>
              <w:tblLook w:val="04A0" w:firstRow="1" w:lastRow="0" w:firstColumn="1" w:lastColumn="0" w:noHBand="0" w:noVBand="1"/>
            </w:tblPr>
            <w:tblGrid>
              <w:gridCol w:w="2999"/>
              <w:gridCol w:w="2998"/>
              <w:gridCol w:w="2999"/>
            </w:tblGrid>
            <w:tr w:rsidR="00C407BB" w14:paraId="6F339F5F" w14:textId="77777777" w:rsidTr="000F3534">
              <w:tc>
                <w:tcPr>
                  <w:tcW w:w="9062" w:type="dxa"/>
                  <w:gridSpan w:val="3"/>
                </w:tcPr>
                <w:p w14:paraId="2A7F42D5" w14:textId="77777777" w:rsidR="00C407BB" w:rsidRPr="00C407BB" w:rsidRDefault="00C407BB" w:rsidP="00C407BB">
                  <w:pPr>
                    <w:jc w:val="center"/>
                    <w:rPr>
                      <w:rFonts w:ascii="Times New Roman" w:hAnsi="Times New Roman"/>
                      <w:b/>
                      <w:noProof/>
                      <w:sz w:val="24"/>
                    </w:rPr>
                  </w:pPr>
                  <w:r>
                    <w:rPr>
                      <w:rFonts w:ascii="Times New Roman" w:hAnsi="Times New Roman"/>
                      <w:b/>
                      <w:sz w:val="24"/>
                    </w:rPr>
                    <w:t>Aptieku peļņa no tādu zāļu izsniegšanas, kas marķētas ar firmas zīmi, un no ģenerisku zāļu izsniegšanas</w:t>
                  </w:r>
                </w:p>
              </w:tc>
            </w:tr>
            <w:tr w:rsidR="00C407BB" w14:paraId="6BC3D17B" w14:textId="77777777" w:rsidTr="000F3534">
              <w:tc>
                <w:tcPr>
                  <w:tcW w:w="3020" w:type="dxa"/>
                </w:tcPr>
                <w:p w14:paraId="2A75EFFB" w14:textId="77777777" w:rsidR="00C407BB" w:rsidRDefault="00C407BB" w:rsidP="00C407BB">
                  <w:pPr>
                    <w:jc w:val="center"/>
                    <w:rPr>
                      <w:rFonts w:ascii="Times New Roman" w:eastAsia="Times New Roman" w:hAnsi="Times New Roman" w:cs="Times New Roman"/>
                      <w:noProof/>
                      <w:sz w:val="24"/>
                      <w:szCs w:val="2"/>
                    </w:rPr>
                  </w:pPr>
                  <w:r>
                    <w:rPr>
                      <w:rFonts w:ascii="Times New Roman" w:hAnsi="Times New Roman"/>
                      <w:b/>
                      <w:sz w:val="24"/>
                    </w:rPr>
                    <w:t>Kategorija</w:t>
                  </w:r>
                </w:p>
              </w:tc>
              <w:tc>
                <w:tcPr>
                  <w:tcW w:w="3021" w:type="dxa"/>
                </w:tcPr>
                <w:p w14:paraId="09843C64" w14:textId="77777777" w:rsidR="00C407BB" w:rsidRPr="00C407BB" w:rsidRDefault="00C407BB" w:rsidP="00C407BB">
                  <w:pPr>
                    <w:jc w:val="center"/>
                    <w:rPr>
                      <w:rFonts w:ascii="Times New Roman" w:eastAsia="Times New Roman" w:hAnsi="Times New Roman" w:cs="Times New Roman"/>
                      <w:b/>
                      <w:bCs/>
                      <w:noProof/>
                      <w:sz w:val="24"/>
                      <w:szCs w:val="2"/>
                    </w:rPr>
                  </w:pPr>
                  <w:r>
                    <w:rPr>
                      <w:rFonts w:ascii="Times New Roman" w:hAnsi="Times New Roman"/>
                      <w:b/>
                      <w:sz w:val="24"/>
                    </w:rPr>
                    <w:t>Zīmols</w:t>
                  </w:r>
                </w:p>
              </w:tc>
              <w:tc>
                <w:tcPr>
                  <w:tcW w:w="3021" w:type="dxa"/>
                </w:tcPr>
                <w:p w14:paraId="310D7164" w14:textId="77777777" w:rsidR="00C407BB" w:rsidRPr="00C407BB" w:rsidRDefault="00C407BB" w:rsidP="00C407BB">
                  <w:pPr>
                    <w:jc w:val="center"/>
                    <w:rPr>
                      <w:rFonts w:ascii="Times New Roman" w:eastAsia="Times New Roman" w:hAnsi="Times New Roman" w:cs="Times New Roman"/>
                      <w:b/>
                      <w:bCs/>
                      <w:noProof/>
                      <w:sz w:val="24"/>
                      <w:szCs w:val="2"/>
                    </w:rPr>
                  </w:pPr>
                  <w:r>
                    <w:rPr>
                      <w:rFonts w:ascii="Times New Roman" w:hAnsi="Times New Roman"/>
                      <w:b/>
                      <w:sz w:val="24"/>
                    </w:rPr>
                    <w:t>Ģeneriskas zāles</w:t>
                  </w:r>
                </w:p>
              </w:tc>
            </w:tr>
            <w:tr w:rsidR="00C407BB" w14:paraId="2ECD5A81" w14:textId="77777777" w:rsidTr="000F3534">
              <w:tc>
                <w:tcPr>
                  <w:tcW w:w="3020" w:type="dxa"/>
                </w:tcPr>
                <w:p w14:paraId="524858D0" w14:textId="77777777" w:rsidR="00C407BB" w:rsidRDefault="00C407BB" w:rsidP="00C407BB">
                  <w:pPr>
                    <w:jc w:val="center"/>
                    <w:rPr>
                      <w:rFonts w:ascii="Times New Roman" w:eastAsia="Times New Roman" w:hAnsi="Times New Roman" w:cs="Times New Roman"/>
                      <w:noProof/>
                      <w:sz w:val="24"/>
                      <w:szCs w:val="2"/>
                    </w:rPr>
                  </w:pPr>
                  <w:r>
                    <w:rPr>
                      <w:rFonts w:ascii="Times New Roman" w:hAnsi="Times New Roman"/>
                      <w:sz w:val="24"/>
                    </w:rPr>
                    <w:t>Cena</w:t>
                  </w:r>
                </w:p>
              </w:tc>
              <w:tc>
                <w:tcPr>
                  <w:tcW w:w="3021" w:type="dxa"/>
                </w:tcPr>
                <w:p w14:paraId="3C840A97" w14:textId="77777777" w:rsidR="00C407BB" w:rsidRDefault="00C407BB" w:rsidP="00C407BB">
                  <w:pPr>
                    <w:jc w:val="center"/>
                    <w:rPr>
                      <w:rFonts w:ascii="Times New Roman" w:eastAsia="Times New Roman" w:hAnsi="Times New Roman" w:cs="Times New Roman"/>
                      <w:noProof/>
                      <w:sz w:val="24"/>
                      <w:szCs w:val="2"/>
                    </w:rPr>
                  </w:pPr>
                  <w:r>
                    <w:rPr>
                      <w:rFonts w:ascii="Times New Roman" w:hAnsi="Times New Roman"/>
                      <w:sz w:val="24"/>
                    </w:rPr>
                    <w:t>40,00 USD</w:t>
                  </w:r>
                </w:p>
              </w:tc>
              <w:tc>
                <w:tcPr>
                  <w:tcW w:w="3021" w:type="dxa"/>
                </w:tcPr>
                <w:p w14:paraId="30971354" w14:textId="77777777" w:rsidR="00C407BB" w:rsidRDefault="00C407BB" w:rsidP="00C407BB">
                  <w:pPr>
                    <w:jc w:val="center"/>
                    <w:rPr>
                      <w:rFonts w:ascii="Times New Roman" w:eastAsia="Times New Roman" w:hAnsi="Times New Roman" w:cs="Times New Roman"/>
                      <w:noProof/>
                      <w:sz w:val="24"/>
                      <w:szCs w:val="2"/>
                    </w:rPr>
                  </w:pPr>
                  <w:r>
                    <w:rPr>
                      <w:rFonts w:ascii="Times New Roman" w:hAnsi="Times New Roman"/>
                      <w:sz w:val="24"/>
                    </w:rPr>
                    <w:t>24,40 USD</w:t>
                  </w:r>
                </w:p>
              </w:tc>
            </w:tr>
            <w:tr w:rsidR="00C407BB" w14:paraId="2B61927D" w14:textId="77777777" w:rsidTr="000F3534">
              <w:tc>
                <w:tcPr>
                  <w:tcW w:w="3020" w:type="dxa"/>
                </w:tcPr>
                <w:p w14:paraId="1715CA4D" w14:textId="77777777" w:rsidR="00C407BB" w:rsidRDefault="00C407BB" w:rsidP="00C407BB">
                  <w:pPr>
                    <w:jc w:val="center"/>
                    <w:rPr>
                      <w:rFonts w:ascii="Times New Roman" w:eastAsia="Times New Roman" w:hAnsi="Times New Roman" w:cs="Times New Roman"/>
                      <w:noProof/>
                      <w:sz w:val="24"/>
                      <w:szCs w:val="2"/>
                    </w:rPr>
                  </w:pPr>
                  <w:r>
                    <w:rPr>
                      <w:rFonts w:ascii="Times New Roman" w:hAnsi="Times New Roman"/>
                      <w:sz w:val="24"/>
                    </w:rPr>
                    <w:t>Izsniegšanas maksa</w:t>
                  </w:r>
                </w:p>
              </w:tc>
              <w:tc>
                <w:tcPr>
                  <w:tcW w:w="3021" w:type="dxa"/>
                </w:tcPr>
                <w:p w14:paraId="39FEB1BB" w14:textId="77777777" w:rsidR="00C407BB" w:rsidRDefault="00C407BB" w:rsidP="00C407BB">
                  <w:pPr>
                    <w:jc w:val="center"/>
                    <w:rPr>
                      <w:rFonts w:ascii="Times New Roman" w:eastAsia="Times New Roman" w:hAnsi="Times New Roman" w:cs="Times New Roman"/>
                      <w:noProof/>
                      <w:sz w:val="24"/>
                      <w:szCs w:val="2"/>
                    </w:rPr>
                  </w:pPr>
                  <w:r>
                    <w:rPr>
                      <w:rFonts w:ascii="Times New Roman" w:hAnsi="Times New Roman"/>
                      <w:sz w:val="24"/>
                    </w:rPr>
                    <w:t>4,00 USD</w:t>
                  </w:r>
                </w:p>
              </w:tc>
              <w:tc>
                <w:tcPr>
                  <w:tcW w:w="3021" w:type="dxa"/>
                </w:tcPr>
                <w:p w14:paraId="7AF530E4" w14:textId="77777777" w:rsidR="00C407BB" w:rsidRDefault="00C407BB" w:rsidP="00C407BB">
                  <w:pPr>
                    <w:jc w:val="center"/>
                    <w:rPr>
                      <w:rFonts w:ascii="Times New Roman" w:eastAsia="Times New Roman" w:hAnsi="Times New Roman" w:cs="Times New Roman"/>
                      <w:noProof/>
                      <w:sz w:val="24"/>
                      <w:szCs w:val="2"/>
                    </w:rPr>
                  </w:pPr>
                  <w:r>
                    <w:rPr>
                      <w:rFonts w:ascii="Times New Roman" w:hAnsi="Times New Roman"/>
                      <w:sz w:val="24"/>
                    </w:rPr>
                    <w:t>4,00 USD</w:t>
                  </w:r>
                </w:p>
              </w:tc>
            </w:tr>
            <w:tr w:rsidR="00C407BB" w14:paraId="0510805F" w14:textId="77777777" w:rsidTr="000F3534">
              <w:tc>
                <w:tcPr>
                  <w:tcW w:w="3020" w:type="dxa"/>
                </w:tcPr>
                <w:p w14:paraId="593DA265" w14:textId="77777777" w:rsidR="00C407BB" w:rsidRDefault="00C407BB" w:rsidP="00C407BB">
                  <w:pPr>
                    <w:jc w:val="center"/>
                    <w:rPr>
                      <w:rFonts w:ascii="Times New Roman" w:eastAsia="Times New Roman" w:hAnsi="Times New Roman" w:cs="Times New Roman"/>
                      <w:noProof/>
                      <w:sz w:val="24"/>
                      <w:szCs w:val="2"/>
                    </w:rPr>
                  </w:pPr>
                  <w:r>
                    <w:rPr>
                      <w:rFonts w:ascii="Times New Roman" w:hAnsi="Times New Roman"/>
                      <w:sz w:val="24"/>
                    </w:rPr>
                    <w:t>Uzcenojums</w:t>
                  </w:r>
                </w:p>
              </w:tc>
              <w:tc>
                <w:tcPr>
                  <w:tcW w:w="3021" w:type="dxa"/>
                </w:tcPr>
                <w:p w14:paraId="2C8BE67E" w14:textId="77777777" w:rsidR="00C407BB" w:rsidRDefault="00C407BB" w:rsidP="00C407BB">
                  <w:pPr>
                    <w:jc w:val="center"/>
                    <w:rPr>
                      <w:rFonts w:ascii="Times New Roman" w:eastAsia="Times New Roman" w:hAnsi="Times New Roman" w:cs="Times New Roman"/>
                      <w:noProof/>
                      <w:sz w:val="24"/>
                      <w:szCs w:val="2"/>
                    </w:rPr>
                  </w:pPr>
                  <w:r>
                    <w:rPr>
                      <w:rFonts w:ascii="Times New Roman" w:hAnsi="Times New Roman"/>
                      <w:sz w:val="24"/>
                    </w:rPr>
                    <w:t>6,00 USD</w:t>
                  </w:r>
                </w:p>
              </w:tc>
              <w:tc>
                <w:tcPr>
                  <w:tcW w:w="3021" w:type="dxa"/>
                </w:tcPr>
                <w:p w14:paraId="0E163589" w14:textId="77777777" w:rsidR="00C407BB" w:rsidRDefault="00C407BB" w:rsidP="00C407BB">
                  <w:pPr>
                    <w:jc w:val="center"/>
                    <w:rPr>
                      <w:rFonts w:ascii="Times New Roman" w:eastAsia="Times New Roman" w:hAnsi="Times New Roman" w:cs="Times New Roman"/>
                      <w:noProof/>
                      <w:sz w:val="24"/>
                      <w:szCs w:val="2"/>
                    </w:rPr>
                  </w:pPr>
                  <w:r>
                    <w:rPr>
                      <w:rFonts w:ascii="Times New Roman" w:hAnsi="Times New Roman"/>
                      <w:sz w:val="24"/>
                    </w:rPr>
                    <w:t>3,66 USD</w:t>
                  </w:r>
                </w:p>
              </w:tc>
            </w:tr>
            <w:tr w:rsidR="00C407BB" w14:paraId="60B55C6D" w14:textId="77777777" w:rsidTr="000F3534">
              <w:tc>
                <w:tcPr>
                  <w:tcW w:w="3020" w:type="dxa"/>
                </w:tcPr>
                <w:p w14:paraId="65196772" w14:textId="77777777" w:rsidR="00C407BB" w:rsidRDefault="00C407BB" w:rsidP="00C407BB">
                  <w:pPr>
                    <w:jc w:val="center"/>
                    <w:rPr>
                      <w:rFonts w:ascii="Times New Roman" w:eastAsia="Times New Roman" w:hAnsi="Times New Roman" w:cs="Times New Roman"/>
                      <w:noProof/>
                      <w:sz w:val="24"/>
                      <w:szCs w:val="2"/>
                    </w:rPr>
                  </w:pPr>
                  <w:r>
                    <w:rPr>
                      <w:rFonts w:ascii="Times New Roman" w:hAnsi="Times New Roman"/>
                      <w:sz w:val="24"/>
                    </w:rPr>
                    <w:t>Cenas atlaide no cenrāža cenas (rabats)</w:t>
                  </w:r>
                </w:p>
              </w:tc>
              <w:tc>
                <w:tcPr>
                  <w:tcW w:w="3021" w:type="dxa"/>
                </w:tcPr>
                <w:p w14:paraId="1AA25D54" w14:textId="77777777" w:rsidR="00C407BB" w:rsidRDefault="00C407BB" w:rsidP="00C407BB">
                  <w:pPr>
                    <w:jc w:val="center"/>
                    <w:rPr>
                      <w:rFonts w:ascii="Times New Roman" w:eastAsia="Times New Roman" w:hAnsi="Times New Roman" w:cs="Times New Roman"/>
                      <w:noProof/>
                      <w:sz w:val="24"/>
                      <w:szCs w:val="2"/>
                    </w:rPr>
                  </w:pPr>
                  <w:r>
                    <w:rPr>
                      <w:rFonts w:ascii="Times New Roman" w:hAnsi="Times New Roman"/>
                      <w:sz w:val="24"/>
                    </w:rPr>
                    <w:t>0,00 USD</w:t>
                  </w:r>
                </w:p>
              </w:tc>
              <w:tc>
                <w:tcPr>
                  <w:tcW w:w="3021" w:type="dxa"/>
                </w:tcPr>
                <w:p w14:paraId="61E31BFB" w14:textId="77777777" w:rsidR="00C407BB" w:rsidRDefault="00C407BB" w:rsidP="00C407BB">
                  <w:pPr>
                    <w:jc w:val="center"/>
                    <w:rPr>
                      <w:rFonts w:ascii="Times New Roman" w:eastAsia="Times New Roman" w:hAnsi="Times New Roman" w:cs="Times New Roman"/>
                      <w:noProof/>
                      <w:sz w:val="24"/>
                      <w:szCs w:val="2"/>
                    </w:rPr>
                  </w:pPr>
                  <w:r>
                    <w:rPr>
                      <w:rFonts w:ascii="Times New Roman" w:hAnsi="Times New Roman"/>
                      <w:sz w:val="24"/>
                    </w:rPr>
                    <w:t>13,42 USD</w:t>
                  </w:r>
                </w:p>
              </w:tc>
            </w:tr>
            <w:tr w:rsidR="00C407BB" w14:paraId="151A6EEE" w14:textId="77777777" w:rsidTr="000F3534">
              <w:tc>
                <w:tcPr>
                  <w:tcW w:w="3020" w:type="dxa"/>
                </w:tcPr>
                <w:p w14:paraId="28A79F2F" w14:textId="77777777" w:rsidR="00C407BB" w:rsidRDefault="00C407BB" w:rsidP="00C407BB">
                  <w:pPr>
                    <w:jc w:val="center"/>
                    <w:rPr>
                      <w:rFonts w:ascii="Times New Roman" w:eastAsia="Times New Roman" w:hAnsi="Times New Roman" w:cs="Times New Roman"/>
                      <w:noProof/>
                      <w:sz w:val="24"/>
                      <w:szCs w:val="2"/>
                    </w:rPr>
                  </w:pPr>
                  <w:r>
                    <w:rPr>
                      <w:rFonts w:ascii="Times New Roman" w:hAnsi="Times New Roman"/>
                      <w:sz w:val="24"/>
                    </w:rPr>
                    <w:t>Aptiekas peļņa</w:t>
                  </w:r>
                </w:p>
              </w:tc>
              <w:tc>
                <w:tcPr>
                  <w:tcW w:w="3021" w:type="dxa"/>
                </w:tcPr>
                <w:p w14:paraId="4192A2E5" w14:textId="77777777" w:rsidR="00C407BB" w:rsidRDefault="00C407BB" w:rsidP="00C407BB">
                  <w:pPr>
                    <w:jc w:val="center"/>
                    <w:rPr>
                      <w:rFonts w:ascii="Times New Roman" w:eastAsia="Times New Roman" w:hAnsi="Times New Roman" w:cs="Times New Roman"/>
                      <w:noProof/>
                      <w:sz w:val="24"/>
                      <w:szCs w:val="2"/>
                    </w:rPr>
                  </w:pPr>
                  <w:r>
                    <w:rPr>
                      <w:rFonts w:ascii="Times New Roman" w:hAnsi="Times New Roman"/>
                      <w:sz w:val="24"/>
                    </w:rPr>
                    <w:t>10,00 USD</w:t>
                  </w:r>
                </w:p>
              </w:tc>
              <w:tc>
                <w:tcPr>
                  <w:tcW w:w="3021" w:type="dxa"/>
                </w:tcPr>
                <w:p w14:paraId="317FF658" w14:textId="77777777" w:rsidR="00C407BB" w:rsidRDefault="00C407BB" w:rsidP="00C407BB">
                  <w:pPr>
                    <w:jc w:val="center"/>
                    <w:rPr>
                      <w:rFonts w:ascii="Times New Roman" w:eastAsia="Times New Roman" w:hAnsi="Times New Roman" w:cs="Times New Roman"/>
                      <w:noProof/>
                      <w:sz w:val="24"/>
                      <w:szCs w:val="2"/>
                    </w:rPr>
                  </w:pPr>
                  <w:r>
                    <w:rPr>
                      <w:rFonts w:ascii="Times New Roman" w:hAnsi="Times New Roman"/>
                      <w:sz w:val="24"/>
                    </w:rPr>
                    <w:t>21,08 USD</w:t>
                  </w:r>
                </w:p>
              </w:tc>
            </w:tr>
          </w:tbl>
          <w:p w14:paraId="321E5596" w14:textId="77777777" w:rsidR="00C407BB" w:rsidRDefault="00C407BB" w:rsidP="00C407BB">
            <w:pPr>
              <w:jc w:val="both"/>
              <w:rPr>
                <w:rFonts w:ascii="Times New Roman" w:eastAsia="Times New Roman" w:hAnsi="Times New Roman" w:cs="Times New Roman"/>
                <w:noProof/>
                <w:sz w:val="24"/>
                <w:szCs w:val="2"/>
              </w:rPr>
            </w:pPr>
          </w:p>
          <w:p w14:paraId="53CA11C7" w14:textId="2DC88592" w:rsidR="00C407BB" w:rsidRPr="00C407BB" w:rsidRDefault="00C407BB" w:rsidP="004D11C9">
            <w:pPr>
              <w:jc w:val="both"/>
              <w:rPr>
                <w:rFonts w:ascii="Times New Roman" w:hAnsi="Times New Roman"/>
                <w:noProof/>
                <w:sz w:val="24"/>
              </w:rPr>
            </w:pPr>
            <w:r>
              <w:rPr>
                <w:rFonts w:ascii="Times New Roman" w:hAnsi="Times New Roman"/>
                <w:sz w:val="24"/>
              </w:rPr>
              <w:t>Šai konkurences sistēmai ir bijusi būtiska netieša ietekme uz aptieku nozari. Lielā peļņa no ģenerisko zāļu pārdošanas ir arī veicinājusi jaunu aptieku ienākšanu tirgū. Lai gan tam ir dažas netiešas priekšrocības, piemēram, labāka aptieku pieejamība tuvākas sasniedzamības un ilgāka darba laika dēļ, tas ir arī izraisījis neefektīvas aptieku nozares attīstību. Ekonometriskais pētījums, kas veikts pēc ministrijas pasūtījuma par vidējām aptiekas izsniegšanas izmaksām, tostarp par fiksētajām un mainīgajām izmaksām, liecina, ka šīs izmaksas ievērojami samazinās līdz ar kopējo izpildīto recepšu skaitu. Tiek lēsts, ka tam, lai sasniegtu aprēķinātās izsniegšanas izmaksas, kas nepārsniedz 10 ASV dolārus, aptiekai ar vidējām izmaksām katru gadu būtu jāizpilda vairāk nekā 75 000 receptes. Turpretī aprēķinātā vidējā izsniegšanas maksa aptiekai, kas katru gadu izpilda 42 000 receptes, kurš pašlaik ir nozares vidējais rādītājs, ir aptuveni 14,50 ASV dolāri.</w:t>
            </w:r>
          </w:p>
        </w:tc>
      </w:tr>
    </w:tbl>
    <w:p w14:paraId="25BD7494" w14:textId="702E0D42" w:rsidR="00702F42" w:rsidRDefault="00702F42" w:rsidP="004D11C9">
      <w:pPr>
        <w:jc w:val="both"/>
        <w:rPr>
          <w:rFonts w:ascii="Times New Roman" w:eastAsia="Arial" w:hAnsi="Times New Roman" w:cs="Arial"/>
          <w:noProof/>
          <w:sz w:val="24"/>
          <w:szCs w:val="20"/>
        </w:rPr>
      </w:pPr>
    </w:p>
    <w:p w14:paraId="7FB3F451" w14:textId="00B8FE05" w:rsidR="00C407BB" w:rsidRDefault="00C407BB">
      <w:pPr>
        <w:rPr>
          <w:rFonts w:ascii="Times New Roman" w:eastAsia="Times New Roman" w:hAnsi="Times New Roman" w:cs="Times New Roman"/>
          <w:noProof/>
          <w:sz w:val="24"/>
          <w:szCs w:val="2"/>
        </w:rPr>
      </w:pPr>
      <w:r>
        <w:br w:type="page"/>
      </w:r>
    </w:p>
    <w:p w14:paraId="68A2BA73" w14:textId="77777777" w:rsidR="000A6469" w:rsidRPr="004D11C9" w:rsidRDefault="000A6469" w:rsidP="004D11C9">
      <w:pPr>
        <w:jc w:val="both"/>
        <w:rPr>
          <w:rFonts w:ascii="Times New Roman" w:eastAsia="Arial" w:hAnsi="Times New Roman" w:cs="Arial"/>
          <w:noProof/>
          <w:sz w:val="24"/>
          <w:szCs w:val="26"/>
        </w:rPr>
      </w:pPr>
    </w:p>
    <w:p w14:paraId="0250D002" w14:textId="78BD82F9" w:rsidR="000A6469" w:rsidRPr="004D11C9" w:rsidRDefault="000A6469" w:rsidP="00887892">
      <w:pPr>
        <w:pStyle w:val="Heading1"/>
        <w:spacing w:before="0"/>
        <w:ind w:left="0"/>
        <w:jc w:val="both"/>
        <w:rPr>
          <w:rFonts w:ascii="Times New Roman" w:hAnsi="Times New Roman"/>
          <w:noProof/>
          <w:sz w:val="24"/>
        </w:rPr>
      </w:pPr>
      <w:bookmarkStart w:id="85" w:name="Chapter_5_Identifying_the_options"/>
      <w:bookmarkStart w:id="86" w:name="_bookmark53"/>
      <w:bookmarkStart w:id="87" w:name="_Toc62650479"/>
      <w:bookmarkEnd w:id="85"/>
      <w:bookmarkEnd w:id="86"/>
      <w:r w:rsidRPr="00121F0E">
        <w:rPr>
          <w:rFonts w:ascii="Times New Roman" w:hAnsi="Times New Roman"/>
          <w:sz w:val="28"/>
          <w:szCs w:val="56"/>
        </w:rPr>
        <w:t>5. nodaļa</w:t>
      </w:r>
      <w:r w:rsidR="00887892">
        <w:rPr>
          <w:rFonts w:ascii="Times New Roman" w:hAnsi="Times New Roman"/>
          <w:sz w:val="24"/>
        </w:rPr>
        <w:br/>
      </w:r>
      <w:r>
        <w:rPr>
          <w:rFonts w:ascii="Times New Roman" w:hAnsi="Times New Roman"/>
          <w:sz w:val="24"/>
        </w:rPr>
        <w:t>Iespējamo politikas risinājumu identificēšana</w:t>
      </w:r>
      <w:bookmarkEnd w:id="87"/>
    </w:p>
    <w:p w14:paraId="714886D5" w14:textId="77777777" w:rsidR="000A6469" w:rsidRPr="004D11C9" w:rsidRDefault="000A6469" w:rsidP="004D11C9">
      <w:pPr>
        <w:jc w:val="both"/>
        <w:rPr>
          <w:rFonts w:ascii="Times New Roman" w:eastAsia="Arial" w:hAnsi="Times New Roman" w:cs="Arial"/>
          <w:b/>
          <w:bCs/>
          <w:noProof/>
          <w:sz w:val="24"/>
          <w:szCs w:val="36"/>
        </w:rPr>
      </w:pPr>
    </w:p>
    <w:p w14:paraId="06699CBC"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Konkurences novērtēšanas mērķis ir noteikt iespējamo politikas risinājumu, kas ļauj politikas veidotājam sasniegt attiecīgo politikas mērķi, iespējami maz kropļojot konkurenci. Dažkārt atbilstošāko risinājumu var piedāvāt pati izskatāmā politika, bet citos gadījumos var pastāvēt mazāk ierobežojošas alternatīvas, ko var izmantot. Tādējādi, ja, izmantojot pārbaudes lapu, tiek secināts, ka izskatāmā politika, visticamāk, kropļos konkurenci, jāapsver citu mazāk kropļojošu pasākumu izmantošana tā paša mērķa sasniegšanai. Tas nozīmē, ka ir jāidentificē visi politikas risinājumi, kas ļauj sasniegt mērķi, jānovērtē katra risinājuma ietekme uz konkurenci un jāizvēlas risinājums, kas dotu vislielāko labumu. Šajā nodaļā sniegti norādījumi par to, kā identificēt mazāk ierobežojošas alternatīvas attiecīgā mērķa sasniegšanai.</w:t>
      </w:r>
    </w:p>
    <w:p w14:paraId="1CAE8C60" w14:textId="77777777" w:rsidR="000A6469" w:rsidRPr="004D11C9" w:rsidRDefault="000A6469" w:rsidP="004D11C9">
      <w:pPr>
        <w:jc w:val="both"/>
        <w:rPr>
          <w:rFonts w:ascii="Times New Roman" w:hAnsi="Times New Roman"/>
          <w:noProof/>
          <w:sz w:val="24"/>
        </w:rPr>
      </w:pPr>
    </w:p>
    <w:p w14:paraId="6F4BFB90"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Mazāk ierobežojošu alternatīvu noteikšana konkrētai politikai ir faktos balstīts uzdevums, kura izpildei nepieciešama laba izpratne par attiecīgo politiku un arī pienācīgas speciālās zināšanas par attiecīgo nozari.</w:t>
      </w:r>
    </w:p>
    <w:p w14:paraId="50FEC876" w14:textId="77777777" w:rsidR="000A6469" w:rsidRPr="004D11C9" w:rsidRDefault="000A6469" w:rsidP="004D11C9">
      <w:pPr>
        <w:jc w:val="both"/>
        <w:rPr>
          <w:rFonts w:ascii="Times New Roman" w:eastAsia="Arial" w:hAnsi="Times New Roman" w:cs="Arial"/>
          <w:noProof/>
          <w:sz w:val="24"/>
          <w:szCs w:val="21"/>
        </w:rPr>
      </w:pPr>
    </w:p>
    <w:p w14:paraId="595D282A" w14:textId="674AB156" w:rsidR="000A6469" w:rsidRPr="004D11C9" w:rsidRDefault="00C407BB" w:rsidP="00C407BB">
      <w:pPr>
        <w:pStyle w:val="Heading3"/>
        <w:tabs>
          <w:tab w:val="left" w:pos="361"/>
        </w:tabs>
        <w:ind w:left="0"/>
        <w:jc w:val="both"/>
        <w:rPr>
          <w:rFonts w:ascii="Times New Roman" w:hAnsi="Times New Roman"/>
          <w:noProof/>
          <w:sz w:val="24"/>
        </w:rPr>
      </w:pPr>
      <w:bookmarkStart w:id="88" w:name="1._Identify_purpose_of_policy"/>
      <w:bookmarkStart w:id="89" w:name="_bookmark54"/>
      <w:bookmarkStart w:id="90" w:name="_Toc62650480"/>
      <w:bookmarkEnd w:id="88"/>
      <w:bookmarkEnd w:id="89"/>
      <w:r>
        <w:rPr>
          <w:rFonts w:ascii="Times New Roman" w:hAnsi="Times New Roman"/>
          <w:sz w:val="24"/>
        </w:rPr>
        <w:t>1. Politikas mērķa noskaidrošana</w:t>
      </w:r>
      <w:bookmarkEnd w:id="90"/>
    </w:p>
    <w:p w14:paraId="65DAB02B" w14:textId="77777777" w:rsidR="000A6469" w:rsidRPr="004D11C9" w:rsidRDefault="000A6469" w:rsidP="004D11C9">
      <w:pPr>
        <w:jc w:val="both"/>
        <w:rPr>
          <w:rFonts w:ascii="Times New Roman" w:eastAsia="Arial" w:hAnsi="Times New Roman" w:cs="Arial"/>
          <w:b/>
          <w:bCs/>
          <w:noProof/>
          <w:sz w:val="24"/>
          <w:szCs w:val="21"/>
        </w:rPr>
      </w:pPr>
    </w:p>
    <w:p w14:paraId="11A54474" w14:textId="30D1F0F0"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Pirmais solis ir politikas mērķa noskaidrošana. Ja politika ir paredzēta tirgus nepilnību novēršanai, ir vajadzīgs skaidrs tirgus nepilnību apraksts, kā arī mehānisms, ar ko politika plāno atrisināt vai samazināt tirgus nepilnību intensitāti. Tas nozīmē, ka ir jānosaka galīgais mērķis, kā arī taustāmais rezultāts, ko ir paredzēts sasniegt ar izskatāmo politiku. Svarīga ir arī izpratne par vispārējo </w:t>
      </w:r>
      <w:r w:rsidR="002A74F4">
        <w:rPr>
          <w:rFonts w:ascii="Times New Roman" w:hAnsi="Times New Roman"/>
          <w:sz w:val="24"/>
        </w:rPr>
        <w:t>regulatīvo</w:t>
      </w:r>
      <w:r>
        <w:rPr>
          <w:rFonts w:ascii="Times New Roman" w:hAnsi="Times New Roman"/>
          <w:sz w:val="24"/>
        </w:rPr>
        <w:t xml:space="preserve"> vidi. Politikas mērķis dažkārt ir atrodams pašā regulējumā, augstākā līmeņa normatīvajā aktā, likumdošanas debatēs vai normatīvā akta pamatojuma dokumentos, kad attiecīgais normatīvais akts ir pieņemts.</w:t>
      </w:r>
    </w:p>
    <w:p w14:paraId="5AE32D3C" w14:textId="77777777" w:rsidR="000A6469" w:rsidRPr="004D11C9" w:rsidRDefault="000A6469" w:rsidP="004D11C9">
      <w:pPr>
        <w:jc w:val="both"/>
        <w:rPr>
          <w:rFonts w:ascii="Times New Roman" w:eastAsia="Arial" w:hAnsi="Times New Roman" w:cs="Arial"/>
          <w:noProof/>
          <w:sz w:val="24"/>
          <w:szCs w:val="15"/>
        </w:rPr>
      </w:pPr>
    </w:p>
    <w:p w14:paraId="584B4850" w14:textId="6397908B"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Daudzi politikas pasākumi ir ieviesti nevis tirgus nepilnību dēļ, bet gan sociālu un citu iemeslu dēļ.</w:t>
      </w:r>
      <w:r w:rsidR="008324B1">
        <w:rPr>
          <w:rStyle w:val="FootnoteReference"/>
          <w:rFonts w:ascii="Times New Roman" w:hAnsi="Times New Roman"/>
          <w:noProof/>
          <w:sz w:val="24"/>
        </w:rPr>
        <w:footnoteReference w:id="7"/>
      </w:r>
      <w:r>
        <w:rPr>
          <w:rFonts w:ascii="Times New Roman" w:hAnsi="Times New Roman"/>
          <w:sz w:val="24"/>
        </w:rPr>
        <w:t xml:space="preserve"> Ja nozarē tiek piemēroti citi politikas pasākumi, kas paredzēti viena un tā paša mērķa sasniegšanai, svarīgi noskaidrot jebkādu saikni starp tiem un izskatāmo politiku. Tā ir jāņem vērā alternatīvu izstrādē.</w:t>
      </w:r>
    </w:p>
    <w:p w14:paraId="5B220605" w14:textId="77777777" w:rsidR="000A6469" w:rsidRPr="004D11C9" w:rsidRDefault="000A6469" w:rsidP="004D11C9">
      <w:pPr>
        <w:jc w:val="both"/>
        <w:rPr>
          <w:rFonts w:ascii="Times New Roman" w:eastAsia="Arial" w:hAnsi="Times New Roman" w:cs="Arial"/>
          <w:noProof/>
          <w:sz w:val="24"/>
          <w:szCs w:val="16"/>
        </w:rPr>
      </w:pPr>
    </w:p>
    <w:p w14:paraId="434DC94E" w14:textId="6501EA6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Bieži vien konkurenci ierobežojošu politikas pasākumu pamatā ir spēcīgas uzņēmējdarbības intereses un politiskās intereses. Uzņēmumi, kas darbojas nozarē, var mēģināt izmantot regulatīvo procesu, lai pasargātu sevi no spēcīgākas konkurences. Šāda veida centieni ir ticami, jo, pieaugot konkurencei, uzņēmumi var zaudēt peļņu. Cenšoties izprast iemeslus, kādēļ pastāv konkurenci kropļojošs regulējums, ir jāpatur prātā tirgū esošo uzņēmumu interešu būtiskā nozīme.</w:t>
      </w:r>
    </w:p>
    <w:p w14:paraId="1A3086DC" w14:textId="77777777" w:rsidR="000A6469" w:rsidRPr="004D11C9" w:rsidRDefault="000A6469" w:rsidP="004D11C9">
      <w:pPr>
        <w:jc w:val="both"/>
        <w:rPr>
          <w:rFonts w:ascii="Times New Roman" w:eastAsia="Arial" w:hAnsi="Times New Roman" w:cs="Arial"/>
          <w:noProof/>
          <w:sz w:val="24"/>
          <w:szCs w:val="17"/>
        </w:rPr>
      </w:pPr>
    </w:p>
    <w:p w14:paraId="52B27160"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Kad tiek noskaidroti regulējuma īstenošanas mērķi, galvenais jautājums var būt tas, kā panākt, ka šie mērķi netiek noteikti tādā veidā, kas nevajadzīgi izslēdz mazāk ierobežojošas pieejas tā paša galvenā mērķa sasniegšanai. Tas var notikt tad, ja noteiktie mērķi netieši ietver arī pieeju, kas jāizmanto pamatmērķa sasniegšanai, nevis ļauj apsvērt pilnu iespējamo risinājumu klāstu.</w:t>
      </w:r>
    </w:p>
    <w:p w14:paraId="22B44658" w14:textId="77777777" w:rsidR="000A6469" w:rsidRPr="004D11C9" w:rsidRDefault="000A6469" w:rsidP="004D11C9">
      <w:pPr>
        <w:jc w:val="both"/>
        <w:rPr>
          <w:rFonts w:ascii="Times New Roman" w:eastAsia="Arial" w:hAnsi="Times New Roman" w:cs="Arial"/>
          <w:noProof/>
          <w:sz w:val="24"/>
          <w:szCs w:val="17"/>
        </w:rPr>
      </w:pPr>
    </w:p>
    <w:p w14:paraId="78FB68F8"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Piemēram, tādam piesārņotājam kā sēra dioksīdam var būt vairāki avoti. Politikas pasākumi, kuru mērķis ir samazināt piesārņotāju, regulējot no katra avota izvadīto piesārņotāja daudzumu, var sasniegt vēlamo mērķi par piesārņotāja kopējo samazināšanu, bet vienlaikus var izslēgt </w:t>
      </w:r>
      <w:r>
        <w:rPr>
          <w:rFonts w:ascii="Times New Roman" w:hAnsi="Times New Roman"/>
          <w:sz w:val="24"/>
        </w:rPr>
        <w:lastRenderedPageBreak/>
        <w:t>pieejas, kas ļauj izmantot tirgus un konkurenci, lai efektīvāk sasniegtu plašo pamatmērķi.</w:t>
      </w:r>
    </w:p>
    <w:p w14:paraId="5FF6EB7A" w14:textId="1ED6DD3A" w:rsidR="000A6469" w:rsidRPr="004D11C9" w:rsidRDefault="000A6469" w:rsidP="004D11C9">
      <w:pPr>
        <w:jc w:val="both"/>
        <w:rPr>
          <w:rFonts w:ascii="Times New Roman" w:eastAsia="Arial" w:hAnsi="Times New Roman" w:cs="Arial"/>
          <w:noProof/>
          <w:sz w:val="24"/>
          <w:szCs w:val="17"/>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C407BB" w14:paraId="430E0E97" w14:textId="77777777" w:rsidTr="00C407BB">
        <w:tc>
          <w:tcPr>
            <w:tcW w:w="9062" w:type="dxa"/>
          </w:tcPr>
          <w:p w14:paraId="4622E092" w14:textId="2777DCB8" w:rsidR="00C407BB" w:rsidRDefault="00C407BB" w:rsidP="00C407BB">
            <w:pPr>
              <w:jc w:val="center"/>
              <w:rPr>
                <w:rFonts w:ascii="Times New Roman" w:eastAsia="Arial" w:hAnsi="Times New Roman" w:cs="Arial"/>
                <w:noProof/>
                <w:sz w:val="24"/>
                <w:szCs w:val="17"/>
              </w:rPr>
            </w:pPr>
            <w:r>
              <w:rPr>
                <w:rFonts w:ascii="Times New Roman" w:hAnsi="Times New Roman"/>
                <w:b/>
                <w:sz w:val="24"/>
              </w:rPr>
              <w:t>32. ierāmējums. Piesārņojuma atļauju tirgus</w:t>
            </w:r>
          </w:p>
        </w:tc>
      </w:tr>
      <w:tr w:rsidR="00C407BB" w14:paraId="3382EE77" w14:textId="77777777" w:rsidTr="00C407BB">
        <w:tc>
          <w:tcPr>
            <w:tcW w:w="9062" w:type="dxa"/>
          </w:tcPr>
          <w:p w14:paraId="76AC2259" w14:textId="77777777" w:rsidR="00C407BB" w:rsidRDefault="00C407BB" w:rsidP="00C407BB">
            <w:pPr>
              <w:jc w:val="both"/>
              <w:rPr>
                <w:rFonts w:ascii="Times New Roman" w:hAnsi="Times New Roman"/>
                <w:noProof/>
                <w:sz w:val="24"/>
              </w:rPr>
            </w:pPr>
            <w:r>
              <w:rPr>
                <w:rFonts w:ascii="Times New Roman" w:hAnsi="Times New Roman"/>
                <w:sz w:val="24"/>
              </w:rPr>
              <w:t>Viens no paņēmieniem, kā samazināt sēra dioksīda izvadi no rūpnīcām, ir noteikt ierobežojumus attiecībā uz daudzumu, kas tiek izvadīts no katra avota. Ja tomēr valsts politikas pamatmērķis ir samazināt no visiem avotiem izvadīto piesārņotāju kopējo daudzumu, tad, nosakot piesārņotāju kopējo samazināšanas mērķi, var izveidot piesārņojuma atļauju tirgu ar tirgojamām piesārņotāju kvotām. Emisiju tirdzniecība vai cenas noteikšana tiesībām emitēt attiecīgo piesārņotāju var būt veids, kā nodrošināt, ka vispārējais mērķis tiek sasniegts, pateicoties tiem, kas spēj samazināt savas emisijas ar vismazākajām izmaksām.</w:t>
            </w:r>
          </w:p>
          <w:p w14:paraId="44AEB541" w14:textId="77777777" w:rsidR="00C407BB" w:rsidRPr="004D11C9" w:rsidRDefault="00C407BB" w:rsidP="00C407BB">
            <w:pPr>
              <w:jc w:val="both"/>
              <w:rPr>
                <w:rFonts w:ascii="Times New Roman" w:eastAsia="Arial" w:hAnsi="Times New Roman" w:cs="Arial"/>
                <w:noProof/>
                <w:sz w:val="24"/>
                <w:szCs w:val="18"/>
              </w:rPr>
            </w:pPr>
          </w:p>
          <w:p w14:paraId="0D52909F" w14:textId="41E31C4B" w:rsidR="00C407BB" w:rsidRDefault="00C407BB" w:rsidP="004D11C9">
            <w:pPr>
              <w:jc w:val="both"/>
              <w:rPr>
                <w:rFonts w:ascii="Times New Roman" w:eastAsia="Arial" w:hAnsi="Times New Roman" w:cs="Arial"/>
                <w:noProof/>
                <w:sz w:val="24"/>
                <w:szCs w:val="17"/>
              </w:rPr>
            </w:pPr>
            <w:r>
              <w:rPr>
                <w:rFonts w:ascii="Times New Roman" w:hAnsi="Times New Roman"/>
                <w:i/>
                <w:sz w:val="24"/>
              </w:rPr>
              <w:t>Avots</w:t>
            </w:r>
            <w:r>
              <w:rPr>
                <w:rFonts w:ascii="Times New Roman" w:hAnsi="Times New Roman"/>
                <w:sz w:val="24"/>
              </w:rPr>
              <w:t>: ESAO (2011).</w:t>
            </w:r>
          </w:p>
        </w:tc>
      </w:tr>
    </w:tbl>
    <w:p w14:paraId="6C2F969E" w14:textId="77777777" w:rsidR="000A6469" w:rsidRPr="004D11C9" w:rsidRDefault="000A6469" w:rsidP="004D11C9">
      <w:pPr>
        <w:jc w:val="both"/>
        <w:rPr>
          <w:rFonts w:ascii="Times New Roman" w:eastAsia="Arial" w:hAnsi="Times New Roman" w:cs="Arial"/>
          <w:noProof/>
          <w:sz w:val="24"/>
          <w:szCs w:val="16"/>
        </w:rPr>
      </w:pPr>
      <w:bookmarkStart w:id="91" w:name="_bookmark55"/>
      <w:bookmarkEnd w:id="91"/>
    </w:p>
    <w:p w14:paraId="78B21485" w14:textId="6E77F5C9" w:rsidR="000A6469" w:rsidRPr="004D11C9" w:rsidRDefault="008324B1" w:rsidP="008324B1">
      <w:pPr>
        <w:pStyle w:val="Heading3"/>
        <w:tabs>
          <w:tab w:val="left" w:pos="401"/>
        </w:tabs>
        <w:ind w:left="0"/>
        <w:jc w:val="both"/>
        <w:rPr>
          <w:rFonts w:ascii="Times New Roman" w:hAnsi="Times New Roman"/>
          <w:noProof/>
          <w:sz w:val="24"/>
        </w:rPr>
      </w:pPr>
      <w:bookmarkStart w:id="92" w:name="2._Identify_specific_elements_of_regulat"/>
      <w:bookmarkStart w:id="93" w:name="_bookmark56"/>
      <w:bookmarkStart w:id="94" w:name="_Toc62650481"/>
      <w:bookmarkEnd w:id="92"/>
      <w:bookmarkEnd w:id="93"/>
      <w:r>
        <w:rPr>
          <w:rFonts w:ascii="Times New Roman" w:hAnsi="Times New Roman"/>
          <w:sz w:val="24"/>
        </w:rPr>
        <w:t>2. Identificēt regulējuma elementus, kas rada konkurences problēmu</w:t>
      </w:r>
      <w:bookmarkEnd w:id="94"/>
    </w:p>
    <w:p w14:paraId="62CA2C86" w14:textId="77777777" w:rsidR="000A6469" w:rsidRPr="004D11C9" w:rsidRDefault="000A6469" w:rsidP="004D11C9">
      <w:pPr>
        <w:jc w:val="both"/>
        <w:rPr>
          <w:rFonts w:ascii="Times New Roman" w:eastAsia="Arial" w:hAnsi="Times New Roman" w:cs="Arial"/>
          <w:b/>
          <w:bCs/>
          <w:noProof/>
          <w:sz w:val="24"/>
          <w:szCs w:val="20"/>
        </w:rPr>
      </w:pPr>
    </w:p>
    <w:p w14:paraId="011AF46A"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Nākamais solis ir noteikt to konkurences problēmas vai problēmu būtību, ko ir radījusi izskatāmā politika, un to, vai tās ir nepieciešamas mērķa sasniegšanai. To ir iespējams paveikt, izmantojot pārbaudes lapu. Jānosaka arī tie politikas īpašie elementi vai noteikumi, kas rada konkurences problēmas. Jautājums ir par to, vai šie elementi vai noteikumi ir nepieciešami mērķa sasniegšanai un vai tos varētu grozīt, lai samazinātu vai novērstu to nelabvēlīgo ietekmi uz konkurenci. Šis process ļauj izstrādāt alternatīvu risinājumu kopumu, kuri sniedz iespēju sasniegt to pašu mērķi, ko attiecīgā politika, bet kuri nekropļo konkurenci vai rada mazākus konkurences kropļojumus.</w:t>
      </w:r>
    </w:p>
    <w:p w14:paraId="021F30EC" w14:textId="48F9D7EF" w:rsidR="000A6469" w:rsidRPr="004D11C9" w:rsidRDefault="000A6469" w:rsidP="004D11C9">
      <w:pPr>
        <w:jc w:val="both"/>
        <w:rPr>
          <w:rFonts w:ascii="Times New Roman" w:eastAsia="Arial" w:hAnsi="Times New Roman" w:cs="Arial"/>
          <w:noProof/>
          <w:sz w:val="24"/>
          <w:szCs w:val="26"/>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8324B1" w14:paraId="43D0B1F9" w14:textId="77777777" w:rsidTr="008324B1">
        <w:tc>
          <w:tcPr>
            <w:tcW w:w="9062" w:type="dxa"/>
          </w:tcPr>
          <w:p w14:paraId="0569B851" w14:textId="79A891DB" w:rsidR="008324B1" w:rsidRDefault="008324B1" w:rsidP="008324B1">
            <w:pPr>
              <w:jc w:val="center"/>
              <w:rPr>
                <w:rFonts w:ascii="Times New Roman" w:eastAsia="Arial" w:hAnsi="Times New Roman" w:cs="Arial"/>
                <w:noProof/>
                <w:sz w:val="24"/>
                <w:szCs w:val="26"/>
              </w:rPr>
            </w:pPr>
            <w:r>
              <w:rPr>
                <w:rFonts w:ascii="Times New Roman" w:hAnsi="Times New Roman"/>
                <w:b/>
                <w:sz w:val="24"/>
              </w:rPr>
              <w:t>33. ierāmējums. Stingrs un detalizēts regulējums</w:t>
            </w:r>
          </w:p>
        </w:tc>
      </w:tr>
      <w:tr w:rsidR="008324B1" w14:paraId="506E60C3" w14:textId="77777777" w:rsidTr="008324B1">
        <w:tc>
          <w:tcPr>
            <w:tcW w:w="9062" w:type="dxa"/>
          </w:tcPr>
          <w:p w14:paraId="2D3095EC" w14:textId="77777777" w:rsidR="008324B1" w:rsidRDefault="008324B1" w:rsidP="008324B1">
            <w:pPr>
              <w:jc w:val="both"/>
              <w:rPr>
                <w:rFonts w:ascii="Times New Roman" w:hAnsi="Times New Roman"/>
                <w:noProof/>
                <w:sz w:val="24"/>
              </w:rPr>
            </w:pPr>
            <w:r>
              <w:rPr>
                <w:rFonts w:ascii="Times New Roman" w:hAnsi="Times New Roman"/>
                <w:sz w:val="24"/>
              </w:rPr>
              <w:t>Noteikumos var būt dota priekšroka noteiktam uzņēmējdarbības modelim vai konkurentu grupai. Viens veids, kā nodrošināt priekšrocības noteiktiem tirgus dalībniekiem, ir noteikt precīzu pakalpojuma sniegšanas vai preces piegādes metodi.</w:t>
            </w:r>
          </w:p>
          <w:p w14:paraId="3BF44CCF" w14:textId="77777777" w:rsidR="008324B1" w:rsidRPr="004D11C9" w:rsidRDefault="008324B1" w:rsidP="008324B1">
            <w:pPr>
              <w:jc w:val="both"/>
              <w:rPr>
                <w:rFonts w:ascii="Times New Roman" w:hAnsi="Times New Roman"/>
                <w:noProof/>
                <w:sz w:val="24"/>
              </w:rPr>
            </w:pPr>
          </w:p>
          <w:p w14:paraId="26338561" w14:textId="77777777" w:rsidR="008324B1" w:rsidRDefault="008324B1" w:rsidP="008324B1">
            <w:pPr>
              <w:jc w:val="both"/>
              <w:rPr>
                <w:rFonts w:ascii="Times New Roman" w:hAnsi="Times New Roman"/>
                <w:noProof/>
                <w:sz w:val="24"/>
              </w:rPr>
            </w:pPr>
            <w:r>
              <w:rPr>
                <w:rFonts w:ascii="Times New Roman" w:hAnsi="Times New Roman"/>
                <w:sz w:val="24"/>
              </w:rPr>
              <w:t>Piemēram, dažās jurisdikcijās, tostarp Norvēģijā, cenas nosaka taksometra skaitītājs, pamatojoties uz iepriekš iestatītiem parametriem. Netiek atzīts uz GPS balstīts mērījums un reģistrācija, ko izmanto kopbraukšanas pakalpojumos.</w:t>
            </w:r>
          </w:p>
          <w:p w14:paraId="2190AE76" w14:textId="77777777" w:rsidR="008324B1" w:rsidRPr="004D11C9" w:rsidRDefault="008324B1" w:rsidP="008324B1">
            <w:pPr>
              <w:jc w:val="both"/>
              <w:rPr>
                <w:rFonts w:ascii="Times New Roman" w:hAnsi="Times New Roman"/>
                <w:noProof/>
                <w:sz w:val="24"/>
              </w:rPr>
            </w:pPr>
          </w:p>
          <w:p w14:paraId="46819EA3" w14:textId="77777777" w:rsidR="008324B1" w:rsidRDefault="008324B1" w:rsidP="008324B1">
            <w:pPr>
              <w:jc w:val="both"/>
              <w:rPr>
                <w:rFonts w:ascii="Times New Roman" w:hAnsi="Times New Roman"/>
                <w:noProof/>
                <w:sz w:val="24"/>
              </w:rPr>
            </w:pPr>
            <w:r>
              <w:rPr>
                <w:rFonts w:ascii="Times New Roman" w:hAnsi="Times New Roman"/>
                <w:sz w:val="24"/>
              </w:rPr>
              <w:t>Itālijā tālsatiksmes autobusu pārvadājumu pakalpojumu liberalizācija 2014. gadā sniedza iespēju ieviest pielāgojamu braukšanas maksu, nodalot atļaujas turētāju no pakalpojuma sniedzēja, kas ļauj īstenot dažādus uzņēmējdarbības modeļus. Tomēr 2016. gada dekrētā tika noteikts, ka pārvadājumu pakalpojumu drīkst sniegt vienīgi atļaujas turētājs. Šis jaunais regulējums bija pretrunā ar to jauno uzņēmumu uzņēmējdarbības modeļiem, kas ienāca tirgū pēc 2014. gada liberalizācijas.</w:t>
            </w:r>
          </w:p>
          <w:p w14:paraId="75AFAEC6" w14:textId="77777777" w:rsidR="008324B1" w:rsidRPr="004D11C9" w:rsidRDefault="008324B1" w:rsidP="008324B1">
            <w:pPr>
              <w:jc w:val="both"/>
              <w:rPr>
                <w:rFonts w:ascii="Times New Roman" w:hAnsi="Times New Roman"/>
                <w:noProof/>
                <w:sz w:val="24"/>
              </w:rPr>
            </w:pPr>
          </w:p>
          <w:p w14:paraId="6FD0E0C8" w14:textId="77777777" w:rsidR="008324B1" w:rsidRDefault="008324B1" w:rsidP="008324B1">
            <w:pPr>
              <w:jc w:val="both"/>
              <w:rPr>
                <w:rFonts w:ascii="Times New Roman" w:eastAsia="Arial" w:hAnsi="Times New Roman" w:cs="Arial"/>
                <w:noProof/>
                <w:sz w:val="24"/>
                <w:szCs w:val="18"/>
              </w:rPr>
            </w:pPr>
            <w:r>
              <w:rPr>
                <w:rFonts w:ascii="Times New Roman" w:hAnsi="Times New Roman"/>
                <w:sz w:val="24"/>
              </w:rPr>
              <w:t>Kanādas Konkurences birojs norādīja, ka tad, ja patērētāji iegādājas finanšu ieguldījumu produktus, ir nepieciešama “jēgpilna diskusija” starp pārdevēju un pircēju, kas dod priekšrocību fiziskiem filiāļu tīkliem vai vietējiem pakalpojumu sniedzējiem. Nepieciešamās informācijas iegūšana, kas ir noteikta vērtspapīrus reglamentējošajos normatīvajos aktos, un “jēgpilna diskusija” var būt apgrūtināta tiešsaistes vidē, kas var kavēt robotizēto konsultantu attīstību un konkurētspēju.</w:t>
            </w:r>
          </w:p>
          <w:p w14:paraId="3B4C466D" w14:textId="77777777" w:rsidR="008324B1" w:rsidRPr="004D11C9" w:rsidRDefault="008324B1" w:rsidP="008324B1">
            <w:pPr>
              <w:jc w:val="both"/>
              <w:rPr>
                <w:rFonts w:ascii="Times New Roman" w:eastAsia="Arial" w:hAnsi="Times New Roman" w:cs="Arial"/>
                <w:noProof/>
                <w:sz w:val="24"/>
                <w:szCs w:val="18"/>
              </w:rPr>
            </w:pPr>
          </w:p>
          <w:p w14:paraId="7836A17B" w14:textId="77777777" w:rsidR="008324B1" w:rsidRDefault="008324B1" w:rsidP="008324B1">
            <w:pPr>
              <w:jc w:val="both"/>
              <w:rPr>
                <w:rFonts w:ascii="Times New Roman" w:eastAsia="Arial" w:hAnsi="Times New Roman" w:cs="Arial"/>
                <w:noProof/>
                <w:sz w:val="24"/>
                <w:szCs w:val="18"/>
              </w:rPr>
            </w:pPr>
            <w:r>
              <w:rPr>
                <w:rFonts w:ascii="Times New Roman" w:hAnsi="Times New Roman"/>
                <w:sz w:val="24"/>
              </w:rPr>
              <w:t xml:space="preserve">Saskaņā ar Grieķijas likuma Nr. 393/1976 4. panta 5. punktu tiešsaistes tūrisma aģentiem ir atļauts sniegt tikai dažus no pakalpojumiem, ko sniedz tūrisma aģenti, kuriem ir pakalpojumu sniegšanas vietas klientu apkalpošanai klātienē. Šis ierobežojums tika atcelts 2014. gadā. </w:t>
            </w:r>
            <w:r>
              <w:rPr>
                <w:rFonts w:ascii="Times New Roman" w:hAnsi="Times New Roman"/>
                <w:sz w:val="24"/>
              </w:rPr>
              <w:lastRenderedPageBreak/>
              <w:t>Francijā tiešsaistes aptiekām ir atļauts pārdot tikai “médication officinale”, kas neietver visas bezrecepšu zāles.</w:t>
            </w:r>
          </w:p>
          <w:p w14:paraId="62DDDC60" w14:textId="77777777" w:rsidR="008324B1" w:rsidRPr="008324B1" w:rsidRDefault="008324B1" w:rsidP="008324B1">
            <w:pPr>
              <w:jc w:val="both"/>
              <w:rPr>
                <w:rFonts w:ascii="Times New Roman" w:hAnsi="Times New Roman"/>
                <w:noProof/>
                <w:sz w:val="24"/>
              </w:rPr>
            </w:pPr>
          </w:p>
          <w:p w14:paraId="3848804A" w14:textId="0FA6B9BE" w:rsidR="008324B1" w:rsidRPr="008324B1" w:rsidRDefault="008324B1" w:rsidP="004D11C9">
            <w:pPr>
              <w:jc w:val="both"/>
              <w:rPr>
                <w:rFonts w:ascii="Times New Roman" w:hAnsi="Times New Roman"/>
                <w:noProof/>
                <w:sz w:val="24"/>
              </w:rPr>
            </w:pPr>
            <w:r>
              <w:rPr>
                <w:rFonts w:ascii="Times New Roman" w:hAnsi="Times New Roman"/>
                <w:sz w:val="24"/>
              </w:rPr>
              <w:t>Dažos citos gadījumos ar digitāliem līdzekļiem sniegtiem pakalpojumiem tiek piešķirts īpašs režīms salīdzinājumā ar tradicionālajiem pakalpojumiem. Normatīvie akti, kas tika iesniegti apstiprināšanai Itālijas Senātā 2018. gada oktobrī, noteica, ka mājas restorānu pakalpojumus sniedz un apmaksā (avansā) tikai ar tiešsaistes platformu starpniecību.</w:t>
            </w:r>
          </w:p>
        </w:tc>
      </w:tr>
    </w:tbl>
    <w:p w14:paraId="33DDCFC8" w14:textId="16684BD3" w:rsidR="00A766E8" w:rsidRDefault="00A766E8" w:rsidP="004D11C9">
      <w:pPr>
        <w:jc w:val="both"/>
        <w:rPr>
          <w:rFonts w:ascii="Times New Roman" w:eastAsia="Arial" w:hAnsi="Times New Roman" w:cs="Arial"/>
          <w:noProof/>
          <w:sz w:val="24"/>
          <w:szCs w:val="26"/>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8324B1" w14:paraId="2730C44F" w14:textId="77777777" w:rsidTr="008324B1">
        <w:tc>
          <w:tcPr>
            <w:tcW w:w="9062" w:type="dxa"/>
          </w:tcPr>
          <w:p w14:paraId="7B41D261" w14:textId="17583BF3" w:rsidR="008324B1" w:rsidRPr="008324B1" w:rsidRDefault="008324B1" w:rsidP="008324B1">
            <w:pPr>
              <w:jc w:val="center"/>
              <w:rPr>
                <w:rFonts w:ascii="Times New Roman" w:hAnsi="Times New Roman"/>
                <w:b/>
                <w:noProof/>
                <w:sz w:val="24"/>
              </w:rPr>
            </w:pPr>
            <w:r>
              <w:rPr>
                <w:rFonts w:ascii="Times New Roman" w:hAnsi="Times New Roman"/>
                <w:b/>
                <w:sz w:val="24"/>
              </w:rPr>
              <w:t>34. ierāmējums. Tirgus nepilnību izpratne, iznākuma noteikšana un alternatīvu izstrāde</w:t>
            </w:r>
          </w:p>
        </w:tc>
      </w:tr>
      <w:tr w:rsidR="008324B1" w14:paraId="1A074F8E" w14:textId="77777777" w:rsidTr="008324B1">
        <w:tc>
          <w:tcPr>
            <w:tcW w:w="9062" w:type="dxa"/>
          </w:tcPr>
          <w:p w14:paraId="4292D00B" w14:textId="77777777" w:rsidR="008324B1" w:rsidRDefault="008324B1" w:rsidP="008324B1">
            <w:pPr>
              <w:jc w:val="both"/>
              <w:rPr>
                <w:rFonts w:ascii="Times New Roman" w:hAnsi="Times New Roman"/>
                <w:noProof/>
                <w:sz w:val="24"/>
              </w:rPr>
            </w:pPr>
            <w:r>
              <w:rPr>
                <w:rFonts w:ascii="Times New Roman" w:hAnsi="Times New Roman"/>
                <w:sz w:val="24"/>
              </w:rPr>
              <w:t>Pārskatot farmaceitisko līdzekļu mazumtirdzniecības tiesisko regulējumu, konstatēts, ka recepšu un bezrecepšu zāļu tirdzniecība internetā ir aizliegta. Šis tiesiskais regulējums ierobežo šo produktu pārdevēju būtību, kas saskaņā ar pārbaudes lapu ir konkurences izkropļojums.</w:t>
            </w:r>
          </w:p>
          <w:p w14:paraId="1544123C" w14:textId="77777777" w:rsidR="008324B1" w:rsidRPr="004D11C9" w:rsidRDefault="008324B1" w:rsidP="008324B1">
            <w:pPr>
              <w:jc w:val="both"/>
              <w:rPr>
                <w:rFonts w:ascii="Times New Roman" w:hAnsi="Times New Roman"/>
                <w:noProof/>
                <w:sz w:val="24"/>
              </w:rPr>
            </w:pPr>
          </w:p>
          <w:p w14:paraId="6F7C5246" w14:textId="77777777" w:rsidR="008324B1" w:rsidRDefault="008324B1" w:rsidP="008324B1">
            <w:pPr>
              <w:jc w:val="both"/>
              <w:rPr>
                <w:rFonts w:ascii="Times New Roman" w:hAnsi="Times New Roman"/>
                <w:noProof/>
                <w:sz w:val="24"/>
              </w:rPr>
            </w:pPr>
            <w:r>
              <w:rPr>
                <w:rFonts w:ascii="Times New Roman" w:hAnsi="Times New Roman"/>
                <w:sz w:val="24"/>
              </w:rPr>
              <w:t>Lai pareizi izvēlētos un lietotu zāles, bieži ir nepieciešamas īpašas zināšanas, kuru patērētājiem var trūkt. Šādas zināšanas ir farmaceitiem (kuriem dažās valstīs ir tādas pašas zāļu parakstīšanas tiesības kā ārstiem). Prasība farmaceitam sniegt zāļu lietotājiem padomus par konkrētu zāļu lietošanu un pārbaudīt, vai šīs zāles ir faktiski nepieciešamas, ir viens no līdzekļiem, kā nodrošināt zāļu drošu lietošanu. Šie apsvērumi liecina, ka tad, kad šādas zāles tiek pārdotas, patērētāju aizsardzības nolūkā ir nepieciešama speciālista konsultācija. Tāpēc ir vajadzīgs noteikts regulējums par to, kam ir tiesības pārdot šādas zāles.</w:t>
            </w:r>
          </w:p>
          <w:p w14:paraId="0F6D3667" w14:textId="77777777" w:rsidR="008324B1" w:rsidRPr="004D11C9" w:rsidRDefault="008324B1" w:rsidP="008324B1">
            <w:pPr>
              <w:jc w:val="both"/>
              <w:rPr>
                <w:rFonts w:ascii="Times New Roman" w:hAnsi="Times New Roman"/>
                <w:noProof/>
                <w:sz w:val="24"/>
              </w:rPr>
            </w:pPr>
          </w:p>
          <w:p w14:paraId="6BCCC157" w14:textId="77777777" w:rsidR="008324B1" w:rsidRDefault="008324B1" w:rsidP="008324B1">
            <w:pPr>
              <w:jc w:val="both"/>
              <w:rPr>
                <w:rFonts w:ascii="Times New Roman" w:hAnsi="Times New Roman"/>
                <w:noProof/>
                <w:sz w:val="24"/>
              </w:rPr>
            </w:pPr>
            <w:r>
              <w:rPr>
                <w:rFonts w:ascii="Times New Roman" w:hAnsi="Times New Roman"/>
                <w:sz w:val="24"/>
              </w:rPr>
              <w:t>Taču ne visām zālēm ir nepieciešama speciālista konsultācija par to, kad un kā tās ir jālieto. Piemēram, daudzi sāpju mazināšanas medikamenti (piemēram, aspirīns un paracetamols/acetaminofēns) daudzās valstīs tiek pārdoti bez receptes. Patiesi, daudzās valstīs bezrecepšu zāles var pārdot arī mazumtirdzniecības vietās, kurās nav farmaceita. Tas liecina, ka aizliegums tirgot visas zāles internetā rada nevajadzīgu konkurences ierobežojumu. Noteiktas kategorijas zāles var pārdot tiešsaistē, neapdraudot lietotāju drošību.</w:t>
            </w:r>
          </w:p>
          <w:p w14:paraId="29222217" w14:textId="77777777" w:rsidR="008324B1" w:rsidRPr="004D11C9" w:rsidRDefault="008324B1" w:rsidP="008324B1">
            <w:pPr>
              <w:jc w:val="both"/>
              <w:rPr>
                <w:rFonts w:ascii="Times New Roman" w:hAnsi="Times New Roman"/>
                <w:noProof/>
                <w:sz w:val="24"/>
              </w:rPr>
            </w:pPr>
          </w:p>
          <w:p w14:paraId="1D828D05" w14:textId="77777777" w:rsidR="008324B1" w:rsidRDefault="008324B1" w:rsidP="008324B1">
            <w:pPr>
              <w:jc w:val="both"/>
              <w:rPr>
                <w:rFonts w:ascii="Times New Roman" w:hAnsi="Times New Roman"/>
                <w:noProof/>
                <w:sz w:val="24"/>
              </w:rPr>
            </w:pPr>
            <w:r>
              <w:rPr>
                <w:rFonts w:ascii="Times New Roman" w:hAnsi="Times New Roman"/>
                <w:sz w:val="24"/>
              </w:rPr>
              <w:t>Turklāt, tāpat kā aptiekas recepšu zāļu izsniegšanas lete, arī internets ir divvirzienu saziņas līdzeklis, ar kura starpniecību farmaceits var kontaktēties ar patērētāju. Daži patērētāji vai pacienti izvēlas netērēt laiku un līdzekļus tam, lai dotos uz aptieku, un iepērkas tiešsaistes aptiekā vai vienkārši uzzina, ka tiešsaistes aptiekās viņi var iegādāties zāles par zemāku cenu.</w:t>
            </w:r>
          </w:p>
          <w:p w14:paraId="3468C94A" w14:textId="77777777" w:rsidR="008324B1" w:rsidRPr="004D11C9" w:rsidRDefault="008324B1" w:rsidP="008324B1">
            <w:pPr>
              <w:jc w:val="both"/>
              <w:rPr>
                <w:rFonts w:ascii="Times New Roman" w:hAnsi="Times New Roman"/>
                <w:noProof/>
                <w:sz w:val="24"/>
              </w:rPr>
            </w:pPr>
          </w:p>
          <w:p w14:paraId="32FEF8DF" w14:textId="77777777" w:rsidR="008324B1" w:rsidRDefault="008324B1" w:rsidP="008324B1">
            <w:pPr>
              <w:jc w:val="both"/>
              <w:rPr>
                <w:rFonts w:ascii="Times New Roman" w:hAnsi="Times New Roman"/>
                <w:noProof/>
                <w:sz w:val="24"/>
              </w:rPr>
            </w:pPr>
            <w:r>
              <w:rPr>
                <w:rFonts w:ascii="Times New Roman" w:hAnsi="Times New Roman"/>
                <w:sz w:val="24"/>
              </w:rPr>
              <w:t>Tāpēc daži tiesiskā regulējuma elementi, kas aizliedz zāļu tirdzniecību internetā, nešķiet nepieciešami patērētāju veselības un drošības aizsardzības mērķa sasniegšanai. Ja tomēr attiecīgajā valstī ir aizliegta arī visu bezrecepšu zāļu klātienes pārdošana ārpus aptiekas, tad interneta un klātienes tirdzniecības vietu reformas pasākumos ir jāapsver politikas pasākumu saskaņošana attiecībā uz farmaceita funkciju interneta un klātienes pārdošanas kanālos.</w:t>
            </w:r>
          </w:p>
          <w:p w14:paraId="7A9E4672" w14:textId="77777777" w:rsidR="008324B1" w:rsidRPr="004D11C9" w:rsidRDefault="008324B1" w:rsidP="008324B1">
            <w:pPr>
              <w:jc w:val="both"/>
              <w:rPr>
                <w:rFonts w:ascii="Times New Roman" w:hAnsi="Times New Roman"/>
                <w:noProof/>
                <w:sz w:val="24"/>
              </w:rPr>
            </w:pPr>
          </w:p>
          <w:p w14:paraId="14E7C1ED" w14:textId="4320B8CE" w:rsidR="008324B1" w:rsidRPr="008324B1" w:rsidRDefault="008324B1" w:rsidP="004D11C9">
            <w:pPr>
              <w:jc w:val="both"/>
              <w:rPr>
                <w:rFonts w:ascii="Times New Roman" w:eastAsia="Arial" w:hAnsi="Times New Roman" w:cs="Arial"/>
                <w:noProof/>
                <w:sz w:val="24"/>
                <w:szCs w:val="18"/>
              </w:rPr>
            </w:pPr>
            <w:r>
              <w:rPr>
                <w:rFonts w:ascii="Times New Roman" w:hAnsi="Times New Roman"/>
                <w:sz w:val="24"/>
              </w:rPr>
              <w:t xml:space="preserve">Attiecībā uz zālēm, kas pieejamas tikai ar recepti, un zālēm, kam nepieciešama īpaša konsultācija pat tad, ja recepte nav nepieciešama, spēkā esošā tiesiskā regulējuma mērķis ir nodrošināt, ka kompetentās personas sniedz atbilstošus padomus. Prasība nodrošināt, ka šo zāļu pārdošanu uzrauga farmaceiti, šķiet atbilstošs risinājums, kam nav reālu alternatīvu. Tomēr pienākums nodrošināt šāda pakalpojuma fizisku sniegšanu, nevis attālinātu sniegšanu, šķiet mazāk nepieciešams politikas mērķa sasniegšanai. Patiešām, dažās valstīs šādu zāļu tirdzniecība internetā ir atļauta ar nosacījumu, ka uzņēmuma farmaceits uzrauga tirdzniecību, sniedz rakstiskus ieteikumus un pārbauda receptes derīgumu, kad tā ir nepieciešama. Citās valstīs tiks noteikts, ka zāles, kas pieejamas tikai ar receptēm, tiek saņemtas aptiekās, kurās farmaceits var klātienē sniegt konsultācijas par zāļu lietošanu un pārbaudīt recepti. Šie </w:t>
            </w:r>
            <w:r>
              <w:rPr>
                <w:rFonts w:ascii="Times New Roman" w:hAnsi="Times New Roman"/>
                <w:sz w:val="24"/>
              </w:rPr>
              <w:lastRenderedPageBreak/>
              <w:t>apsvērumi un starptautiskie piemēri sniedz papildu elementus, lai izstrādātu alternatīvas spēkā esošajam tiesiskajam regulējumam ar mērķi novērst konkurences ierobežojumus.</w:t>
            </w:r>
          </w:p>
        </w:tc>
      </w:tr>
    </w:tbl>
    <w:p w14:paraId="721F109A" w14:textId="77777777" w:rsidR="000A6469" w:rsidRPr="004D11C9" w:rsidRDefault="000A6469" w:rsidP="004D11C9">
      <w:pPr>
        <w:jc w:val="both"/>
        <w:rPr>
          <w:rFonts w:ascii="Times New Roman" w:eastAsia="Arial" w:hAnsi="Times New Roman" w:cs="Arial"/>
          <w:noProof/>
          <w:sz w:val="24"/>
          <w:szCs w:val="16"/>
        </w:rPr>
      </w:pPr>
      <w:bookmarkStart w:id="95" w:name="_bookmark57"/>
      <w:bookmarkStart w:id="96" w:name="_bookmark58"/>
      <w:bookmarkEnd w:id="95"/>
      <w:bookmarkEnd w:id="96"/>
    </w:p>
    <w:p w14:paraId="2CCCD04B" w14:textId="18302E01" w:rsidR="000A6469" w:rsidRPr="004D11C9" w:rsidRDefault="008324B1" w:rsidP="008324B1">
      <w:pPr>
        <w:pStyle w:val="Heading3"/>
        <w:tabs>
          <w:tab w:val="left" w:pos="401"/>
        </w:tabs>
        <w:ind w:left="0"/>
        <w:jc w:val="both"/>
        <w:rPr>
          <w:rFonts w:ascii="Times New Roman" w:hAnsi="Times New Roman"/>
          <w:noProof/>
          <w:sz w:val="24"/>
        </w:rPr>
      </w:pPr>
      <w:bookmarkStart w:id="97" w:name="3._Technical_expertise"/>
      <w:bookmarkStart w:id="98" w:name="_bookmark59"/>
      <w:bookmarkStart w:id="99" w:name="_Toc62650482"/>
      <w:bookmarkEnd w:id="97"/>
      <w:bookmarkEnd w:id="98"/>
      <w:r>
        <w:rPr>
          <w:rFonts w:ascii="Times New Roman" w:hAnsi="Times New Roman"/>
          <w:sz w:val="24"/>
        </w:rPr>
        <w:t>3. Tehniskās zināšanas</w:t>
      </w:r>
      <w:bookmarkEnd w:id="99"/>
    </w:p>
    <w:p w14:paraId="485F99E6" w14:textId="77777777" w:rsidR="000A6469" w:rsidRPr="004D11C9" w:rsidRDefault="000A6469" w:rsidP="004D11C9">
      <w:pPr>
        <w:jc w:val="both"/>
        <w:rPr>
          <w:rFonts w:ascii="Times New Roman" w:eastAsia="Arial" w:hAnsi="Times New Roman" w:cs="Arial"/>
          <w:b/>
          <w:bCs/>
          <w:noProof/>
          <w:sz w:val="24"/>
          <w:szCs w:val="21"/>
        </w:rPr>
      </w:pPr>
    </w:p>
    <w:p w14:paraId="169FDF6E"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Praktiski iespējamās alternatīvas var būt atkarīgas no regulētā jautājuma tehniskajām iezīmēm. Noteikumu izstrādei nepieciešamās tehniskās zināšanas atšķirsies atkarībā no attiecīgajiem noteikumiem. Tehniskās zināšanas var būt ministrijai vai valsts iestādei, kas pārrauga attiecīgos noteikumus. Šādas zināšanas dažkārt var būt neobjektīvas un par labu pastāvošajam regulatīvajam režīmam. Alternatīvas tehniskās zināšanas var būt pieejamas ārpus ministrijas, piemēram, akadēmiskajās aprindās vai ārpus valsts, ja izrādās, ka vietējiem ekspertiem piemīt neobjektivitāte kādā noteiktā virzienā. Arī uzņēmumiem var būt atbilstošas zināšanas, bet tie var būt neobjektīvi un atbalstīt noteikumus, kas, pēc šo uzņēmumu domām, sniedz tiem aizsardzību. Potenciālie jaunie uzņēmumi, kam ir grūtības uzsākt uzņēmējdarbību attiecīgo noteikumu dēļ, var objektīvāk norādīt uz konkurences ierobežojumiem nekā tirgū esošie uzņēmumi.</w:t>
      </w:r>
    </w:p>
    <w:p w14:paraId="0E4B2E65" w14:textId="77777777" w:rsidR="000A6469" w:rsidRPr="004D11C9" w:rsidRDefault="000A6469" w:rsidP="004D11C9">
      <w:pPr>
        <w:jc w:val="both"/>
        <w:rPr>
          <w:rFonts w:ascii="Times New Roman" w:eastAsia="Arial" w:hAnsi="Times New Roman" w:cs="Arial"/>
          <w:noProof/>
          <w:sz w:val="24"/>
          <w:szCs w:val="20"/>
        </w:rPr>
      </w:pPr>
    </w:p>
    <w:p w14:paraId="753F8B57"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Iespējamos konstatējumus var būt lietderīgi iesniegt tehniskajiem ekspertiem un skartajām interešu grupām agrīnā posmā pirms ieteikuma galīgās sagatavošanas. Piedāvājot ekspertiem un ieinteresētajām personām iespēju sniegt komentārus, var novērst pārpratumos balstītus secinājumus. Tādējādi ir iespējams nodrošināt arī to, ka pirms reformas noteikšanas likumā notiek tās apspriešana. Vērtētāji var vēlēties ne tikai saņemt rakstiskus komentārus, bet arī uzklausīt tos sanāksmēs; tieša saskarsme klātienē bieži vien ir ļoti produktīva.</w:t>
      </w:r>
    </w:p>
    <w:p w14:paraId="21D180B8" w14:textId="77777777" w:rsidR="000A6469" w:rsidRPr="004D11C9" w:rsidRDefault="000A6469" w:rsidP="004D11C9">
      <w:pPr>
        <w:jc w:val="both"/>
        <w:rPr>
          <w:rFonts w:ascii="Times New Roman" w:eastAsia="Arial" w:hAnsi="Times New Roman" w:cs="Arial"/>
          <w:noProof/>
          <w:sz w:val="24"/>
          <w:szCs w:val="20"/>
        </w:rPr>
      </w:pPr>
    </w:p>
    <w:p w14:paraId="7D43CCE9"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Lai vērtētāji saņemtu visnoderīgāko informāciju no ekspertiem, viņi var piedāvāt ekspertiem īsu semināru par konkurences novērtēšanu un pārbaudes lapu. Dažkārt eksperti spēs konstatēt konkurences ierobežojumus, ko citām personām ir grūti pamanīt attiecīgajos noteikumos.</w:t>
      </w:r>
    </w:p>
    <w:p w14:paraId="2D18FE15" w14:textId="2A4F0B18" w:rsidR="000A6469" w:rsidRDefault="000A6469" w:rsidP="004D11C9">
      <w:pPr>
        <w:jc w:val="both"/>
        <w:rPr>
          <w:rFonts w:ascii="Times New Roman" w:eastAsia="Arial" w:hAnsi="Times New Roman" w:cs="Arial"/>
          <w:noProof/>
          <w:sz w:val="24"/>
          <w:szCs w:val="17"/>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8324B1" w14:paraId="1636185D" w14:textId="77777777" w:rsidTr="008324B1">
        <w:tc>
          <w:tcPr>
            <w:tcW w:w="9062" w:type="dxa"/>
          </w:tcPr>
          <w:p w14:paraId="1093EEA0" w14:textId="1312B648" w:rsidR="008324B1" w:rsidRPr="008324B1" w:rsidRDefault="008324B1" w:rsidP="008324B1">
            <w:pPr>
              <w:jc w:val="center"/>
              <w:rPr>
                <w:rFonts w:ascii="Times New Roman" w:eastAsia="Arial" w:hAnsi="Times New Roman" w:cs="Arial"/>
                <w:noProof/>
                <w:sz w:val="24"/>
                <w:szCs w:val="20"/>
              </w:rPr>
            </w:pPr>
            <w:r>
              <w:rPr>
                <w:rFonts w:ascii="Times New Roman" w:hAnsi="Times New Roman"/>
                <w:b/>
                <w:sz w:val="24"/>
              </w:rPr>
              <w:t>35. ierāmējums. Daudzveidīga ekspertīze</w:t>
            </w:r>
          </w:p>
        </w:tc>
      </w:tr>
      <w:tr w:rsidR="008324B1" w14:paraId="33432731" w14:textId="77777777" w:rsidTr="008324B1">
        <w:tc>
          <w:tcPr>
            <w:tcW w:w="9062" w:type="dxa"/>
          </w:tcPr>
          <w:p w14:paraId="34517004" w14:textId="49D4AE9C" w:rsidR="008324B1" w:rsidRPr="008324B1" w:rsidRDefault="008324B1" w:rsidP="004D11C9">
            <w:pPr>
              <w:jc w:val="both"/>
              <w:rPr>
                <w:rFonts w:ascii="Times New Roman" w:eastAsia="Arial" w:hAnsi="Times New Roman" w:cs="Arial"/>
                <w:noProof/>
                <w:sz w:val="24"/>
                <w:szCs w:val="18"/>
              </w:rPr>
            </w:pPr>
            <w:r>
              <w:rPr>
                <w:rFonts w:ascii="Times New Roman" w:hAnsi="Times New Roman"/>
                <w:sz w:val="24"/>
              </w:rPr>
              <w:t>Bieži vien noteikumu novērtēšanai nepieciešami dažādi eksperti. Piemēram, ja noteikumi attiecas uz asfalta rūpnīcu ietekmi uz vidi, būtiska nozīme ir zināšanām par darvu, vides riskiem un traucējumu faktoriem.</w:t>
            </w:r>
          </w:p>
        </w:tc>
      </w:tr>
    </w:tbl>
    <w:p w14:paraId="2B477CCA" w14:textId="77777777" w:rsidR="000A6469" w:rsidRPr="004D11C9" w:rsidRDefault="000A6469" w:rsidP="004D11C9">
      <w:pPr>
        <w:jc w:val="both"/>
        <w:rPr>
          <w:rFonts w:ascii="Times New Roman" w:eastAsia="Arial" w:hAnsi="Times New Roman" w:cs="Arial"/>
          <w:noProof/>
          <w:sz w:val="24"/>
          <w:szCs w:val="14"/>
        </w:rPr>
      </w:pPr>
      <w:bookmarkStart w:id="100" w:name="_bookmark60"/>
      <w:bookmarkEnd w:id="100"/>
    </w:p>
    <w:p w14:paraId="708B11E5" w14:textId="01DE3A9B" w:rsidR="000A6469" w:rsidRPr="004D11C9" w:rsidRDefault="008324B1" w:rsidP="008324B1">
      <w:pPr>
        <w:pStyle w:val="Heading3"/>
        <w:tabs>
          <w:tab w:val="left" w:pos="401"/>
        </w:tabs>
        <w:ind w:left="0"/>
        <w:jc w:val="both"/>
        <w:rPr>
          <w:rFonts w:ascii="Times New Roman" w:hAnsi="Times New Roman"/>
          <w:noProof/>
          <w:sz w:val="24"/>
        </w:rPr>
      </w:pPr>
      <w:bookmarkStart w:id="101" w:name="4._Understand_broader_regulatory_environ"/>
      <w:bookmarkStart w:id="102" w:name="_bookmark61"/>
      <w:bookmarkStart w:id="103" w:name="_Toc62650483"/>
      <w:bookmarkEnd w:id="101"/>
      <w:bookmarkEnd w:id="102"/>
      <w:r>
        <w:rPr>
          <w:rFonts w:ascii="Times New Roman" w:hAnsi="Times New Roman"/>
          <w:sz w:val="24"/>
        </w:rPr>
        <w:t xml:space="preserve">4. Plašākas </w:t>
      </w:r>
      <w:r w:rsidR="00F1566E">
        <w:rPr>
          <w:rFonts w:ascii="Times New Roman" w:hAnsi="Times New Roman"/>
          <w:sz w:val="24"/>
        </w:rPr>
        <w:t>regulat</w:t>
      </w:r>
      <w:r>
        <w:rPr>
          <w:rFonts w:ascii="Times New Roman" w:hAnsi="Times New Roman"/>
          <w:sz w:val="24"/>
        </w:rPr>
        <w:t>īvās vides izpratne</w:t>
      </w:r>
      <w:bookmarkEnd w:id="103"/>
    </w:p>
    <w:p w14:paraId="223A6718" w14:textId="77777777" w:rsidR="000A6469" w:rsidRPr="004D11C9" w:rsidRDefault="000A6469" w:rsidP="004D11C9">
      <w:pPr>
        <w:jc w:val="both"/>
        <w:rPr>
          <w:rFonts w:ascii="Times New Roman" w:eastAsia="Arial" w:hAnsi="Times New Roman" w:cs="Arial"/>
          <w:b/>
          <w:bCs/>
          <w:noProof/>
          <w:sz w:val="24"/>
          <w:szCs w:val="21"/>
        </w:rPr>
      </w:pPr>
    </w:p>
    <w:p w14:paraId="3591C296"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Apsverot alternatīvas, ir svarīgi ņemt vērā ne tikai izskatāmos noteikumus, bet arī citu saistītu noteikumu tīklu, tostarp vispārīgos normatīvos aktus, kas ietekmē attiecīgo tirgu, lai izstrādātu alternatīvas.</w:t>
      </w:r>
    </w:p>
    <w:p w14:paraId="6D21E9ED" w14:textId="351BCA6F" w:rsidR="00867DDD" w:rsidRPr="004D11C9" w:rsidRDefault="00867DDD" w:rsidP="004D11C9">
      <w:pPr>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8324B1" w14:paraId="48CBDFB0" w14:textId="77777777" w:rsidTr="008324B1">
        <w:tc>
          <w:tcPr>
            <w:tcW w:w="9062" w:type="dxa"/>
          </w:tcPr>
          <w:p w14:paraId="207BCF49" w14:textId="3618B6A0" w:rsidR="008324B1" w:rsidRPr="008324B1" w:rsidRDefault="008324B1" w:rsidP="008324B1">
            <w:pPr>
              <w:jc w:val="center"/>
              <w:rPr>
                <w:rFonts w:ascii="Times New Roman" w:eastAsia="Arial" w:hAnsi="Times New Roman" w:cs="Arial"/>
                <w:noProof/>
                <w:sz w:val="24"/>
                <w:szCs w:val="20"/>
              </w:rPr>
            </w:pPr>
            <w:r>
              <w:rPr>
                <w:rFonts w:ascii="Times New Roman" w:hAnsi="Times New Roman"/>
                <w:b/>
                <w:sz w:val="24"/>
              </w:rPr>
              <w:t xml:space="preserve">36. ierāmējums. Dzirdes aparātu pārdošanas </w:t>
            </w:r>
            <w:r w:rsidR="00F1566E">
              <w:rPr>
                <w:rFonts w:ascii="Times New Roman" w:hAnsi="Times New Roman"/>
                <w:b/>
                <w:sz w:val="24"/>
              </w:rPr>
              <w:t>regulatīvā</w:t>
            </w:r>
            <w:r>
              <w:rPr>
                <w:rFonts w:ascii="Times New Roman" w:hAnsi="Times New Roman"/>
                <w:b/>
                <w:sz w:val="24"/>
              </w:rPr>
              <w:t xml:space="preserve"> vide</w:t>
            </w:r>
          </w:p>
        </w:tc>
      </w:tr>
      <w:tr w:rsidR="008324B1" w14:paraId="56C39968" w14:textId="77777777" w:rsidTr="008324B1">
        <w:tc>
          <w:tcPr>
            <w:tcW w:w="9062" w:type="dxa"/>
          </w:tcPr>
          <w:p w14:paraId="5051374E" w14:textId="114434E2" w:rsidR="008324B1" w:rsidRPr="008324B1" w:rsidRDefault="008324B1" w:rsidP="004D11C9">
            <w:pPr>
              <w:jc w:val="both"/>
              <w:rPr>
                <w:rFonts w:ascii="Times New Roman" w:eastAsia="Arial" w:hAnsi="Times New Roman" w:cs="Arial"/>
                <w:noProof/>
                <w:sz w:val="24"/>
                <w:szCs w:val="18"/>
              </w:rPr>
            </w:pPr>
            <w:r>
              <w:rPr>
                <w:rFonts w:ascii="Times New Roman" w:hAnsi="Times New Roman"/>
                <w:sz w:val="24"/>
              </w:rPr>
              <w:t xml:space="preserve">Amerikas Savienotajās Valstīs veselības uzraudzības iestāde (Pārtikas un zāļu pārvalde) klasificē dzirdes aparātus kā medicīnas ierīces. Šī iestāde noteica, ka dzirdes aparātus pārdod kvalificēti ārsti (audiologi) pēc vizītes pie ārsta vai ka pacienti paraksta veidlapu, kas apliecina, ka viņi uzņemas risku, kas saistīts ar Pārtikas un zāļu pārvaldes ieteikumu neievērošanu. Audiologi ir apvienojušies štata profesionālajās asociācijās ar īpašiem dalības un prakses noteikumiem. Savukārt ASV Izglītības ministrija ir pieņēmusi īpašus noteikumus attiecībā uz apmācību un kvalifikāciju. Lai arī daži uzskata, ka tirgū tiek piedāvāti produkti, kas konkurences trūkuma dēļ ir pārāk dārgi, vienu noteikumu maiņa, neņemot vērā apkārtējo noteikumu tīklu, var nesniegt vēlamos rezultātus. Alternatīvās ir vai nu jāņem vērā pārējais </w:t>
            </w:r>
            <w:r>
              <w:rPr>
                <w:rFonts w:ascii="Times New Roman" w:hAnsi="Times New Roman"/>
                <w:sz w:val="24"/>
              </w:rPr>
              <w:lastRenderedPageBreak/>
              <w:t>spēkā esošais regulējums, vai arī jāprasa, lai arī šie pārējie noteikumi tiktu mainīti. Kā redzams, tas sevišķi attiecas uz gadījumiem, kad ir jāņem vērā vairāku savstarpēji pārklājošos jurisdikciju likumi un noteikumi.</w:t>
            </w:r>
          </w:p>
        </w:tc>
      </w:tr>
    </w:tbl>
    <w:p w14:paraId="1BBFDC9C" w14:textId="77777777" w:rsidR="000A6469" w:rsidRPr="004D11C9" w:rsidRDefault="000A6469" w:rsidP="004D11C9">
      <w:pPr>
        <w:jc w:val="both"/>
        <w:rPr>
          <w:rFonts w:ascii="Times New Roman" w:eastAsia="Arial" w:hAnsi="Times New Roman" w:cs="Arial"/>
          <w:noProof/>
          <w:sz w:val="24"/>
          <w:szCs w:val="14"/>
        </w:rPr>
      </w:pPr>
      <w:bookmarkStart w:id="104" w:name="_bookmark62"/>
      <w:bookmarkEnd w:id="104"/>
    </w:p>
    <w:p w14:paraId="2A7F0013" w14:textId="4E1A782C" w:rsidR="000A6469" w:rsidRPr="004D11C9" w:rsidRDefault="008324B1" w:rsidP="008324B1">
      <w:pPr>
        <w:pStyle w:val="Heading3"/>
        <w:tabs>
          <w:tab w:val="left" w:pos="401"/>
        </w:tabs>
        <w:ind w:left="0"/>
        <w:jc w:val="both"/>
        <w:rPr>
          <w:rFonts w:ascii="Times New Roman" w:hAnsi="Times New Roman"/>
          <w:noProof/>
          <w:sz w:val="24"/>
        </w:rPr>
      </w:pPr>
      <w:bookmarkStart w:id="105" w:name="5._Understand_changed_business_or_market"/>
      <w:bookmarkStart w:id="106" w:name="_bookmark63"/>
      <w:bookmarkStart w:id="107" w:name="_Toc62650484"/>
      <w:bookmarkEnd w:id="105"/>
      <w:bookmarkEnd w:id="106"/>
      <w:r>
        <w:rPr>
          <w:rFonts w:ascii="Times New Roman" w:hAnsi="Times New Roman"/>
          <w:sz w:val="24"/>
        </w:rPr>
        <w:t>5. Izpratne par uzņēmējdarbības vai tirgus vides izmaiņām</w:t>
      </w:r>
      <w:bookmarkEnd w:id="107"/>
    </w:p>
    <w:p w14:paraId="6532A39B" w14:textId="77777777" w:rsidR="000A6469" w:rsidRPr="004D11C9" w:rsidRDefault="000A6469" w:rsidP="004D11C9">
      <w:pPr>
        <w:jc w:val="both"/>
        <w:rPr>
          <w:rFonts w:ascii="Times New Roman" w:eastAsia="Arial" w:hAnsi="Times New Roman" w:cs="Arial"/>
          <w:b/>
          <w:bCs/>
          <w:noProof/>
          <w:sz w:val="24"/>
          <w:szCs w:val="21"/>
        </w:rPr>
      </w:pPr>
    </w:p>
    <w:p w14:paraId="62BB4ED1"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Kad tiek novērtēts ierosinātais regulējums vai ieteikti alternatīvi risinājumi, ir svarīgi ņemt vērā to, kā ir mainījušies uzņēmējdarbības apstākļi kopš pēdējās reizes, kad tika īstenota politika. Ja tirgus apstākļi ir mainījušies, jebkuru sākotnējo regulējumu var novērtēt atkārtoti. Var apsvērt gan stingrāka regulējuma nepieciešamību, gan arī spēkā esošā regulējuma saglabāšanu vai pilnīgu atcelšanu.</w:t>
      </w:r>
    </w:p>
    <w:p w14:paraId="46CB9C24" w14:textId="77777777" w:rsidR="000A6469" w:rsidRPr="004D11C9" w:rsidRDefault="000A6469" w:rsidP="004D11C9">
      <w:pPr>
        <w:jc w:val="both"/>
        <w:rPr>
          <w:rFonts w:ascii="Times New Roman" w:eastAsia="Arial" w:hAnsi="Times New Roman" w:cs="Arial"/>
          <w:noProof/>
          <w:sz w:val="24"/>
          <w:szCs w:val="20"/>
        </w:rPr>
      </w:pPr>
    </w:p>
    <w:p w14:paraId="0C31E05B"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Digitalizācija ir pārmaiņas, kas dažkārt var krasi mainīt tirgus apstākļus. Pārskatīšanas procesu, ņemot vērā digitalizāciju, var sākt ar jautājumu par to, vai ir mainījušās tirgus nepilnības, ar ko ir pamatota regulējuma nepieciešamība. Pēc tam procesu var turpināt ar šādiem jautājumiem:</w:t>
      </w:r>
    </w:p>
    <w:p w14:paraId="7078BD46" w14:textId="77777777" w:rsidR="000A6469" w:rsidRPr="004D11C9" w:rsidRDefault="000A6469" w:rsidP="004D11C9">
      <w:pPr>
        <w:jc w:val="both"/>
        <w:rPr>
          <w:rFonts w:ascii="Times New Roman" w:eastAsia="Arial" w:hAnsi="Times New Roman" w:cs="Arial"/>
          <w:noProof/>
          <w:sz w:val="24"/>
          <w:szCs w:val="20"/>
        </w:rPr>
      </w:pPr>
    </w:p>
    <w:p w14:paraId="65573D99" w14:textId="116D542E" w:rsidR="000A6469" w:rsidRPr="008324B1" w:rsidRDefault="000A6469" w:rsidP="008324B1">
      <w:pPr>
        <w:pStyle w:val="BodyText"/>
        <w:numPr>
          <w:ilvl w:val="1"/>
          <w:numId w:val="18"/>
        </w:numPr>
        <w:ind w:left="426" w:hanging="426"/>
        <w:jc w:val="both"/>
        <w:rPr>
          <w:rFonts w:ascii="Times New Roman" w:hAnsi="Times New Roman"/>
          <w:noProof/>
          <w:sz w:val="24"/>
        </w:rPr>
      </w:pPr>
      <w:r>
        <w:rPr>
          <w:rFonts w:ascii="Times New Roman" w:hAnsi="Times New Roman"/>
          <w:sz w:val="24"/>
        </w:rPr>
        <w:t>vai iespējamo regulatīvo risinājumu kopums attiecībā uz tirgus nepilnībām ir palicis nemainīgs jeb vai iespējamie risinājumi ir mainījušies digitalizācijas iespaidā?</w:t>
      </w:r>
    </w:p>
    <w:p w14:paraId="467E2AC1" w14:textId="784608B6" w:rsidR="000A6469" w:rsidRPr="008324B1" w:rsidRDefault="000A6469" w:rsidP="008324B1">
      <w:pPr>
        <w:pStyle w:val="BodyText"/>
        <w:numPr>
          <w:ilvl w:val="1"/>
          <w:numId w:val="18"/>
        </w:numPr>
        <w:ind w:left="426" w:hanging="426"/>
        <w:jc w:val="both"/>
        <w:rPr>
          <w:rFonts w:ascii="Times New Roman" w:hAnsi="Times New Roman"/>
          <w:noProof/>
          <w:sz w:val="24"/>
        </w:rPr>
      </w:pPr>
      <w:r>
        <w:rPr>
          <w:rFonts w:ascii="Times New Roman" w:hAnsi="Times New Roman"/>
          <w:sz w:val="24"/>
        </w:rPr>
        <w:t>Vai spēkā esošie noteikumi, reaģējot uz pašreizējām tirgus nepilnībām, nepamatoti ierobežo konkurenci?</w:t>
      </w:r>
    </w:p>
    <w:p w14:paraId="0264B988" w14:textId="2D825B3F" w:rsidR="000A6469" w:rsidRPr="008324B1" w:rsidRDefault="000A6469" w:rsidP="008324B1">
      <w:pPr>
        <w:pStyle w:val="BodyText"/>
        <w:numPr>
          <w:ilvl w:val="1"/>
          <w:numId w:val="18"/>
        </w:numPr>
        <w:ind w:left="426" w:hanging="426"/>
        <w:jc w:val="both"/>
        <w:rPr>
          <w:rFonts w:ascii="Times New Roman" w:hAnsi="Times New Roman"/>
          <w:noProof/>
          <w:sz w:val="24"/>
        </w:rPr>
      </w:pPr>
      <w:r>
        <w:rPr>
          <w:rFonts w:ascii="Times New Roman" w:hAnsi="Times New Roman"/>
          <w:sz w:val="24"/>
        </w:rPr>
        <w:t>Vai regulatīvā struktūra nepamatoti ierobežo jaunus produktus un pakalpojumus jeb vai tiem ir piešķirtas nepamatotas priekšrocības vai radīts nepamatots apgrūtinājums?</w:t>
      </w:r>
    </w:p>
    <w:p w14:paraId="6D2E38CC" w14:textId="77777777" w:rsidR="000A6469" w:rsidRPr="004D11C9" w:rsidRDefault="000A6469" w:rsidP="008324B1">
      <w:pPr>
        <w:pStyle w:val="BodyText"/>
        <w:numPr>
          <w:ilvl w:val="1"/>
          <w:numId w:val="18"/>
        </w:numPr>
        <w:ind w:left="426" w:hanging="426"/>
        <w:jc w:val="both"/>
        <w:rPr>
          <w:rFonts w:ascii="Times New Roman" w:hAnsi="Times New Roman"/>
          <w:noProof/>
          <w:sz w:val="24"/>
        </w:rPr>
      </w:pPr>
      <w:bookmarkStart w:id="108" w:name="_bookmark64"/>
      <w:bookmarkEnd w:id="108"/>
      <w:r>
        <w:rPr>
          <w:rFonts w:ascii="Times New Roman" w:hAnsi="Times New Roman"/>
          <w:sz w:val="24"/>
        </w:rPr>
        <w:t>Kādi ir iespējamie risinājumi, lai nodrošinātu, ka jauni produkti, pakalpojumi un uzņēmējdarbības modeļi netiek nepamatoti izslēgti vai ka tiem netiek piešķirtas nepamatotas priekšrocības?</w:t>
      </w:r>
    </w:p>
    <w:p w14:paraId="4918094E" w14:textId="77777777" w:rsidR="00867DDD" w:rsidRPr="004D11C9" w:rsidRDefault="00867DDD" w:rsidP="004D11C9">
      <w:pPr>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8324B1" w14:paraId="3140775E" w14:textId="77777777" w:rsidTr="008324B1">
        <w:tc>
          <w:tcPr>
            <w:tcW w:w="9062" w:type="dxa"/>
          </w:tcPr>
          <w:p w14:paraId="09EF0286" w14:textId="1F556498" w:rsidR="008324B1" w:rsidRPr="008324B1" w:rsidRDefault="008324B1" w:rsidP="008324B1">
            <w:pPr>
              <w:jc w:val="center"/>
              <w:rPr>
                <w:rFonts w:ascii="Times New Roman" w:eastAsia="Arial" w:hAnsi="Times New Roman" w:cs="Arial"/>
                <w:noProof/>
                <w:sz w:val="24"/>
                <w:szCs w:val="20"/>
              </w:rPr>
            </w:pPr>
            <w:r>
              <w:rPr>
                <w:rFonts w:ascii="Times New Roman" w:hAnsi="Times New Roman"/>
                <w:b/>
                <w:sz w:val="24"/>
              </w:rPr>
              <w:t>38. ierāmējums. Taksometru darbību reglamentējoši normatīvie akti</w:t>
            </w:r>
          </w:p>
        </w:tc>
      </w:tr>
      <w:tr w:rsidR="008324B1" w14:paraId="7DCEB605" w14:textId="77777777" w:rsidTr="008324B1">
        <w:tc>
          <w:tcPr>
            <w:tcW w:w="9062" w:type="dxa"/>
          </w:tcPr>
          <w:p w14:paraId="4FACE9BA" w14:textId="77777777" w:rsidR="008324B1" w:rsidRPr="004D11C9" w:rsidRDefault="008324B1" w:rsidP="008324B1">
            <w:pPr>
              <w:jc w:val="both"/>
              <w:rPr>
                <w:rFonts w:ascii="Times New Roman" w:eastAsia="Arial" w:hAnsi="Times New Roman" w:cs="Arial"/>
                <w:noProof/>
                <w:sz w:val="24"/>
                <w:szCs w:val="18"/>
              </w:rPr>
            </w:pPr>
            <w:r>
              <w:rPr>
                <w:rFonts w:ascii="Times New Roman" w:hAnsi="Times New Roman"/>
                <w:sz w:val="24"/>
              </w:rPr>
              <w:t>Taksometra pakalpojumi ir stingri regulēta nozare. Taksometru darbību reglamentējošo noteikumu mērķis ir novērst tirgus nepilnības, ko rada informācijas asimetrija starp vadītāju un pasažieri, un tādas negatīvas papildu sekas kā piesārņojums un sastrēgumi.</w:t>
            </w:r>
          </w:p>
          <w:p w14:paraId="378F62D5" w14:textId="77777777" w:rsidR="008324B1" w:rsidRPr="004D11C9" w:rsidRDefault="008324B1" w:rsidP="008324B1">
            <w:pPr>
              <w:jc w:val="both"/>
              <w:rPr>
                <w:rFonts w:ascii="Times New Roman" w:eastAsia="Arial" w:hAnsi="Times New Roman" w:cs="Arial"/>
                <w:noProof/>
                <w:sz w:val="24"/>
                <w:szCs w:val="20"/>
              </w:rPr>
            </w:pPr>
          </w:p>
          <w:p w14:paraId="12CF4C30" w14:textId="77777777" w:rsidR="008324B1" w:rsidRPr="004D11C9" w:rsidRDefault="008324B1" w:rsidP="008324B1">
            <w:pPr>
              <w:jc w:val="both"/>
              <w:rPr>
                <w:rFonts w:ascii="Times New Roman" w:eastAsia="Arial" w:hAnsi="Times New Roman" w:cs="Arial"/>
                <w:noProof/>
                <w:sz w:val="24"/>
                <w:szCs w:val="18"/>
              </w:rPr>
            </w:pPr>
            <w:r>
              <w:rPr>
                <w:rFonts w:ascii="Times New Roman" w:hAnsi="Times New Roman"/>
                <w:sz w:val="24"/>
              </w:rPr>
              <w:t>Tomēr taksometru pakalpojumu digitalizācija un jaunu digitalizētu pakalpojumu sniedzēju parādīšanās liek apšaubīt šos noteikumus. Piemēram, tiešsaistes kartēšanas pakalpojumu paplašināšanās liek apšaubīt vadītāja ģeogrāfisko zināšanu kritērija būtisko nozīmi, kas tiek uzskatīts par svarīgu šķērsli ieiešanai Apvienotās Karalistes tirgū. Šādu prasību var aizstāt ar prasību izmantot uzticamus kartēšanas pakalpojumus.</w:t>
            </w:r>
          </w:p>
          <w:p w14:paraId="35AA99DE" w14:textId="77777777" w:rsidR="008324B1" w:rsidRPr="004D11C9" w:rsidRDefault="008324B1" w:rsidP="008324B1">
            <w:pPr>
              <w:jc w:val="both"/>
              <w:rPr>
                <w:rFonts w:ascii="Times New Roman" w:eastAsia="Arial" w:hAnsi="Times New Roman" w:cs="Arial"/>
                <w:noProof/>
                <w:sz w:val="24"/>
                <w:szCs w:val="20"/>
              </w:rPr>
            </w:pPr>
          </w:p>
          <w:p w14:paraId="6CDD979D" w14:textId="77777777" w:rsidR="008324B1" w:rsidRPr="004D11C9" w:rsidRDefault="008324B1" w:rsidP="008324B1">
            <w:pPr>
              <w:jc w:val="both"/>
              <w:rPr>
                <w:rFonts w:ascii="Times New Roman" w:eastAsia="Arial" w:hAnsi="Times New Roman" w:cs="Arial"/>
                <w:noProof/>
                <w:sz w:val="24"/>
                <w:szCs w:val="18"/>
              </w:rPr>
            </w:pPr>
            <w:r>
              <w:rPr>
                <w:rFonts w:ascii="Times New Roman" w:hAnsi="Times New Roman"/>
                <w:sz w:val="24"/>
              </w:rPr>
              <w:t>Digitālie risinājumi arī paplašina regulatīvo risinājumu iespējas. Šķiet, reputācijas mehānismi ir noderīgs līdzeklis noteiktu kvalitātes standartu sasniegšanai. Pasažieru drošību var uzlabot arī tādas novatoriskas mobilo lietotņu drošības funkcijas kā panikas pogas un informācijas par braucienu kopīgošana. Šīs funkcijas un datus, ko apkopojuši digitālie pakalpojumu sniedzēji, var izmantot spēkā esošā regulējuma uzlabošanai.</w:t>
            </w:r>
          </w:p>
          <w:p w14:paraId="0C0E4432" w14:textId="77777777" w:rsidR="008324B1" w:rsidRPr="004D11C9" w:rsidRDefault="008324B1" w:rsidP="008324B1">
            <w:pPr>
              <w:jc w:val="both"/>
              <w:rPr>
                <w:rFonts w:ascii="Times New Roman" w:eastAsia="Arial" w:hAnsi="Times New Roman" w:cs="Arial"/>
                <w:noProof/>
                <w:sz w:val="24"/>
                <w:szCs w:val="21"/>
              </w:rPr>
            </w:pPr>
          </w:p>
          <w:p w14:paraId="11301CD4" w14:textId="2BE3995B" w:rsidR="008324B1" w:rsidRPr="008324B1" w:rsidRDefault="008324B1" w:rsidP="004D11C9">
            <w:pPr>
              <w:jc w:val="both"/>
              <w:rPr>
                <w:rFonts w:ascii="Times New Roman" w:eastAsia="Arial" w:hAnsi="Times New Roman" w:cs="Arial"/>
                <w:noProof/>
                <w:sz w:val="24"/>
                <w:szCs w:val="18"/>
              </w:rPr>
            </w:pPr>
            <w:r>
              <w:rPr>
                <w:rFonts w:ascii="Times New Roman" w:hAnsi="Times New Roman"/>
                <w:i/>
                <w:sz w:val="24"/>
              </w:rPr>
              <w:t xml:space="preserve">Avots: </w:t>
            </w:r>
            <w:r>
              <w:rPr>
                <w:rFonts w:ascii="Times New Roman" w:hAnsi="Times New Roman"/>
                <w:sz w:val="24"/>
              </w:rPr>
              <w:t>ESAO (2018)</w:t>
            </w:r>
          </w:p>
        </w:tc>
      </w:tr>
    </w:tbl>
    <w:p w14:paraId="0EA03154" w14:textId="741F5825" w:rsidR="000A6469" w:rsidRPr="004D11C9" w:rsidRDefault="000A6469" w:rsidP="004D11C9">
      <w:pPr>
        <w:jc w:val="both"/>
        <w:rPr>
          <w:rFonts w:ascii="Times New Roman" w:eastAsia="Arial" w:hAnsi="Times New Roman" w:cs="Arial"/>
          <w:noProof/>
          <w:sz w:val="24"/>
          <w:szCs w:val="21"/>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8324B1" w14:paraId="7E5A94BB" w14:textId="77777777" w:rsidTr="008324B1">
        <w:tc>
          <w:tcPr>
            <w:tcW w:w="9062" w:type="dxa"/>
          </w:tcPr>
          <w:p w14:paraId="046052F1" w14:textId="44B10559" w:rsidR="008324B1" w:rsidRPr="008324B1" w:rsidRDefault="008324B1" w:rsidP="008324B1">
            <w:pPr>
              <w:jc w:val="center"/>
              <w:rPr>
                <w:rFonts w:ascii="Times New Roman" w:hAnsi="Times New Roman"/>
                <w:b/>
                <w:noProof/>
                <w:sz w:val="24"/>
              </w:rPr>
            </w:pPr>
            <w:r>
              <w:rPr>
                <w:rFonts w:ascii="Times New Roman" w:hAnsi="Times New Roman"/>
                <w:b/>
                <w:sz w:val="24"/>
              </w:rPr>
              <w:t>39. ierāmējums. Grāmatu mazumtirdzniecības cenu atlaides</w:t>
            </w:r>
          </w:p>
        </w:tc>
      </w:tr>
      <w:tr w:rsidR="008324B1" w14:paraId="0D8AB1B5" w14:textId="77777777" w:rsidTr="008324B1">
        <w:tc>
          <w:tcPr>
            <w:tcW w:w="9062" w:type="dxa"/>
          </w:tcPr>
          <w:p w14:paraId="578A28F9" w14:textId="77777777" w:rsidR="008324B1" w:rsidRDefault="008324B1" w:rsidP="008324B1">
            <w:pPr>
              <w:jc w:val="both"/>
              <w:rPr>
                <w:rFonts w:ascii="Times New Roman" w:eastAsia="Arial" w:hAnsi="Times New Roman" w:cs="Arial"/>
                <w:noProof/>
                <w:sz w:val="24"/>
                <w:szCs w:val="18"/>
              </w:rPr>
            </w:pPr>
            <w:r>
              <w:rPr>
                <w:rFonts w:ascii="Times New Roman" w:hAnsi="Times New Roman"/>
                <w:sz w:val="24"/>
              </w:rPr>
              <w:t xml:space="preserve">Dažas valstis regulē to, cik lielas grāmatu mazumtirdzniecības cenas atlaides drīkst piedāvāt. Kā piemēru var minēt iespēju izmantot maksimālās atlaides, ko grāmatu tirgotāji var piemērot attiecībā uz izdevēju noteikto mazumtirdzniecības cenu. Cits piemērs ir grāmatu tirgotāju </w:t>
            </w:r>
            <w:r>
              <w:rPr>
                <w:rFonts w:ascii="Times New Roman" w:hAnsi="Times New Roman"/>
                <w:sz w:val="24"/>
              </w:rPr>
              <w:lastRenderedPageBreak/>
              <w:t>piešķirto “bezmaksas dāvanu” vērtības un veidu ierobežošana.</w:t>
            </w:r>
          </w:p>
          <w:p w14:paraId="6A52CF11" w14:textId="77777777" w:rsidR="008324B1" w:rsidRPr="004D11C9" w:rsidRDefault="008324B1" w:rsidP="008324B1">
            <w:pPr>
              <w:jc w:val="both"/>
              <w:rPr>
                <w:rFonts w:ascii="Times New Roman" w:eastAsia="Arial" w:hAnsi="Times New Roman" w:cs="Arial"/>
                <w:noProof/>
                <w:sz w:val="24"/>
                <w:szCs w:val="18"/>
              </w:rPr>
            </w:pPr>
          </w:p>
          <w:p w14:paraId="05DEADA0" w14:textId="77777777" w:rsidR="008324B1" w:rsidRDefault="008324B1" w:rsidP="008324B1">
            <w:pPr>
              <w:jc w:val="both"/>
              <w:rPr>
                <w:rFonts w:ascii="Times New Roman" w:hAnsi="Times New Roman"/>
                <w:noProof/>
                <w:sz w:val="24"/>
              </w:rPr>
            </w:pPr>
            <w:r>
              <w:rPr>
                <w:rFonts w:ascii="Times New Roman" w:hAnsi="Times New Roman"/>
                <w:sz w:val="24"/>
              </w:rPr>
              <w:t>Koreja 2003. gadā pieņēma grāmatu cenu regulējumu, kurā grāmatnīcām tika noteikts pienākums pārdot savas grāmatas noteiktā atlaižu diapazonā no izdevēju noteiktās mazumtirdzniecības cenas. Saskaņā ar Kultūras ministrijas (</w:t>
            </w:r>
            <w:r>
              <w:rPr>
                <w:rFonts w:ascii="Times New Roman" w:hAnsi="Times New Roman"/>
                <w:i/>
                <w:sz w:val="24"/>
              </w:rPr>
              <w:t>MCST</w:t>
            </w:r>
            <w:r>
              <w:rPr>
                <w:rFonts w:ascii="Times New Roman" w:hAnsi="Times New Roman"/>
                <w:sz w:val="24"/>
              </w:rPr>
              <w:t>) pieņemtajiem noteikumiem atlaides nepārsniedza 10 % no cenrādī norādītās cenas. Tika atļauts izmantot arī bezmaksas dāvanas, ievērojot konkurences uzraudzības iestādes (Korejas Godīgas tirdzniecības komisijas (</w:t>
            </w:r>
            <w:r>
              <w:rPr>
                <w:rFonts w:ascii="Times New Roman" w:hAnsi="Times New Roman"/>
                <w:i/>
                <w:sz w:val="24"/>
              </w:rPr>
              <w:t>MCST</w:t>
            </w:r>
            <w:r>
              <w:rPr>
                <w:rFonts w:ascii="Times New Roman" w:hAnsi="Times New Roman"/>
                <w:sz w:val="24"/>
              </w:rPr>
              <w:t>)) vadlīnijas par dāvanu paziņošanu. Šajās vadlīnijās visiem mazumtirgotājiem tika atļauts piešķirt netiešas atlaides, izmantojot bezmaksas dāvanas, kuru vērtība ir mazāka par 10 % no pircēja pirkuma vērtības. Tādējādi, apvienojot tiešo un netiešo cenas samazinājumu, visas grāmatnīcas varēja pārdot savas grāmatas ar līdz pat 19 % lielu atlaidi.</w:t>
            </w:r>
          </w:p>
          <w:p w14:paraId="4AB77C8F" w14:textId="77777777" w:rsidR="008324B1" w:rsidRPr="004D11C9" w:rsidRDefault="008324B1" w:rsidP="008324B1">
            <w:pPr>
              <w:jc w:val="both"/>
              <w:rPr>
                <w:rFonts w:ascii="Times New Roman" w:hAnsi="Times New Roman"/>
                <w:noProof/>
                <w:sz w:val="24"/>
              </w:rPr>
            </w:pPr>
          </w:p>
          <w:p w14:paraId="7C3264F2" w14:textId="77777777" w:rsidR="008324B1" w:rsidRPr="004D11C9" w:rsidRDefault="008324B1" w:rsidP="008324B1">
            <w:pPr>
              <w:jc w:val="both"/>
              <w:rPr>
                <w:rFonts w:ascii="Times New Roman" w:eastAsia="Arial" w:hAnsi="Times New Roman" w:cs="Arial"/>
                <w:noProof/>
                <w:sz w:val="24"/>
                <w:szCs w:val="18"/>
              </w:rPr>
            </w:pPr>
            <w:r>
              <w:rPr>
                <w:rFonts w:ascii="Times New Roman" w:hAnsi="Times New Roman"/>
                <w:i/>
                <w:sz w:val="24"/>
              </w:rPr>
              <w:t>KFTC</w:t>
            </w:r>
            <w:r>
              <w:rPr>
                <w:rFonts w:ascii="Times New Roman" w:hAnsi="Times New Roman"/>
                <w:sz w:val="24"/>
              </w:rPr>
              <w:t xml:space="preserve"> 2009. gadā nolēma atcelt savas vadlīnijas par dāvanām, lai veicinātu mazumtirgotāju radošo tirgdarbību un sniegtu patērētājiem plašāku produktu vai pakalpojumu izvēli. Pēc vadlīniju atcelšanas </w:t>
            </w:r>
            <w:r>
              <w:rPr>
                <w:rFonts w:ascii="Times New Roman" w:hAnsi="Times New Roman"/>
                <w:i/>
                <w:sz w:val="24"/>
              </w:rPr>
              <w:t>MCST</w:t>
            </w:r>
            <w:r>
              <w:rPr>
                <w:rFonts w:ascii="Times New Roman" w:hAnsi="Times New Roman"/>
                <w:sz w:val="24"/>
              </w:rPr>
              <w:t xml:space="preserve"> ierosināja grozījumu Izdevējdarbības nozares veicināšanas likumā, kas paredzēja, ka periodiskos izdevumus var pārdot ar 10 % atlaidi no parastās cenas, ieskaitot visus “ekonomiskos labumus”, piemēram, uzkrātos punktus un atlaižu kuponus, kā arī tiešās atlaides. Tas nozīmē, ka ierosinātais grozījums krasi samazinās maksimālo atlaides likmi no 19 % līdz 10 %.</w:t>
            </w:r>
          </w:p>
          <w:p w14:paraId="34578071" w14:textId="77777777" w:rsidR="008324B1" w:rsidRPr="004D11C9" w:rsidRDefault="008324B1" w:rsidP="008324B1">
            <w:pPr>
              <w:jc w:val="both"/>
              <w:rPr>
                <w:rFonts w:ascii="Times New Roman" w:eastAsia="Arial" w:hAnsi="Times New Roman" w:cs="Arial"/>
                <w:noProof/>
                <w:sz w:val="24"/>
                <w:szCs w:val="18"/>
              </w:rPr>
            </w:pPr>
          </w:p>
          <w:p w14:paraId="1BE73184" w14:textId="77777777" w:rsidR="008324B1" w:rsidRDefault="008324B1" w:rsidP="008324B1">
            <w:pPr>
              <w:jc w:val="both"/>
              <w:rPr>
                <w:rFonts w:ascii="Times New Roman" w:hAnsi="Times New Roman"/>
                <w:noProof/>
                <w:sz w:val="24"/>
              </w:rPr>
            </w:pPr>
            <w:r>
              <w:rPr>
                <w:rFonts w:ascii="Times New Roman" w:hAnsi="Times New Roman"/>
                <w:sz w:val="24"/>
              </w:rPr>
              <w:t xml:space="preserve">Kad </w:t>
            </w:r>
            <w:r>
              <w:rPr>
                <w:rFonts w:ascii="Times New Roman" w:hAnsi="Times New Roman"/>
                <w:i/>
                <w:sz w:val="24"/>
              </w:rPr>
              <w:t>MCST</w:t>
            </w:r>
            <w:r>
              <w:rPr>
                <w:rFonts w:ascii="Times New Roman" w:hAnsi="Times New Roman"/>
                <w:sz w:val="24"/>
              </w:rPr>
              <w:t xml:space="preserve"> izskatīja ierosināto regulējumu, tā konstatēja, ka visu ekonomisko labumu ietveršana grāmatu atlaides apjomā var ievērojami ierobežot mazumtirgotāju tirgdarbības stratēģijas, jo tiešās atlaides jau bija ierobežotas līdz 10 % no mazumtirdzniecības cenas. Turklāt ierosinātais regulējums varētu samazināt stimulu ar aktīvas konkurences palīdzību ieviest inovāciju pakalpojumos, izmantojot dažādus atlaižu piešķiršanas veidus.</w:t>
            </w:r>
          </w:p>
          <w:p w14:paraId="0F634CDA" w14:textId="77777777" w:rsidR="008324B1" w:rsidRPr="004D11C9" w:rsidRDefault="008324B1" w:rsidP="008324B1">
            <w:pPr>
              <w:jc w:val="both"/>
              <w:rPr>
                <w:rFonts w:ascii="Times New Roman" w:hAnsi="Times New Roman"/>
                <w:noProof/>
                <w:sz w:val="24"/>
              </w:rPr>
            </w:pPr>
          </w:p>
          <w:p w14:paraId="7408B813" w14:textId="518E08CA" w:rsidR="008324B1" w:rsidRPr="008324B1" w:rsidRDefault="008324B1" w:rsidP="004D11C9">
            <w:pPr>
              <w:jc w:val="both"/>
              <w:rPr>
                <w:rFonts w:ascii="Times New Roman" w:eastAsia="Arial" w:hAnsi="Times New Roman" w:cs="Arial"/>
                <w:noProof/>
                <w:sz w:val="24"/>
                <w:szCs w:val="18"/>
              </w:rPr>
            </w:pPr>
            <w:r>
              <w:rPr>
                <w:rFonts w:ascii="Times New Roman" w:hAnsi="Times New Roman"/>
                <w:sz w:val="24"/>
              </w:rPr>
              <w:t xml:space="preserve">Galu galā </w:t>
            </w:r>
            <w:r>
              <w:rPr>
                <w:rFonts w:ascii="Times New Roman" w:hAnsi="Times New Roman"/>
                <w:i/>
                <w:sz w:val="24"/>
              </w:rPr>
              <w:t>MCST</w:t>
            </w:r>
            <w:r>
              <w:rPr>
                <w:rFonts w:ascii="Times New Roman" w:hAnsi="Times New Roman"/>
                <w:sz w:val="24"/>
              </w:rPr>
              <w:t xml:space="preserve"> atsauca savu ierosināto izpildes dekrēta grozījumu, pamatojoties uz </w:t>
            </w:r>
            <w:r>
              <w:rPr>
                <w:rFonts w:ascii="Times New Roman" w:hAnsi="Times New Roman"/>
                <w:i/>
                <w:sz w:val="24"/>
              </w:rPr>
              <w:t>KFTC</w:t>
            </w:r>
            <w:r>
              <w:rPr>
                <w:rFonts w:ascii="Times New Roman" w:hAnsi="Times New Roman"/>
                <w:sz w:val="24"/>
              </w:rPr>
              <w:t xml:space="preserve"> ierosinājumu, proti, ka atlaižu apjoms ir jāsaglabā vismaz pastāvošajā līmenī. Tāpēc grāmatu tirgotāji joprojām piedāvā tiešās un netiešās atlaides grāmatām līdz pat 19 % no izdevēju mazumtirdzniecības cenas.</w:t>
            </w:r>
          </w:p>
        </w:tc>
      </w:tr>
    </w:tbl>
    <w:p w14:paraId="08A30D42" w14:textId="77777777" w:rsidR="000A6469" w:rsidRPr="004D11C9" w:rsidRDefault="000A6469" w:rsidP="004D11C9">
      <w:pPr>
        <w:jc w:val="both"/>
        <w:rPr>
          <w:rFonts w:ascii="Times New Roman" w:eastAsia="Arial" w:hAnsi="Times New Roman" w:cs="Arial"/>
          <w:noProof/>
          <w:sz w:val="24"/>
          <w:szCs w:val="15"/>
        </w:rPr>
      </w:pPr>
      <w:bookmarkStart w:id="109" w:name="_bookmark65"/>
      <w:bookmarkStart w:id="110" w:name="_bookmark66"/>
      <w:bookmarkEnd w:id="109"/>
      <w:bookmarkEnd w:id="110"/>
    </w:p>
    <w:p w14:paraId="724056D2" w14:textId="620BEAE4" w:rsidR="000A6469" w:rsidRPr="004D11C9" w:rsidRDefault="008324B1" w:rsidP="008324B1">
      <w:pPr>
        <w:pStyle w:val="Heading3"/>
        <w:tabs>
          <w:tab w:val="left" w:pos="1003"/>
        </w:tabs>
        <w:ind w:left="0"/>
        <w:jc w:val="both"/>
        <w:rPr>
          <w:rFonts w:ascii="Times New Roman" w:hAnsi="Times New Roman"/>
          <w:noProof/>
          <w:sz w:val="24"/>
        </w:rPr>
      </w:pPr>
      <w:bookmarkStart w:id="111" w:name="6._Techniques_for_developing_alternative"/>
      <w:bookmarkStart w:id="112" w:name="_bookmark67"/>
      <w:bookmarkStart w:id="113" w:name="_Toc62650485"/>
      <w:bookmarkEnd w:id="111"/>
      <w:bookmarkEnd w:id="112"/>
      <w:r>
        <w:rPr>
          <w:rFonts w:ascii="Times New Roman" w:hAnsi="Times New Roman"/>
          <w:sz w:val="24"/>
        </w:rPr>
        <w:t>6. Alternatīvu izstrādes paņēmieni</w:t>
      </w:r>
      <w:bookmarkEnd w:id="113"/>
    </w:p>
    <w:p w14:paraId="294F98D2" w14:textId="77777777" w:rsidR="000A6469" w:rsidRPr="004D11C9" w:rsidRDefault="000A6469" w:rsidP="004D11C9">
      <w:pPr>
        <w:jc w:val="both"/>
        <w:rPr>
          <w:rFonts w:ascii="Times New Roman" w:eastAsia="Arial" w:hAnsi="Times New Roman" w:cs="Arial"/>
          <w:b/>
          <w:bCs/>
          <w:noProof/>
          <w:sz w:val="24"/>
          <w:szCs w:val="21"/>
        </w:rPr>
      </w:pPr>
    </w:p>
    <w:p w14:paraId="6DA684BB"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Konkurences novērtēšanas mērķis ir noteikt iespējamo politikas risinājumu, kas ļauj politikas veidotājam sasniegt attiecīgo politikas mērķi ar iespējami mazāko konkurences kropļošanu. Šajā nolūkā, ja pārbaudes lapa liecina, ka izskatāmā politika var kropļot konkurenci, ir jānosaka, vai varētu būt kāds mazāk kropļojošs veids, kā sasniegt to pašu mērķi. Šajā saistībā ir jāidentificē visas citas politikas pieejas, ko var realizēt, lai sasniegtu mērķi, un kas mazāk kropļotu konkurenci, un jāapsver iespējamie veidi, kā pārstrādāt ierosināto pasākumu, lai samazinātu tā ietekmi uz konkurenci, vienlaikus joprojām sasniedzot politikas mērķi. Realizējamu politikas alternatīvu identificēšana ir faktos balstīts uzdevums, kas nereti prasa labu izpratni par šo politiku, kā arī ievērojamu pieredzi attiecīgajā nozarē.</w:t>
      </w:r>
    </w:p>
    <w:p w14:paraId="283EEEF9" w14:textId="77777777" w:rsidR="000A6469" w:rsidRPr="004D11C9" w:rsidRDefault="000A6469" w:rsidP="004D11C9">
      <w:pPr>
        <w:jc w:val="both"/>
        <w:rPr>
          <w:rFonts w:ascii="Times New Roman" w:eastAsia="Arial" w:hAnsi="Times New Roman" w:cs="Arial"/>
          <w:noProof/>
          <w:sz w:val="24"/>
          <w:szCs w:val="20"/>
        </w:rPr>
      </w:pPr>
    </w:p>
    <w:p w14:paraId="116295CF"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Dažkārt alternatīvu izstrādē var noderēt citu jurisdikciju pieredze, ja vien apstākļi ir salīdzināmi. Tāpat arī interesantus ierosinājumus ir iespējams saņemt, apspriežoties ar attiecīgajām ieinteresētajām personām, jo tām ir labas zināšanas par nozarēm un par to, kādas alternatīvas var vai nevar īstenot. Šajā posmā vērtīgi var būt arī to potenciālo jauno uzņēmumu viedokļi, kas pastāvošā regulējuma dēļ var nebūt spējīgi ienākt tirgū.</w:t>
      </w:r>
    </w:p>
    <w:p w14:paraId="724B3404" w14:textId="1D7CE1B8" w:rsidR="00867DDD" w:rsidRPr="004D11C9" w:rsidRDefault="00867DDD" w:rsidP="004D11C9">
      <w:pPr>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8324B1" w14:paraId="7CEB9106" w14:textId="77777777" w:rsidTr="008324B1">
        <w:tc>
          <w:tcPr>
            <w:tcW w:w="9062" w:type="dxa"/>
          </w:tcPr>
          <w:p w14:paraId="04FD1A6E" w14:textId="6E320C55" w:rsidR="008324B1" w:rsidRPr="008324B1" w:rsidRDefault="008324B1" w:rsidP="008324B1">
            <w:pPr>
              <w:jc w:val="center"/>
              <w:rPr>
                <w:rFonts w:ascii="Times New Roman" w:hAnsi="Times New Roman"/>
                <w:b/>
                <w:noProof/>
                <w:sz w:val="24"/>
              </w:rPr>
            </w:pPr>
            <w:r>
              <w:rPr>
                <w:rFonts w:ascii="Times New Roman" w:hAnsi="Times New Roman"/>
                <w:b/>
                <w:sz w:val="24"/>
              </w:rPr>
              <w:lastRenderedPageBreak/>
              <w:t>40. ierāmējums. Naftas regulējuma starptautiskais salīdzinājums</w:t>
            </w:r>
          </w:p>
        </w:tc>
      </w:tr>
      <w:tr w:rsidR="008324B1" w14:paraId="2D5967D5" w14:textId="77777777" w:rsidTr="008324B1">
        <w:tc>
          <w:tcPr>
            <w:tcW w:w="9062" w:type="dxa"/>
          </w:tcPr>
          <w:p w14:paraId="4C89CC07" w14:textId="77777777" w:rsidR="008324B1" w:rsidRDefault="008324B1" w:rsidP="008324B1">
            <w:pPr>
              <w:jc w:val="both"/>
              <w:rPr>
                <w:rFonts w:ascii="Times New Roman" w:eastAsia="Arial" w:hAnsi="Times New Roman" w:cs="Arial"/>
                <w:noProof/>
                <w:sz w:val="24"/>
                <w:szCs w:val="18"/>
              </w:rPr>
            </w:pPr>
            <w:r>
              <w:rPr>
                <w:rFonts w:ascii="Times New Roman" w:hAnsi="Times New Roman"/>
                <w:sz w:val="24"/>
              </w:rPr>
              <w:t>Pārskatot iespējamos konkurences ierobežojumus valsts naftas nozarē, tika konstatēts, ka konkurences problēmu var radīt prasība ziņot par naftas rezervēm, kas potenciāli nozīmē konfidenciālas informācijas atklāšanu. Šo prasību novērtēšanas procesā tika izskatīts saistītais regulējums salīdzinājuma valstīs, lai noteiktu, vai tajās ir izvirzītas līdzīgas prasības.</w:t>
            </w:r>
          </w:p>
          <w:p w14:paraId="5D650561" w14:textId="77777777" w:rsidR="008324B1" w:rsidRPr="004D11C9" w:rsidRDefault="008324B1" w:rsidP="008324B1">
            <w:pPr>
              <w:jc w:val="both"/>
              <w:rPr>
                <w:rFonts w:ascii="Times New Roman" w:eastAsia="Arial" w:hAnsi="Times New Roman" w:cs="Arial"/>
                <w:noProof/>
                <w:sz w:val="24"/>
                <w:szCs w:val="18"/>
              </w:rPr>
            </w:pPr>
          </w:p>
          <w:p w14:paraId="078C361B" w14:textId="77777777" w:rsidR="008324B1" w:rsidRDefault="008324B1" w:rsidP="008324B1">
            <w:pPr>
              <w:jc w:val="both"/>
              <w:rPr>
                <w:rFonts w:ascii="Times New Roman" w:hAnsi="Times New Roman"/>
                <w:noProof/>
                <w:sz w:val="24"/>
              </w:rPr>
            </w:pPr>
            <w:r>
              <w:rPr>
                <w:rFonts w:ascii="Times New Roman" w:hAnsi="Times New Roman"/>
                <w:sz w:val="24"/>
              </w:rPr>
              <w:t>Lai noteiktu, kuras valstis izvēlēties salīdzināšanai, uzmanība tika pievērsta citām ES valstīm ar līdzīgu pieeju ārkārtas rezervju prasību izpildei. Pievēršot uzmanību citām ES valstīm, tika nodrošināts tas, ka arī uz izraudzītajām valstīm attieksies visi būtiskie ES normatīvie akti. Eiropas Savienībā uzmanība tika pievērsta valstīm, kas, tāpat kā attiecīgā valsts, izpilda savas ārkārtas naftas uzglabāšanas prasības, uzdodot naftas produktu piegādātājiem uzglabāt pienācīgas rezerves.</w:t>
            </w:r>
          </w:p>
          <w:p w14:paraId="29045173" w14:textId="77777777" w:rsidR="008324B1" w:rsidRPr="004D11C9" w:rsidRDefault="008324B1" w:rsidP="008324B1">
            <w:pPr>
              <w:jc w:val="both"/>
              <w:rPr>
                <w:rFonts w:ascii="Times New Roman" w:hAnsi="Times New Roman"/>
                <w:noProof/>
                <w:sz w:val="24"/>
              </w:rPr>
            </w:pPr>
          </w:p>
          <w:p w14:paraId="25B55FA0" w14:textId="77777777" w:rsidR="008324B1" w:rsidRDefault="008324B1" w:rsidP="008324B1">
            <w:pPr>
              <w:jc w:val="both"/>
              <w:rPr>
                <w:rFonts w:ascii="Times New Roman" w:hAnsi="Times New Roman"/>
                <w:noProof/>
                <w:sz w:val="24"/>
              </w:rPr>
            </w:pPr>
            <w:r>
              <w:rPr>
                <w:rFonts w:ascii="Times New Roman" w:hAnsi="Times New Roman"/>
                <w:sz w:val="24"/>
              </w:rPr>
              <w:t>Starptautiskās Enerģētikas aģentūras ziņojumi un apsekojumi par ārkārtas naftas rezervēm un politiku tika izmantoti kā sākumpunkts attiecīgo politikas pasākumu un normatīvo aktu identificēšanai, bet tajos nebija sniegta pietiekama informācija par konkrētām ziņošanas prasībām. Lai iegūtu nepieciešamo informāciju, bija jānosaka un jāizskata katras salīdzinājuma valsts būtiskās vadlīnijas un noteikumi.</w:t>
            </w:r>
          </w:p>
          <w:p w14:paraId="3A225577" w14:textId="77777777" w:rsidR="008324B1" w:rsidRPr="004D11C9" w:rsidRDefault="008324B1" w:rsidP="008324B1">
            <w:pPr>
              <w:jc w:val="both"/>
              <w:rPr>
                <w:rFonts w:ascii="Times New Roman" w:hAnsi="Times New Roman"/>
                <w:noProof/>
                <w:sz w:val="24"/>
              </w:rPr>
            </w:pPr>
          </w:p>
          <w:p w14:paraId="742793AE" w14:textId="6CC7E9FE" w:rsidR="008324B1" w:rsidRDefault="008324B1" w:rsidP="004D11C9">
            <w:pPr>
              <w:jc w:val="both"/>
              <w:rPr>
                <w:rFonts w:ascii="Times New Roman" w:hAnsi="Times New Roman"/>
                <w:noProof/>
                <w:sz w:val="24"/>
              </w:rPr>
            </w:pPr>
            <w:r>
              <w:rPr>
                <w:rFonts w:ascii="Times New Roman" w:hAnsi="Times New Roman"/>
                <w:sz w:val="24"/>
              </w:rPr>
              <w:t>Tā kā šīs bija nacionālā līmeņa vadlīnijas un noteikumi, to salīdzināšanas procesā bija jāpārvar pastāvošās valodas barjeras. Tas bija iespējams, izmantojot tiešsaistē pieejamos teksta tulkošanas pakalpojumus. Ņemot vērā šo pakalpojumu tehniskos ierobežojumus un savstarpējās atšķirības, būtisko datu apstiprināšanai tikai izmantoti vairāki šādi pakalpojumi.</w:t>
            </w:r>
          </w:p>
        </w:tc>
      </w:tr>
    </w:tbl>
    <w:p w14:paraId="2D4D6105" w14:textId="77777777" w:rsidR="000A6469" w:rsidRPr="004D11C9" w:rsidRDefault="000A6469" w:rsidP="004D11C9">
      <w:pPr>
        <w:jc w:val="both"/>
        <w:rPr>
          <w:rFonts w:ascii="Times New Roman" w:eastAsia="Arial" w:hAnsi="Times New Roman" w:cs="Arial"/>
          <w:noProof/>
          <w:sz w:val="24"/>
          <w:szCs w:val="16"/>
        </w:rPr>
      </w:pPr>
      <w:bookmarkStart w:id="114" w:name="_bookmark68"/>
      <w:bookmarkEnd w:id="114"/>
    </w:p>
    <w:p w14:paraId="0C8FD3D0"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Tomēr turpmāk sniegtajos piemēros ir atspoguļoti mazāk ierobežojoši pasākumi, ko daudzos dažādos gadījumos var būt iespējams izmantot stingrāku pasākumu vietā.</w:t>
      </w:r>
    </w:p>
    <w:p w14:paraId="04BD819F" w14:textId="77777777" w:rsidR="000A6469" w:rsidRPr="004D11C9" w:rsidRDefault="000A6469" w:rsidP="004D11C9">
      <w:pPr>
        <w:jc w:val="both"/>
        <w:rPr>
          <w:rFonts w:ascii="Times New Roman" w:eastAsia="Arial" w:hAnsi="Times New Roman" w:cs="Arial"/>
          <w:noProof/>
          <w:sz w:val="24"/>
          <w:szCs w:val="21"/>
        </w:rPr>
      </w:pPr>
    </w:p>
    <w:p w14:paraId="752266EF" w14:textId="64DE0634" w:rsidR="000A6469" w:rsidRPr="004D11C9" w:rsidRDefault="008324B1" w:rsidP="008324B1">
      <w:pPr>
        <w:pStyle w:val="Heading4"/>
        <w:tabs>
          <w:tab w:val="left" w:pos="643"/>
        </w:tabs>
        <w:ind w:left="0"/>
        <w:jc w:val="both"/>
        <w:rPr>
          <w:rFonts w:ascii="Times New Roman" w:hAnsi="Times New Roman"/>
          <w:noProof/>
          <w:sz w:val="24"/>
        </w:rPr>
      </w:pPr>
      <w:bookmarkStart w:id="115" w:name="6.1._Using_economic_incentives_rather_th"/>
      <w:bookmarkEnd w:id="115"/>
      <w:r>
        <w:rPr>
          <w:rFonts w:ascii="Times New Roman" w:hAnsi="Times New Roman"/>
          <w:sz w:val="24"/>
        </w:rPr>
        <w:t>6.1. Ekonomisku stimulu izmantošana regulējuma vietā papildu seku risināšanai</w:t>
      </w:r>
    </w:p>
    <w:p w14:paraId="43D3C52D" w14:textId="77777777" w:rsidR="000A6469" w:rsidRPr="004D11C9" w:rsidRDefault="000A6469" w:rsidP="004D11C9">
      <w:pPr>
        <w:jc w:val="both"/>
        <w:rPr>
          <w:rFonts w:ascii="Times New Roman" w:eastAsia="Arial" w:hAnsi="Times New Roman" w:cs="Arial"/>
          <w:b/>
          <w:bCs/>
          <w:i/>
          <w:noProof/>
          <w:sz w:val="24"/>
          <w:szCs w:val="20"/>
        </w:rPr>
      </w:pPr>
    </w:p>
    <w:p w14:paraId="2E402DFC"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Papildu sekas ir produkta radītās izmaksas vides aizsardzības, ekonomikas, veselības aizsardzības, drošības vai citā jomā, kas neatspoguļojas tā cenā vai izmaksās. Tādējādi maz ticams, ka pircējs pievērsīs pienācīgu uzmanību papildu sekām. Ja produkts vai darbība rada papildu izmaksas, piedāvājumam ir tendence sasniegt pārmērīgus apmērus, jo tā pilnās izmaksas netiek atspoguļotas tā cenā vai rentabilitātē. Ja produkts rada pozitīvas papildu sekas, tā piedāvājumam ir tendence sasniegt nepietiekamus apmērus, jo visi produkta sniegtie ieguvumi netiek atspoguļoti tā cenā vai rentabilitātē.</w:t>
      </w:r>
    </w:p>
    <w:p w14:paraId="6F30DFD4" w14:textId="77777777" w:rsidR="000A6469" w:rsidRPr="004D11C9" w:rsidRDefault="000A6469" w:rsidP="004D11C9">
      <w:pPr>
        <w:jc w:val="both"/>
        <w:rPr>
          <w:rFonts w:ascii="Times New Roman" w:eastAsia="Arial" w:hAnsi="Times New Roman" w:cs="Arial"/>
          <w:noProof/>
          <w:sz w:val="24"/>
          <w:szCs w:val="17"/>
        </w:rPr>
      </w:pPr>
    </w:p>
    <w:p w14:paraId="03787A59" w14:textId="42F137DF"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Papildu sekas radošo produktu vai darbību piegādātā daudzuma, cenas vai īpašību regulēšana ir viena no iespējamajām pieejām produkta vai darbības papildu seku koriģēšanai. Alternatīva pieeja ir izmantot vispārējos ekonomiskos stimulus, piemēram, subsīdijas, nodokļus vai nodevas, lai internalizētu šīs produktu papildu sekas to tirgus cenā. Ja šāda pieeja ir realizējama un nerada nepamatotus izkropļojumus starp uzņēmumiem, tā var izmantot konkurētspējīgus tirgus spēkus, lai noteiktu efektīvas cenas, daudzumus un produktu īpašības. Valsts var ieviest tirgus risinājumus, ja tādi iepriekš nav pastāvējuši, piemēram, izveidojot emisijas tiesības un atļaujot šo tiesību tirdzniecību.</w:t>
      </w:r>
    </w:p>
    <w:p w14:paraId="3FFA6805" w14:textId="77777777" w:rsidR="000A6469" w:rsidRPr="004D11C9" w:rsidRDefault="000A6469" w:rsidP="004D11C9">
      <w:pPr>
        <w:jc w:val="both"/>
        <w:rPr>
          <w:rFonts w:ascii="Times New Roman" w:eastAsia="Arial" w:hAnsi="Times New Roman" w:cs="Arial"/>
          <w:noProof/>
          <w:sz w:val="24"/>
          <w:szCs w:val="17"/>
        </w:rPr>
      </w:pPr>
    </w:p>
    <w:p w14:paraId="047570CB" w14:textId="41EEB441" w:rsidR="000A6469" w:rsidRPr="004D11C9" w:rsidRDefault="008324B1" w:rsidP="008324B1">
      <w:pPr>
        <w:pStyle w:val="Heading4"/>
        <w:tabs>
          <w:tab w:val="left" w:pos="578"/>
        </w:tabs>
        <w:ind w:left="0"/>
        <w:jc w:val="both"/>
        <w:rPr>
          <w:rFonts w:ascii="Times New Roman" w:hAnsi="Times New Roman"/>
          <w:noProof/>
          <w:sz w:val="24"/>
        </w:rPr>
      </w:pPr>
      <w:bookmarkStart w:id="116" w:name="6.2._Adjustment_programmes_versus_busine"/>
      <w:bookmarkEnd w:id="116"/>
      <w:r>
        <w:rPr>
          <w:rFonts w:ascii="Times New Roman" w:hAnsi="Times New Roman"/>
          <w:sz w:val="24"/>
        </w:rPr>
        <w:t>6.2. Pielāgojumu programmas uzņēmējdarbības subsīdiju vietā, lai risinātu nodarbinātības samazināšanos nozarēs, kurās vērojama lejupslīde</w:t>
      </w:r>
    </w:p>
    <w:p w14:paraId="0033CF8D" w14:textId="77777777" w:rsidR="008324B1" w:rsidRDefault="008324B1" w:rsidP="004D11C9">
      <w:pPr>
        <w:pStyle w:val="BodyText"/>
        <w:ind w:left="0" w:firstLine="0"/>
        <w:jc w:val="both"/>
        <w:rPr>
          <w:rFonts w:ascii="Times New Roman" w:hAnsi="Times New Roman"/>
          <w:noProof/>
          <w:sz w:val="24"/>
        </w:rPr>
      </w:pPr>
    </w:p>
    <w:p w14:paraId="2874E195" w14:textId="051B37AE"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Subsīdijas uzņēmumiem darba vietu saglabāšanai nozarēs, kurās vērojama lejupslīde, var </w:t>
      </w:r>
      <w:r>
        <w:rPr>
          <w:rFonts w:ascii="Times New Roman" w:hAnsi="Times New Roman"/>
          <w:sz w:val="24"/>
        </w:rPr>
        <w:lastRenderedPageBreak/>
        <w:t>novilcināt tādu pielāgojumu veikšanu, kas galu galā būs nepieciešami, lai pielāgotos mainīgajiem tirgus apstākļiem. Subsīdijas, kas paredzētas neefektīvākajiem uzņēmumiem, faktiski var likt efektīvākiem uzņēmumiem pārtraukt darbību tirgū. Tā vietā, lai mēģinātu mainīt tirgus attīstības tendences, darba ņēmēju un reģionālās pielāgošanās programmas var palīdzēt sniegt līdzekļus iedzīvotājiem un uzņēmumiem, ko tie var izmantot, lai efektīvi pielāgotos mainīgajiem tirgus apstākļiem, nekropļojot konkurenci.</w:t>
      </w:r>
    </w:p>
    <w:p w14:paraId="26FECFB2" w14:textId="645C24E9" w:rsidR="000A6469" w:rsidRPr="004D11C9" w:rsidRDefault="000A6469" w:rsidP="004D11C9">
      <w:pPr>
        <w:jc w:val="both"/>
        <w:rPr>
          <w:rFonts w:ascii="Times New Roman" w:eastAsia="Arial" w:hAnsi="Times New Roman" w:cs="Arial"/>
          <w:noProof/>
          <w:sz w:val="24"/>
          <w:szCs w:val="17"/>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8324B1" w14:paraId="0CB787F0" w14:textId="77777777" w:rsidTr="008324B1">
        <w:tc>
          <w:tcPr>
            <w:tcW w:w="9062" w:type="dxa"/>
          </w:tcPr>
          <w:p w14:paraId="57A915D6" w14:textId="78688726" w:rsidR="008324B1" w:rsidRPr="008324B1" w:rsidRDefault="008324B1" w:rsidP="008324B1">
            <w:pPr>
              <w:jc w:val="center"/>
              <w:rPr>
                <w:rFonts w:ascii="Times New Roman" w:eastAsia="Arial" w:hAnsi="Times New Roman" w:cs="Arial"/>
                <w:noProof/>
                <w:sz w:val="24"/>
                <w:szCs w:val="20"/>
              </w:rPr>
            </w:pPr>
            <w:r>
              <w:rPr>
                <w:rFonts w:ascii="Times New Roman" w:hAnsi="Times New Roman"/>
                <w:b/>
                <w:sz w:val="24"/>
              </w:rPr>
              <w:t>41. ierāmējums. Pamatmērķa izpratne, iznākuma noteikšana un alternatīvu izstrāde</w:t>
            </w:r>
          </w:p>
        </w:tc>
      </w:tr>
      <w:tr w:rsidR="008324B1" w14:paraId="6BD949A3" w14:textId="77777777" w:rsidTr="008324B1">
        <w:tc>
          <w:tcPr>
            <w:tcW w:w="9062" w:type="dxa"/>
          </w:tcPr>
          <w:p w14:paraId="75C5BA18" w14:textId="77777777" w:rsidR="008324B1" w:rsidRDefault="008324B1" w:rsidP="008324B1">
            <w:pPr>
              <w:jc w:val="both"/>
              <w:rPr>
                <w:rFonts w:ascii="Times New Roman" w:hAnsi="Times New Roman"/>
                <w:noProof/>
                <w:sz w:val="24"/>
              </w:rPr>
            </w:pPr>
            <w:r>
              <w:rPr>
                <w:rFonts w:ascii="Times New Roman" w:hAnsi="Times New Roman"/>
                <w:sz w:val="24"/>
              </w:rPr>
              <w:t>Autobūves nozare ir viens no svarīgākajiem nodarbinātības avotiem. Ar laiku pārdošanas apjomi sāk samazināties un uzņēmumi sāk atlaist darbiniekus. Valsts nolemj iejaukties, lai saglabātu nodarbinātības līmeni, piešķirot subsīdijas vieglo automobiļu un kravas automašīnu ražotājiem.</w:t>
            </w:r>
          </w:p>
          <w:p w14:paraId="3D812EF8" w14:textId="77777777" w:rsidR="008324B1" w:rsidRPr="004D11C9" w:rsidRDefault="008324B1" w:rsidP="008324B1">
            <w:pPr>
              <w:jc w:val="both"/>
              <w:rPr>
                <w:rFonts w:ascii="Times New Roman" w:eastAsia="Arial" w:hAnsi="Times New Roman" w:cs="Arial"/>
                <w:noProof/>
                <w:sz w:val="24"/>
                <w:szCs w:val="18"/>
              </w:rPr>
            </w:pPr>
          </w:p>
          <w:p w14:paraId="1FF3AA80" w14:textId="77777777" w:rsidR="008324B1" w:rsidRDefault="008324B1" w:rsidP="008324B1">
            <w:pPr>
              <w:jc w:val="both"/>
              <w:rPr>
                <w:rFonts w:ascii="Times New Roman" w:hAnsi="Times New Roman"/>
                <w:noProof/>
                <w:sz w:val="24"/>
              </w:rPr>
            </w:pPr>
            <w:r>
              <w:rPr>
                <w:rFonts w:ascii="Times New Roman" w:hAnsi="Times New Roman"/>
                <w:sz w:val="24"/>
              </w:rPr>
              <w:t>Šī politika var kropļot konkurences stimulus, dodot priekšroku valsts ražotājiem, nevis starptautiskajiem importētājiem, un tā arī soda alternatīvu un inovatīvu transportlīdzekļu, piemēram, elektrisko automobiļu, velosipēdu un tamlīdzīgu transportlīdzekļu, ražotājus. Šī politika var arī absorbēt ieguldījumu kapitālu, kas citādi tiktu novirzīts produktīvākām tautsaimniecības nozarēm.</w:t>
            </w:r>
          </w:p>
          <w:p w14:paraId="61E0B223" w14:textId="77777777" w:rsidR="008324B1" w:rsidRPr="004D11C9" w:rsidRDefault="008324B1" w:rsidP="008324B1">
            <w:pPr>
              <w:jc w:val="both"/>
              <w:rPr>
                <w:rFonts w:ascii="Times New Roman" w:eastAsia="Arial" w:hAnsi="Times New Roman" w:cs="Arial"/>
                <w:noProof/>
                <w:sz w:val="24"/>
                <w:szCs w:val="18"/>
              </w:rPr>
            </w:pPr>
          </w:p>
          <w:p w14:paraId="041EC70E" w14:textId="77777777" w:rsidR="008324B1" w:rsidRDefault="008324B1" w:rsidP="008324B1">
            <w:pPr>
              <w:jc w:val="both"/>
              <w:rPr>
                <w:rFonts w:ascii="Times New Roman" w:hAnsi="Times New Roman"/>
                <w:noProof/>
                <w:sz w:val="24"/>
              </w:rPr>
            </w:pPr>
            <w:r>
              <w:rPr>
                <w:rFonts w:ascii="Times New Roman" w:hAnsi="Times New Roman"/>
                <w:sz w:val="24"/>
              </w:rPr>
              <w:t>Tā kā galvenais mērķis ir novērst darba vietu samazināšanos, atbalsts ražotājiem nav nepieciešama politikas sastāvdaļa un jebkurai intervencei jābūt tieši orientētai uz palīdzību darba ņēmējiem. Piemēram, alternatīva varētu būt ieguldīt līdzekļus darba ņēmēju pārkvalificēšanas projektos, lai viņus varētu nodarbināt citās nozarēs, vai pagaidu atlaišanas pabalstos, lai atbalstītu darba ņēmējus, kamēr viņi meklē citu darbu.</w:t>
            </w:r>
          </w:p>
          <w:p w14:paraId="2BC70B80" w14:textId="77777777" w:rsidR="008324B1" w:rsidRPr="004D11C9" w:rsidRDefault="008324B1" w:rsidP="008324B1">
            <w:pPr>
              <w:jc w:val="both"/>
              <w:rPr>
                <w:rFonts w:ascii="Times New Roman" w:eastAsia="Arial" w:hAnsi="Times New Roman" w:cs="Arial"/>
                <w:noProof/>
                <w:sz w:val="24"/>
                <w:szCs w:val="18"/>
              </w:rPr>
            </w:pPr>
          </w:p>
          <w:p w14:paraId="77E6C9D1" w14:textId="3BB2C48A" w:rsidR="008324B1" w:rsidRPr="008324B1" w:rsidRDefault="008324B1" w:rsidP="004D11C9">
            <w:pPr>
              <w:jc w:val="both"/>
              <w:rPr>
                <w:rFonts w:ascii="Times New Roman" w:eastAsia="Arial" w:hAnsi="Times New Roman" w:cs="Arial"/>
                <w:noProof/>
                <w:sz w:val="24"/>
                <w:szCs w:val="18"/>
              </w:rPr>
            </w:pPr>
            <w:r>
              <w:rPr>
                <w:rFonts w:ascii="Times New Roman" w:hAnsi="Times New Roman"/>
                <w:sz w:val="24"/>
              </w:rPr>
              <w:t>Principā atbalsts pārkvalificēšanai vai atlaišanas pabalsti nekropļotu konkurenci.</w:t>
            </w:r>
          </w:p>
        </w:tc>
      </w:tr>
    </w:tbl>
    <w:p w14:paraId="025D9165" w14:textId="77777777" w:rsidR="000A6469" w:rsidRPr="004D11C9" w:rsidRDefault="000A6469" w:rsidP="004D11C9">
      <w:pPr>
        <w:jc w:val="both"/>
        <w:rPr>
          <w:rFonts w:ascii="Times New Roman" w:eastAsia="Arial" w:hAnsi="Times New Roman" w:cs="Arial"/>
          <w:noProof/>
          <w:sz w:val="24"/>
          <w:szCs w:val="14"/>
        </w:rPr>
      </w:pPr>
      <w:bookmarkStart w:id="117" w:name="_bookmark69"/>
      <w:bookmarkEnd w:id="117"/>
    </w:p>
    <w:p w14:paraId="5A9F88A3" w14:textId="2D2F9BC1" w:rsidR="000A6469" w:rsidRPr="004D11C9" w:rsidRDefault="008324B1" w:rsidP="008324B1">
      <w:pPr>
        <w:pStyle w:val="Heading4"/>
        <w:tabs>
          <w:tab w:val="left" w:pos="727"/>
          <w:tab w:val="left" w:pos="2017"/>
          <w:tab w:val="left" w:pos="3434"/>
          <w:tab w:val="left" w:pos="4034"/>
          <w:tab w:val="left" w:pos="5284"/>
          <w:tab w:val="left" w:pos="6895"/>
        </w:tabs>
        <w:ind w:left="0"/>
        <w:jc w:val="both"/>
        <w:rPr>
          <w:rFonts w:ascii="Times New Roman" w:hAnsi="Times New Roman"/>
          <w:noProof/>
          <w:sz w:val="24"/>
        </w:rPr>
      </w:pPr>
      <w:bookmarkStart w:id="118" w:name="6.3._Consumer_information_and_education_"/>
      <w:bookmarkEnd w:id="118"/>
      <w:r>
        <w:rPr>
          <w:rFonts w:ascii="Times New Roman" w:hAnsi="Times New Roman"/>
          <w:sz w:val="24"/>
        </w:rPr>
        <w:t>6.3. Patērētāju informēšanas un izglītošanas prasības obligātu produkta īpašību vietā</w:t>
      </w:r>
    </w:p>
    <w:p w14:paraId="3549B0DB" w14:textId="77777777" w:rsidR="000A6469" w:rsidRPr="004D11C9" w:rsidRDefault="000A6469" w:rsidP="004D11C9">
      <w:pPr>
        <w:jc w:val="both"/>
        <w:rPr>
          <w:rFonts w:ascii="Times New Roman" w:eastAsia="Arial" w:hAnsi="Times New Roman" w:cs="Arial"/>
          <w:b/>
          <w:bCs/>
          <w:i/>
          <w:noProof/>
          <w:sz w:val="24"/>
          <w:szCs w:val="20"/>
        </w:rPr>
      </w:pPr>
    </w:p>
    <w:p w14:paraId="13433A3C" w14:textId="6D247795"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Patērētāju aizsardzība bieži tiek pasniegta kā iemesls obligātu produkta īpašību noteikšanai. Dažkārt var būt pietiekami ar patērētāju informēšanu, piemēram, uz produktu iepakojuma sniedzot informāciju par tauku saturu. Daži patērētāji var būt gatavi uzņemties risku, un ne vienmēr valstij ir pienākums to nepieļaut; tā vietā valsts var sniegt patērētājiem informāciju, kas viņiem var noderēt lēmuma pieņemšanai.</w:t>
      </w:r>
    </w:p>
    <w:p w14:paraId="151DD928" w14:textId="77777777" w:rsidR="000A6469" w:rsidRPr="004D11C9" w:rsidRDefault="000A6469" w:rsidP="004D11C9">
      <w:pPr>
        <w:jc w:val="both"/>
        <w:rPr>
          <w:rFonts w:ascii="Times New Roman" w:eastAsia="Arial" w:hAnsi="Times New Roman" w:cs="Arial"/>
          <w:noProof/>
          <w:sz w:val="24"/>
          <w:szCs w:val="21"/>
        </w:rPr>
      </w:pPr>
    </w:p>
    <w:p w14:paraId="35208057" w14:textId="435C594D" w:rsidR="000A6469" w:rsidRPr="004D11C9" w:rsidRDefault="008324B1" w:rsidP="008324B1">
      <w:pPr>
        <w:pStyle w:val="Heading4"/>
        <w:tabs>
          <w:tab w:val="left" w:pos="619"/>
        </w:tabs>
        <w:ind w:left="0"/>
        <w:jc w:val="both"/>
        <w:rPr>
          <w:rFonts w:ascii="Times New Roman" w:hAnsi="Times New Roman"/>
          <w:noProof/>
          <w:sz w:val="24"/>
        </w:rPr>
      </w:pPr>
      <w:bookmarkStart w:id="119" w:name="6.4._Bans_on_direct_sales_to_consumers_v"/>
      <w:bookmarkEnd w:id="119"/>
      <w:r>
        <w:rPr>
          <w:rFonts w:ascii="Times New Roman" w:hAnsi="Times New Roman"/>
          <w:sz w:val="24"/>
        </w:rPr>
        <w:t>6.4. Tiešās pārdošanas patērētājiem aizliegums tā vietā, lai nodrošinātu, ka patērētājiem tiek sniegta pietiekama informācija</w:t>
      </w:r>
    </w:p>
    <w:p w14:paraId="3AE854E9" w14:textId="77777777" w:rsidR="000A6469" w:rsidRPr="004D11C9" w:rsidRDefault="000A6469" w:rsidP="004D11C9">
      <w:pPr>
        <w:jc w:val="both"/>
        <w:rPr>
          <w:rFonts w:ascii="Times New Roman" w:eastAsia="Arial" w:hAnsi="Times New Roman" w:cs="Arial"/>
          <w:b/>
          <w:bCs/>
          <w:i/>
          <w:noProof/>
          <w:sz w:val="24"/>
          <w:szCs w:val="20"/>
        </w:rPr>
      </w:pPr>
    </w:p>
    <w:p w14:paraId="7E0E372C"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Izbraukuma tirdzniecība un tiešā pārdošana patērētājiem ir ierasta prakse daudzos tirgos. Tomēr šādas prakses izmantošana, sevišķi nesen liberalizētos tirgos, bieži rada sūdzības vai bažas par to, ka daudzi patērētāji pērk produktus, ņemot vērā maldinošu vai neatbilstošu informāciju, ko sniedz izbraukuma tirdzniecības vai tiešās pārdošanas pārdevēji. Viens no veidiem, kā mazināt šādas bažas, ir aizliegt izbraukuma tirdzniecību vai tiešo pārdošanu. Alternatīva pieeja ir pieprasīt izbraukuma tirdzniecības vai tiešās pārdošanas pārdevējiem sniegt patērētājiem informāciju, kas viņiem nepieciešama lēmuma pieņemšanai par produkta iegādi. Vēl viena iespējama alternatīva ir pieprasīt, lai līgumos tiktu iekļauti uzteikuma noteikumi, kas sniedz iespēju patērētājiem pārskatīt savus pirkuma lēmumus. Maksimālais līguma darbības termiņš vai automātiskas atjaunošanas aizliegums var aizsargāt neaizsargātus vai slikti informētus patērētājus. Šādi pasākumi var būt veids, kā saglabāt labvēlīgos izbraukuma tirdzniecības un tiešās pārdošanas aspektus, vienlaikus nodrošinot patērētāju pienācīgu informētību.</w:t>
      </w:r>
    </w:p>
    <w:p w14:paraId="02678C99" w14:textId="77777777" w:rsidR="000A6469" w:rsidRPr="004D11C9" w:rsidRDefault="000A6469" w:rsidP="004D11C9">
      <w:pPr>
        <w:jc w:val="both"/>
        <w:rPr>
          <w:rFonts w:ascii="Times New Roman" w:eastAsia="Arial" w:hAnsi="Times New Roman" w:cs="Arial"/>
          <w:noProof/>
          <w:sz w:val="24"/>
          <w:szCs w:val="21"/>
        </w:rPr>
      </w:pPr>
    </w:p>
    <w:p w14:paraId="59897590" w14:textId="47BD2458" w:rsidR="000A6469" w:rsidRPr="004D11C9" w:rsidRDefault="008324B1" w:rsidP="008324B1">
      <w:pPr>
        <w:pStyle w:val="Heading4"/>
        <w:tabs>
          <w:tab w:val="left" w:pos="619"/>
        </w:tabs>
        <w:ind w:left="0"/>
        <w:jc w:val="both"/>
        <w:rPr>
          <w:rFonts w:ascii="Times New Roman" w:hAnsi="Times New Roman"/>
          <w:noProof/>
          <w:sz w:val="24"/>
        </w:rPr>
      </w:pPr>
      <w:bookmarkStart w:id="120" w:name="6.5._Controls_on_advertising_content,_ra"/>
      <w:bookmarkEnd w:id="120"/>
      <w:r>
        <w:rPr>
          <w:rFonts w:ascii="Times New Roman" w:hAnsi="Times New Roman"/>
          <w:sz w:val="24"/>
        </w:rPr>
        <w:t>6.5. Nevēlamas reklamēšanas prakses novēršana, kontrolējot reklāmas saturu, nevis aizliedzot reklamēšanu</w:t>
      </w:r>
    </w:p>
    <w:p w14:paraId="0970070F" w14:textId="77777777" w:rsidR="000A6469" w:rsidRPr="004D11C9" w:rsidRDefault="000A6469" w:rsidP="004D11C9">
      <w:pPr>
        <w:jc w:val="both"/>
        <w:rPr>
          <w:rFonts w:ascii="Times New Roman" w:eastAsia="Arial" w:hAnsi="Times New Roman" w:cs="Arial"/>
          <w:b/>
          <w:bCs/>
          <w:i/>
          <w:noProof/>
          <w:sz w:val="24"/>
          <w:szCs w:val="20"/>
        </w:rPr>
      </w:pPr>
    </w:p>
    <w:p w14:paraId="29CB8A97"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Reklāmas satura kontrolēšana kā alternatīva reklamēšanas aizliegumiem var būt veids, kā cīnīties pret nevēlamajiem reklāmas aspektiem, vienlaikus ļaujot turpināties tās labvēlīgajiem aspektiem. Piemēram, preces cenas atlaides reklamēšana attiecībā pret iepriekšējo preces cenu vai ieteikto cenu reizēm var būt maldinoša. Alternatīva cenu atlaižu reklāmas aizliegšanai ir nodrošināt, ka noteikumi ierobežo mākslīgu atlaižu reklamēšanu (piemēram, uzņēmums paaugstina preces cenu no 20 eiro līdz 40 eiro, nākamajā dienā atgriežas pie 20 eiro un reklamē, ka precei ir 50 % atlaide).</w:t>
      </w:r>
    </w:p>
    <w:p w14:paraId="009088EB" w14:textId="77777777" w:rsidR="000A6469" w:rsidRPr="004D11C9" w:rsidRDefault="000A6469" w:rsidP="004D11C9">
      <w:pPr>
        <w:jc w:val="both"/>
        <w:rPr>
          <w:rFonts w:ascii="Times New Roman" w:eastAsia="Arial" w:hAnsi="Times New Roman" w:cs="Arial"/>
          <w:noProof/>
          <w:sz w:val="24"/>
          <w:szCs w:val="21"/>
        </w:rPr>
      </w:pPr>
    </w:p>
    <w:p w14:paraId="43E14C7A" w14:textId="2282599B" w:rsidR="000A6469" w:rsidRPr="004D11C9" w:rsidRDefault="008324B1" w:rsidP="008324B1">
      <w:pPr>
        <w:pStyle w:val="Heading4"/>
        <w:tabs>
          <w:tab w:val="left" w:pos="679"/>
        </w:tabs>
        <w:ind w:left="0"/>
        <w:jc w:val="both"/>
        <w:rPr>
          <w:rFonts w:ascii="Times New Roman" w:hAnsi="Times New Roman"/>
          <w:noProof/>
          <w:sz w:val="24"/>
        </w:rPr>
      </w:pPr>
      <w:bookmarkStart w:id="121" w:name="6.6._Reliance_on_competition_law_versus_"/>
      <w:bookmarkEnd w:id="121"/>
      <w:r>
        <w:rPr>
          <w:rFonts w:ascii="Times New Roman" w:hAnsi="Times New Roman"/>
          <w:sz w:val="24"/>
        </w:rPr>
        <w:t>6.6. Sūdzību par negodīgu konkurenci izskatīšana, pamatojoties uz konkurences tiesībām, nevis regulējumu</w:t>
      </w:r>
    </w:p>
    <w:p w14:paraId="02CF1255" w14:textId="77777777" w:rsidR="008324B1" w:rsidRDefault="008324B1" w:rsidP="004D11C9">
      <w:pPr>
        <w:pStyle w:val="BodyText"/>
        <w:ind w:left="0" w:firstLine="0"/>
        <w:jc w:val="both"/>
        <w:rPr>
          <w:rFonts w:ascii="Times New Roman" w:hAnsi="Times New Roman"/>
          <w:noProof/>
          <w:sz w:val="24"/>
        </w:rPr>
      </w:pPr>
    </w:p>
    <w:p w14:paraId="07EC07C5" w14:textId="3DD71B39"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Agresīva vai novatoriska uzņēmējdarbības prakse bieži vien izraisa sūdzības par negodīgu vai neatbilstošu konkurenci, kam nepieciešams korektīvs regulējums. Piemēram, minimālā cena bieži tiek ieteikta, lai aizsargātu neaizsargātos uzņēmumus pret to, ka konkurenti nosaka pārmērīgi zemas cenas. Konkurences tiesības kā regulējuma alternatīva nodrošina vispārēji efektīvu sistēmu tādas uzņēmējdarbības prakses novēršanai, kas var kaitēt konkurencei un patērētājiem, vienlaikus atļaujot praksi, kas veicina konkurenci, inovāciju un labumu patērētājiem. Piemēram, zemu cenu noteikšanas stratēģijas var būt plēsonīga prakse vai radīt ievērojamas konkurences problēmas tikai ierobežotos apstākļos. Tā vietā, lai minimālo cenu noteikšana novērstu nelabvēlīgu uzņēmējdarbības praksi, tā var liegt patērētājiem labumu, ko viņi gūst no zemām cenām.</w:t>
      </w:r>
    </w:p>
    <w:p w14:paraId="04F2BBE1" w14:textId="77777777" w:rsidR="000A6469" w:rsidRPr="004D11C9" w:rsidRDefault="000A6469" w:rsidP="004D11C9">
      <w:pPr>
        <w:jc w:val="both"/>
        <w:rPr>
          <w:rFonts w:ascii="Times New Roman" w:eastAsia="Arial" w:hAnsi="Times New Roman" w:cs="Arial"/>
          <w:noProof/>
          <w:sz w:val="24"/>
          <w:szCs w:val="17"/>
        </w:rPr>
      </w:pPr>
    </w:p>
    <w:p w14:paraId="6F1E59C3" w14:textId="40AB6655" w:rsidR="000A6469" w:rsidRPr="004D11C9" w:rsidRDefault="008324B1" w:rsidP="008324B1">
      <w:pPr>
        <w:pStyle w:val="Heading4"/>
        <w:tabs>
          <w:tab w:val="left" w:pos="569"/>
        </w:tabs>
        <w:ind w:left="0"/>
        <w:jc w:val="both"/>
        <w:rPr>
          <w:rFonts w:ascii="Times New Roman" w:hAnsi="Times New Roman"/>
          <w:noProof/>
          <w:sz w:val="24"/>
        </w:rPr>
      </w:pPr>
      <w:bookmarkStart w:id="122" w:name="6.7._Voluntary_versus_mandatory_product_"/>
      <w:bookmarkEnd w:id="122"/>
      <w:r>
        <w:rPr>
          <w:rFonts w:ascii="Times New Roman" w:hAnsi="Times New Roman"/>
          <w:sz w:val="24"/>
        </w:rPr>
        <w:t>6.7. Obligātie un brīvprātīgie produktu standarti un uzņēmējdarbības kodeksi</w:t>
      </w:r>
    </w:p>
    <w:p w14:paraId="7A66826D" w14:textId="77777777" w:rsidR="000A6469" w:rsidRPr="004D11C9" w:rsidRDefault="000A6469" w:rsidP="004D11C9">
      <w:pPr>
        <w:jc w:val="both"/>
        <w:rPr>
          <w:rFonts w:ascii="Times New Roman" w:eastAsia="Arial" w:hAnsi="Times New Roman" w:cs="Arial"/>
          <w:b/>
          <w:bCs/>
          <w:i/>
          <w:noProof/>
          <w:sz w:val="24"/>
          <w:szCs w:val="17"/>
        </w:rPr>
      </w:pPr>
    </w:p>
    <w:p w14:paraId="49A681B7"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Obligātie standarti nosaka, ka visiem attiecīgajiem produktiem ir jāatbilst minimālajiem rādītājiem, uzticamībai un citiem standartiem, savukārt brīvprātīgie standarti, ja tie ir realizējami, var sniegt piegādātājiem veidu, kā signalizēt, ka daži viņu produkti atbilst obligātajiem standartiem, vienlaikus ļaujot tiem arī turpmāk nodrošināt citus produktus, kas neatbilst standartiem, ja atsevišķi patērētāji dod priekšroku tieši šādiem produktiem. Brīvprātīgie uzņēmējdarbības kodeksi var sniegt mazāk ierobežojošus līdzekļus ar patērētājiem saistītu tirgus problēmu risināšanai nekā regulējums. Tā vietā, lai pieprasītu visiem uzņēmumiem pieņemt vienādus uzņēmējdarbības standartus un procesus, brīvprātīgie kodeksi var sniegt sliktāk informētiem vai raižpilnākiem patērētājiem informāciju, kas tiem ļauj labāk izvēlēties piegādātājus.</w:t>
      </w:r>
    </w:p>
    <w:p w14:paraId="13CB1589" w14:textId="73E9E74E" w:rsidR="000A6469" w:rsidRPr="004D11C9" w:rsidRDefault="000A6469" w:rsidP="004D11C9">
      <w:pPr>
        <w:jc w:val="both"/>
        <w:rPr>
          <w:rFonts w:ascii="Times New Roman" w:eastAsia="Arial" w:hAnsi="Times New Roman" w:cs="Arial"/>
          <w:noProof/>
          <w:sz w:val="24"/>
          <w:szCs w:val="17"/>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8324B1" w14:paraId="75F5E30A" w14:textId="77777777" w:rsidTr="008324B1">
        <w:tc>
          <w:tcPr>
            <w:tcW w:w="9062" w:type="dxa"/>
          </w:tcPr>
          <w:p w14:paraId="6871EF4A" w14:textId="27E5905B" w:rsidR="008324B1" w:rsidRPr="008324B1" w:rsidRDefault="008324B1" w:rsidP="00FD3F1E">
            <w:pPr>
              <w:jc w:val="center"/>
              <w:rPr>
                <w:rFonts w:ascii="Times New Roman" w:eastAsia="Arial" w:hAnsi="Times New Roman" w:cs="Arial"/>
                <w:noProof/>
                <w:sz w:val="24"/>
                <w:szCs w:val="20"/>
              </w:rPr>
            </w:pPr>
            <w:r>
              <w:rPr>
                <w:rFonts w:ascii="Times New Roman" w:hAnsi="Times New Roman"/>
                <w:b/>
                <w:sz w:val="24"/>
              </w:rPr>
              <w:t>42. ierāmējums. Obligātais svaiga piena standarts Grieķijā</w:t>
            </w:r>
          </w:p>
        </w:tc>
      </w:tr>
      <w:tr w:rsidR="008324B1" w14:paraId="184AB46D" w14:textId="77777777" w:rsidTr="008324B1">
        <w:tc>
          <w:tcPr>
            <w:tcW w:w="9062" w:type="dxa"/>
          </w:tcPr>
          <w:p w14:paraId="7367EE96" w14:textId="77777777" w:rsidR="00FD3F1E" w:rsidRDefault="00FD3F1E" w:rsidP="00FD3F1E">
            <w:pPr>
              <w:jc w:val="both"/>
              <w:rPr>
                <w:rFonts w:ascii="Times New Roman" w:hAnsi="Times New Roman"/>
                <w:noProof/>
                <w:sz w:val="24"/>
              </w:rPr>
            </w:pPr>
            <w:r>
              <w:rPr>
                <w:rFonts w:ascii="Times New Roman" w:hAnsi="Times New Roman"/>
                <w:sz w:val="24"/>
              </w:rPr>
              <w:t xml:space="preserve">Grieķijā ar prezidenta dekrētu Nr. 113/1999 noteikts, ka maksimālais svaiga pasterizēta piena glabāšanas laiks nedrīkst būt ilgāks par piecām dienām. Šis ir netipisks obligātais svaiga piena derīguma standarts. Lielākajā daļā Eiropas valstu glabāšanas laiku nosaka ražotāji, un parasti tas ir divas reizes ilgāks. Lielākā daļa grieķu ražotāju darbojas Grieķijas ziemeļos, un piecas dienas ir nepietiekams laiks, lai viņi spētu konkurēt ar lielajiem ražotājiem, kas dominē pilsētu teritorijās, vai sasniegt tirgu Grieķijas dienvidos un salās. Ilgāks glabāšanas laiks ļautu mazākiem ražotājiem sasniegt šos pievilcīgos tirgus un radītu alternatīvus piegādes kanālus, kas ir mazāk atkarīgi no starpposma pārstrādātājiem. Tas dotu labumu gan ražotājiem (lielāki apjomi, sasniedzot plašākus mazumtirdzniecības tirgus), gan patērētājiem (zemākas cenas, lielāka produktu daudzveidība). Tomēr nozares pārstāvji kategoriski iebilda pret jebkādu </w:t>
            </w:r>
            <w:r>
              <w:rPr>
                <w:rFonts w:ascii="Times New Roman" w:hAnsi="Times New Roman"/>
                <w:sz w:val="24"/>
              </w:rPr>
              <w:lastRenderedPageBreak/>
              <w:t>glabāšanas laika reformēšanu. Tajā pašā laikā svaiga piena cenas Grieķijā bija vienas no augstākajām Eiropā.</w:t>
            </w:r>
          </w:p>
          <w:p w14:paraId="7538F0C4" w14:textId="77777777" w:rsidR="00FD3F1E" w:rsidRPr="004D11C9" w:rsidRDefault="00FD3F1E" w:rsidP="00FD3F1E">
            <w:pPr>
              <w:jc w:val="both"/>
              <w:rPr>
                <w:rFonts w:ascii="Times New Roman" w:eastAsia="Arial" w:hAnsi="Times New Roman" w:cs="Arial"/>
                <w:noProof/>
                <w:sz w:val="24"/>
                <w:szCs w:val="18"/>
              </w:rPr>
            </w:pPr>
          </w:p>
          <w:p w14:paraId="7513EBD1" w14:textId="66515C98" w:rsidR="008324B1" w:rsidRPr="00FD3F1E" w:rsidRDefault="00FD3F1E" w:rsidP="004D11C9">
            <w:pPr>
              <w:jc w:val="both"/>
              <w:rPr>
                <w:rFonts w:ascii="Times New Roman" w:eastAsia="Times New Roman" w:hAnsi="Times New Roman" w:cs="Times New Roman"/>
                <w:noProof/>
                <w:sz w:val="24"/>
                <w:szCs w:val="20"/>
              </w:rPr>
            </w:pPr>
            <w:r>
              <w:rPr>
                <w:rFonts w:ascii="Times New Roman" w:hAnsi="Times New Roman"/>
                <w:i/>
                <w:sz w:val="24"/>
              </w:rPr>
              <w:t>Avots</w:t>
            </w:r>
            <w:r>
              <w:rPr>
                <w:rFonts w:ascii="Times New Roman" w:hAnsi="Times New Roman"/>
                <w:sz w:val="24"/>
              </w:rPr>
              <w:t>: ESAO (2014).</w:t>
            </w:r>
          </w:p>
        </w:tc>
      </w:tr>
    </w:tbl>
    <w:p w14:paraId="0AF8B661" w14:textId="77777777" w:rsidR="000A6469" w:rsidRPr="004D11C9" w:rsidRDefault="000A6469" w:rsidP="004D11C9">
      <w:pPr>
        <w:jc w:val="both"/>
        <w:rPr>
          <w:rFonts w:ascii="Times New Roman" w:eastAsia="Arial" w:hAnsi="Times New Roman" w:cs="Arial"/>
          <w:noProof/>
          <w:sz w:val="24"/>
          <w:szCs w:val="14"/>
        </w:rPr>
      </w:pPr>
      <w:bookmarkStart w:id="123" w:name="_bookmark70"/>
      <w:bookmarkEnd w:id="123"/>
    </w:p>
    <w:p w14:paraId="027956F9" w14:textId="7858C9D5" w:rsidR="000A6469" w:rsidRPr="004D11C9" w:rsidRDefault="00FD3F1E" w:rsidP="00FD3F1E">
      <w:pPr>
        <w:pStyle w:val="Heading4"/>
        <w:tabs>
          <w:tab w:val="left" w:pos="679"/>
        </w:tabs>
        <w:ind w:left="0"/>
        <w:jc w:val="both"/>
        <w:rPr>
          <w:rFonts w:ascii="Times New Roman" w:hAnsi="Times New Roman"/>
          <w:noProof/>
          <w:sz w:val="24"/>
        </w:rPr>
      </w:pPr>
      <w:bookmarkStart w:id="124" w:name="6.8._High_compliance_burdens_versus_smal"/>
      <w:bookmarkEnd w:id="124"/>
      <w:r>
        <w:rPr>
          <w:rFonts w:ascii="Times New Roman" w:hAnsi="Times New Roman"/>
          <w:sz w:val="24"/>
        </w:rPr>
        <w:t>6.8. Augstas atbilstības radītais slogs un viegls mazās uzņēmējdarbības regulējums</w:t>
      </w:r>
    </w:p>
    <w:p w14:paraId="040A369F" w14:textId="77777777" w:rsidR="000A6469" w:rsidRPr="004D11C9" w:rsidRDefault="000A6469" w:rsidP="004D11C9">
      <w:pPr>
        <w:jc w:val="both"/>
        <w:rPr>
          <w:rFonts w:ascii="Times New Roman" w:eastAsia="Arial" w:hAnsi="Times New Roman" w:cs="Arial"/>
          <w:b/>
          <w:bCs/>
          <w:i/>
          <w:noProof/>
          <w:sz w:val="24"/>
          <w:szCs w:val="20"/>
        </w:rPr>
      </w:pPr>
    </w:p>
    <w:p w14:paraId="16DE3308" w14:textId="730BB2A5"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Regulatīvā uzraudzība un informācijas sniegšanas prasības var radīt nesamērīgi lielu slogu mazajiem uzņēmumiem un izraisīt mazo uzņēmumu likvidēšanu vai kavēt to ienākšanu tirgū un, iespējams, samazināt konkurenci. Lai nodrošinātu, ka šie konkurenti spēj saglabāt savu spēju darboties vai uzsākt darbību, ja citādā ziņā tie ir efektīvi, var būt, ka jāpiemēro mazāk stingras regulatīvās uzraudzības vai informācijas sniegšanas prasības.</w:t>
      </w:r>
    </w:p>
    <w:p w14:paraId="0B4F0AFA" w14:textId="77777777" w:rsidR="000A6469" w:rsidRPr="004D11C9" w:rsidRDefault="000A6469" w:rsidP="004D11C9">
      <w:pPr>
        <w:jc w:val="both"/>
        <w:rPr>
          <w:rFonts w:ascii="Times New Roman" w:eastAsia="Arial" w:hAnsi="Times New Roman" w:cs="Arial"/>
          <w:noProof/>
          <w:sz w:val="24"/>
          <w:szCs w:val="15"/>
        </w:rPr>
      </w:pPr>
    </w:p>
    <w:p w14:paraId="7264CE51"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Iespēja “nedarīt neko” vienmēr ir jāiekļauj alternatīvu kopumā kā kritērijs pārējo alternatīvu izskatīšanai. Alternatīvu skaits var būt liels vai neliels – nav nepieciešami daudzi iespējamie risinājumi, ja vien visi iespējamie risinājumi ir izpētīti. Dažkārt nav iespējams piemeklēt piemērotu alternatīvu risinājumu, jo politikas elementi, kas rada konkurences izkropļojumus, ir būtiski attiecīgā politikas mērķa sasniegšanai. Tomēr pirms šāda secinājuma ir rūpīgi jāizskata visas iespējamās alternatīvas.</w:t>
      </w:r>
    </w:p>
    <w:p w14:paraId="204BEDCB" w14:textId="77777777" w:rsidR="000A6469" w:rsidRPr="004D11C9" w:rsidRDefault="000A6469" w:rsidP="004D11C9">
      <w:pPr>
        <w:jc w:val="both"/>
        <w:rPr>
          <w:rFonts w:ascii="Times New Roman" w:eastAsia="Arial" w:hAnsi="Times New Roman" w:cs="Arial"/>
          <w:noProof/>
          <w:sz w:val="24"/>
          <w:szCs w:val="21"/>
        </w:rPr>
      </w:pPr>
    </w:p>
    <w:p w14:paraId="1BEE3BAC" w14:textId="3CB40A56" w:rsidR="000A6469" w:rsidRPr="004D11C9" w:rsidRDefault="00FD3F1E" w:rsidP="00FD3F1E">
      <w:pPr>
        <w:pStyle w:val="Heading4"/>
        <w:tabs>
          <w:tab w:val="left" w:pos="583"/>
        </w:tabs>
        <w:ind w:left="0"/>
        <w:jc w:val="both"/>
        <w:rPr>
          <w:rFonts w:ascii="Times New Roman" w:hAnsi="Times New Roman"/>
          <w:noProof/>
          <w:sz w:val="24"/>
        </w:rPr>
      </w:pPr>
      <w:bookmarkStart w:id="125" w:name="6.9._Competitive_outsourcing_versus_inte"/>
      <w:bookmarkEnd w:id="125"/>
      <w:r>
        <w:rPr>
          <w:rFonts w:ascii="Times New Roman" w:hAnsi="Times New Roman"/>
          <w:sz w:val="24"/>
        </w:rPr>
        <w:t>6.9. Konkurētspējīgu ārpakalpojumu izmantošana vai produktu iekšējā piegāde</w:t>
      </w:r>
    </w:p>
    <w:p w14:paraId="1D73EE6F" w14:textId="77777777" w:rsidR="000A6469" w:rsidRPr="004D11C9" w:rsidRDefault="000A6469" w:rsidP="004D11C9">
      <w:pPr>
        <w:jc w:val="both"/>
        <w:rPr>
          <w:rFonts w:ascii="Times New Roman" w:eastAsia="Arial" w:hAnsi="Times New Roman" w:cs="Arial"/>
          <w:b/>
          <w:bCs/>
          <w:i/>
          <w:noProof/>
          <w:sz w:val="24"/>
          <w:szCs w:val="21"/>
        </w:rPr>
      </w:pPr>
    </w:p>
    <w:p w14:paraId="038ECD9A"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Ja valsts iestāde var iegūt produktus konkurētspējīgā veidā, konkurētspējīga ārpakalpojumu izmantošana produktu iekšējās piegādes vietā var būt veids, kā izmantot tirgus spēkus, lai veicinātu produktu efektīvāku, novatoriskāku un lētāku piegādi.</w:t>
      </w:r>
    </w:p>
    <w:p w14:paraId="1872460B" w14:textId="6E03B80F" w:rsidR="000A6469" w:rsidRPr="004D11C9" w:rsidRDefault="000A6469" w:rsidP="004D11C9">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FD3F1E" w14:paraId="146B0833" w14:textId="77777777" w:rsidTr="00FD3F1E">
        <w:tc>
          <w:tcPr>
            <w:tcW w:w="9062" w:type="dxa"/>
          </w:tcPr>
          <w:p w14:paraId="6C5BAF90" w14:textId="5F979725" w:rsidR="00FD3F1E" w:rsidRDefault="00FD3F1E" w:rsidP="00FD3F1E">
            <w:pPr>
              <w:jc w:val="center"/>
              <w:rPr>
                <w:rFonts w:ascii="Times New Roman" w:eastAsia="Arial" w:hAnsi="Times New Roman" w:cs="Arial"/>
                <w:noProof/>
                <w:sz w:val="24"/>
                <w:szCs w:val="20"/>
              </w:rPr>
            </w:pPr>
            <w:r>
              <w:rPr>
                <w:rFonts w:ascii="Times New Roman" w:hAnsi="Times New Roman"/>
                <w:b/>
                <w:sz w:val="24"/>
              </w:rPr>
              <w:t>43. ierāmējums. Nav saprātīgas alternatīvas</w:t>
            </w:r>
          </w:p>
        </w:tc>
      </w:tr>
      <w:tr w:rsidR="00FD3F1E" w14:paraId="7AA90116" w14:textId="77777777" w:rsidTr="00FD3F1E">
        <w:tc>
          <w:tcPr>
            <w:tcW w:w="9062" w:type="dxa"/>
          </w:tcPr>
          <w:p w14:paraId="7C744EF3" w14:textId="77777777" w:rsidR="00FD3F1E" w:rsidRDefault="00FD3F1E" w:rsidP="00FD3F1E">
            <w:pPr>
              <w:jc w:val="both"/>
              <w:rPr>
                <w:rFonts w:ascii="Times New Roman" w:hAnsi="Times New Roman"/>
                <w:noProof/>
                <w:sz w:val="24"/>
              </w:rPr>
            </w:pPr>
            <w:r>
              <w:rPr>
                <w:rFonts w:ascii="Times New Roman" w:hAnsi="Times New Roman"/>
                <w:sz w:val="24"/>
              </w:rPr>
              <w:t>Regulējums, kura mērķis ir samazināt veļas mazgājamo mašīnu enerģijas patēriņu, aizliedz ražot un importēt tādas veļasmašīnas, kas neatbilst noteiktām minimālajām energoefektivitātes prasībām.</w:t>
            </w:r>
          </w:p>
          <w:p w14:paraId="1505AA3B" w14:textId="77777777" w:rsidR="00FD3F1E" w:rsidRPr="004D11C9" w:rsidRDefault="00FD3F1E" w:rsidP="00FD3F1E">
            <w:pPr>
              <w:jc w:val="both"/>
              <w:rPr>
                <w:rFonts w:ascii="Times New Roman" w:eastAsia="Arial" w:hAnsi="Times New Roman" w:cs="Arial"/>
                <w:noProof/>
                <w:sz w:val="24"/>
                <w:szCs w:val="18"/>
              </w:rPr>
            </w:pPr>
          </w:p>
          <w:p w14:paraId="156046EB" w14:textId="77777777" w:rsidR="00FD3F1E" w:rsidRPr="004D11C9" w:rsidRDefault="00FD3F1E" w:rsidP="00FD3F1E">
            <w:pPr>
              <w:jc w:val="both"/>
              <w:rPr>
                <w:rFonts w:ascii="Times New Roman" w:eastAsia="Arial" w:hAnsi="Times New Roman" w:cs="Arial"/>
                <w:noProof/>
                <w:sz w:val="24"/>
                <w:szCs w:val="18"/>
              </w:rPr>
            </w:pPr>
            <w:r>
              <w:rPr>
                <w:rFonts w:ascii="Times New Roman" w:hAnsi="Times New Roman"/>
                <w:sz w:val="24"/>
              </w:rPr>
              <w:t>Šis regulējums risina enerģijas patēriņa radītās papildu problēmas – efektīvāku iekārtu iegāde rada izmaksas individuāliem lietotājiem (kuras tie varētu internalizēt bez regulējuma), bet labumu no mazāka enerģijas patēriņa un mazāka piesārņojuma gūst visi iedzīvotāji.</w:t>
            </w:r>
          </w:p>
          <w:p w14:paraId="298D62AA" w14:textId="77777777" w:rsidR="00FD3F1E" w:rsidRDefault="00FD3F1E" w:rsidP="00FD3F1E">
            <w:pPr>
              <w:jc w:val="both"/>
              <w:rPr>
                <w:rFonts w:ascii="Times New Roman" w:hAnsi="Times New Roman"/>
                <w:noProof/>
                <w:sz w:val="24"/>
              </w:rPr>
            </w:pPr>
          </w:p>
          <w:p w14:paraId="300EDD90" w14:textId="77777777" w:rsidR="00FD3F1E" w:rsidRPr="004D11C9" w:rsidRDefault="00FD3F1E" w:rsidP="00FD3F1E">
            <w:pPr>
              <w:jc w:val="both"/>
              <w:rPr>
                <w:rFonts w:ascii="Times New Roman" w:eastAsia="Arial" w:hAnsi="Times New Roman" w:cs="Arial"/>
                <w:noProof/>
                <w:sz w:val="24"/>
                <w:szCs w:val="18"/>
              </w:rPr>
            </w:pPr>
            <w:r>
              <w:rPr>
                <w:rFonts w:ascii="Times New Roman" w:hAnsi="Times New Roman"/>
                <w:sz w:val="24"/>
              </w:rPr>
              <w:t>Lai sasniegtu šādu rezultātu, regulējums rada konkurences izkropļojumu, jo izslēdz no tirgus visus tos vietējos un starptautiskos ražotājus, kas neizpilda energoefektivitātes prasību.</w:t>
            </w:r>
          </w:p>
          <w:p w14:paraId="4556B3EE" w14:textId="77777777" w:rsidR="00FD3F1E" w:rsidRDefault="00FD3F1E" w:rsidP="00FD3F1E">
            <w:pPr>
              <w:jc w:val="both"/>
              <w:rPr>
                <w:rFonts w:ascii="Times New Roman" w:hAnsi="Times New Roman"/>
                <w:noProof/>
                <w:sz w:val="24"/>
              </w:rPr>
            </w:pPr>
          </w:p>
          <w:p w14:paraId="69263AC2" w14:textId="2F675C33" w:rsidR="00FD3F1E" w:rsidRPr="00FD3F1E" w:rsidRDefault="00FD3F1E" w:rsidP="004D11C9">
            <w:pPr>
              <w:jc w:val="both"/>
              <w:rPr>
                <w:rFonts w:ascii="Times New Roman" w:eastAsia="Arial" w:hAnsi="Times New Roman" w:cs="Arial"/>
                <w:noProof/>
                <w:sz w:val="24"/>
                <w:szCs w:val="18"/>
              </w:rPr>
            </w:pPr>
            <w:r>
              <w:rPr>
                <w:rFonts w:ascii="Times New Roman" w:hAnsi="Times New Roman"/>
                <w:sz w:val="24"/>
              </w:rPr>
              <w:t>Šādam regulējumam var būt alternatīvas, piemēram, nodokļi par visu elektroenerģijas izmantošanu, patērētājiem paredzēts marķējums, kurā sniegta informācija par turpmākajām elektroenerģijas izmaksām noteiktajā cenu diapazonā un pie paredzētā lietojuma, un pakalpojumu sniedzēji, kas izsniedz aizdevumus vai dotācijas patērētājiem efektīvāku iekārtu iegādei.</w:t>
            </w:r>
          </w:p>
        </w:tc>
      </w:tr>
    </w:tbl>
    <w:p w14:paraId="5C4DE378" w14:textId="77777777" w:rsidR="000A6469" w:rsidRPr="004D11C9" w:rsidRDefault="000A6469" w:rsidP="004D11C9">
      <w:pPr>
        <w:jc w:val="both"/>
        <w:rPr>
          <w:rFonts w:ascii="Times New Roman" w:eastAsia="Arial" w:hAnsi="Times New Roman" w:cs="Arial"/>
          <w:noProof/>
          <w:sz w:val="24"/>
          <w:szCs w:val="14"/>
        </w:rPr>
      </w:pPr>
      <w:bookmarkStart w:id="126" w:name="_bookmark71"/>
      <w:bookmarkEnd w:id="126"/>
    </w:p>
    <w:p w14:paraId="331C5CEB"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Visi alternatīvie risinājumi ir pilnīgi jāizskaidro, lai izprastu visas to sekas, īstenošanas prasības un ietekmi. Tādējādi ir iespējams noteikt, vai tie tiešām sasniedz to pašu mērķi, ko izskatāmā politika, vai tie samazina konkurences problēmu, kas identificēta, izmantojot pārbaudes lapu, un apsvērt papildu izmaksas un ieguvumus, ko tie rada salīdzinājumā ar izskatāmo politiku. Pārbaudes lapa ir jāpiemēro attiecībā uz katru alternatīvu, lai nodrošinātu, ka ar šīm alternatīvām netiek radīti citi konkurences izkropļojumi.</w:t>
      </w:r>
    </w:p>
    <w:p w14:paraId="51CE82F9" w14:textId="77777777" w:rsidR="000A6469" w:rsidRPr="004D11C9" w:rsidRDefault="000A6469" w:rsidP="004D11C9">
      <w:pPr>
        <w:jc w:val="both"/>
        <w:rPr>
          <w:rFonts w:ascii="Times New Roman" w:eastAsia="Arial" w:hAnsi="Times New Roman" w:cs="Arial"/>
          <w:noProof/>
          <w:sz w:val="24"/>
          <w:szCs w:val="19"/>
        </w:rPr>
      </w:pPr>
    </w:p>
    <w:p w14:paraId="7A835E60" w14:textId="1C7585DF" w:rsidR="000A6469" w:rsidRPr="004D11C9" w:rsidRDefault="00FD3F1E" w:rsidP="00FD3F1E">
      <w:pPr>
        <w:pStyle w:val="Heading4"/>
        <w:tabs>
          <w:tab w:val="left" w:pos="706"/>
        </w:tabs>
        <w:ind w:left="0"/>
        <w:jc w:val="both"/>
        <w:rPr>
          <w:rFonts w:ascii="Times New Roman" w:hAnsi="Times New Roman"/>
          <w:noProof/>
          <w:sz w:val="24"/>
        </w:rPr>
      </w:pPr>
      <w:bookmarkStart w:id="127" w:name="6.10._Prefer_evolving_rules_and_“regulat"/>
      <w:bookmarkEnd w:id="127"/>
      <w:r>
        <w:rPr>
          <w:rFonts w:ascii="Times New Roman" w:hAnsi="Times New Roman"/>
          <w:sz w:val="24"/>
        </w:rPr>
        <w:t>6.10. Priekšroka mainīgiem noteikumiem un “regulatīvajām izmēģināšanas vidēm”</w:t>
      </w:r>
    </w:p>
    <w:p w14:paraId="1CC87380" w14:textId="77777777" w:rsidR="000A6469" w:rsidRPr="004D11C9" w:rsidRDefault="000A6469" w:rsidP="004D11C9">
      <w:pPr>
        <w:jc w:val="both"/>
        <w:rPr>
          <w:rFonts w:ascii="Times New Roman" w:eastAsia="Arial" w:hAnsi="Times New Roman" w:cs="Arial"/>
          <w:b/>
          <w:bCs/>
          <w:i/>
          <w:noProof/>
          <w:sz w:val="24"/>
          <w:szCs w:val="20"/>
        </w:rPr>
      </w:pPr>
    </w:p>
    <w:p w14:paraId="5103BB42" w14:textId="004A3604"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Ja likumi tiek mainīti konkurences ierobežojumu dēļ, tos vēlams aizstāt ar normām, ko ir iespējams ātri pielāgot attīstības tendencēm, nevis ar jauniem fiksētiem likumiem, kas rada un nostiprina jaunas interešu grupas. Svarīgi apzināties, ka tehnoloģiju attīstība turpināsies. Lai arī var būt vajadzīgas normas, ar ko nodrošina, ka īpašuma tiesības un atbildība par risku tiek piešķirta, ņemot vērā jaunos produktus, normas, kas nosaka prasības attiecībā uz to, kā uzņēmumi darbojas, var novecot uz turpmākas tehnoloģiskās attīstības fona. Tāpēc ir vajadzīgs tehnoloģiski neitrāls regulējums, ko vislabāk var panākt ar normām, kuras ir iespējams mainīt, reaģējot uz tehnisko iespēju izmaiņām, nevis ar tiesisko regulējumu, kurš pēc tā pieņemšanas piesaista fiksētu interešu grupu atbalstu un kura atjaunināšana ir iespējama, vien pārvarot birokrātisku inerci.</w:t>
      </w:r>
    </w:p>
    <w:p w14:paraId="1733B0F1" w14:textId="77777777" w:rsidR="000A6469" w:rsidRPr="004D11C9" w:rsidRDefault="000A6469" w:rsidP="004D11C9">
      <w:pPr>
        <w:jc w:val="both"/>
        <w:rPr>
          <w:rFonts w:ascii="Times New Roman" w:eastAsia="Arial" w:hAnsi="Times New Roman" w:cs="Arial"/>
          <w:noProof/>
          <w:sz w:val="24"/>
          <w:szCs w:val="20"/>
        </w:rPr>
      </w:pPr>
    </w:p>
    <w:p w14:paraId="3517B87C" w14:textId="5C5617BB"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Šajā saistībā “</w:t>
      </w:r>
      <w:r w:rsidR="00280527">
        <w:rPr>
          <w:rFonts w:ascii="Times New Roman" w:hAnsi="Times New Roman"/>
          <w:sz w:val="24"/>
        </w:rPr>
        <w:t>regulatīvās smilšu kastes</w:t>
      </w:r>
      <w:r>
        <w:rPr>
          <w:rFonts w:ascii="Times New Roman" w:hAnsi="Times New Roman"/>
          <w:sz w:val="24"/>
        </w:rPr>
        <w:t>” var izmantot, lai radītu atvērtāku vidi jauniem uzņēmējdarbības modeļiem, ienākšanai tirgū un konkurencei. “</w:t>
      </w:r>
      <w:r w:rsidR="00E02979">
        <w:rPr>
          <w:rFonts w:ascii="Times New Roman" w:hAnsi="Times New Roman"/>
          <w:sz w:val="24"/>
        </w:rPr>
        <w:t>Regulatīvās smilšu kastes</w:t>
      </w:r>
      <w:r>
        <w:rPr>
          <w:rFonts w:ascii="Times New Roman" w:hAnsi="Times New Roman"/>
          <w:sz w:val="24"/>
        </w:rPr>
        <w:t>” ir vide, kas sniedz iespēju regulatora rūpīgā uzraudzībā testēt jaunus uzņēmējdarbības modeļus atvieglināta regulējuma apstākļos uz ierobežotu laiku vai noteiktu robežvērtību ietvaros. Šī pieeja ir ieguvusi īpašu popularitāti finanšu tehnoloģiju sektorā.</w:t>
      </w:r>
    </w:p>
    <w:p w14:paraId="5B88418B" w14:textId="610B7E95" w:rsidR="00121F0E" w:rsidRDefault="00121F0E">
      <w:pPr>
        <w:rPr>
          <w:rFonts w:ascii="Times New Roman" w:hAnsi="Times New Roman"/>
          <w:noProof/>
          <w:sz w:val="24"/>
        </w:rPr>
      </w:pPr>
      <w:r>
        <w:rPr>
          <w:rFonts w:ascii="Times New Roman" w:hAnsi="Times New Roman"/>
          <w:noProof/>
          <w:sz w:val="24"/>
        </w:rPr>
        <w:br w:type="page"/>
      </w:r>
    </w:p>
    <w:p w14:paraId="1103F3AC" w14:textId="77777777" w:rsidR="00867DDD" w:rsidRDefault="00867DDD" w:rsidP="004D11C9">
      <w:pPr>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FD3F1E" w14:paraId="52E85812" w14:textId="77777777" w:rsidTr="00FD3F1E">
        <w:tc>
          <w:tcPr>
            <w:tcW w:w="9062" w:type="dxa"/>
          </w:tcPr>
          <w:p w14:paraId="7BD447A0" w14:textId="77777777" w:rsidR="00FD3F1E" w:rsidRDefault="00FD3F1E" w:rsidP="00FD3F1E">
            <w:pPr>
              <w:jc w:val="both"/>
              <w:rPr>
                <w:rFonts w:ascii="Times New Roman" w:hAnsi="Times New Roman"/>
                <w:b/>
                <w:noProof/>
                <w:sz w:val="24"/>
              </w:rPr>
            </w:pPr>
            <w:r>
              <w:rPr>
                <w:rFonts w:ascii="Times New Roman" w:hAnsi="Times New Roman"/>
                <w:b/>
                <w:sz w:val="24"/>
              </w:rPr>
              <w:t>Detalizēts piemērs.</w:t>
            </w:r>
          </w:p>
          <w:p w14:paraId="0EBBBA57" w14:textId="61A68339" w:rsidR="00FD3F1E" w:rsidRPr="00FD3F1E" w:rsidRDefault="00FD3F1E" w:rsidP="004D11C9">
            <w:pPr>
              <w:jc w:val="both"/>
              <w:rPr>
                <w:rFonts w:ascii="Times New Roman" w:hAnsi="Times New Roman"/>
                <w:b/>
                <w:noProof/>
                <w:sz w:val="24"/>
              </w:rPr>
            </w:pPr>
            <w:r>
              <w:rPr>
                <w:rFonts w:ascii="Times New Roman" w:hAnsi="Times New Roman"/>
                <w:b/>
                <w:sz w:val="24"/>
              </w:rPr>
              <w:t>Reformas iespējas</w:t>
            </w:r>
          </w:p>
        </w:tc>
      </w:tr>
      <w:tr w:rsidR="00FD3F1E" w14:paraId="0B49C83F" w14:textId="77777777" w:rsidTr="00FD3F1E">
        <w:tc>
          <w:tcPr>
            <w:tcW w:w="9062" w:type="dxa"/>
          </w:tcPr>
          <w:p w14:paraId="72DC59E1" w14:textId="77777777" w:rsidR="00FD3F1E" w:rsidRPr="004D11C9" w:rsidRDefault="00FD3F1E" w:rsidP="00FD3F1E">
            <w:pPr>
              <w:jc w:val="both"/>
              <w:rPr>
                <w:rFonts w:ascii="Times New Roman" w:hAnsi="Times New Roman"/>
                <w:i/>
                <w:noProof/>
                <w:sz w:val="24"/>
              </w:rPr>
            </w:pPr>
            <w:r>
              <w:rPr>
                <w:rFonts w:ascii="Times New Roman" w:hAnsi="Times New Roman"/>
                <w:i/>
                <w:sz w:val="24"/>
              </w:rPr>
              <w:t>Šajā ierāmējumā ir turpināts detalizētā piemēra izklāsts, kas tiek izmantots viscaur šajā rokasgrāmatā.</w:t>
            </w:r>
          </w:p>
          <w:p w14:paraId="0A70FA10" w14:textId="77777777" w:rsidR="00FD3F1E" w:rsidRDefault="00FD3F1E" w:rsidP="00FD3F1E">
            <w:pPr>
              <w:jc w:val="both"/>
              <w:rPr>
                <w:rFonts w:ascii="Times New Roman" w:hAnsi="Times New Roman"/>
                <w:noProof/>
                <w:sz w:val="24"/>
              </w:rPr>
            </w:pPr>
          </w:p>
          <w:p w14:paraId="2B35EBE4" w14:textId="77777777" w:rsidR="00FD3F1E" w:rsidRPr="004D11C9" w:rsidRDefault="00FD3F1E" w:rsidP="00FD3F1E">
            <w:pPr>
              <w:jc w:val="both"/>
              <w:rPr>
                <w:rFonts w:ascii="Times New Roman" w:hAnsi="Times New Roman"/>
                <w:noProof/>
                <w:sz w:val="24"/>
              </w:rPr>
            </w:pPr>
            <w:r>
              <w:rPr>
                <w:rFonts w:ascii="Times New Roman" w:hAnsi="Times New Roman"/>
                <w:sz w:val="24"/>
              </w:rPr>
              <w:t>Iespējamie konkurētspējīgu ģenerisko zāļu cenu veicināšanas risinājumi tika izstrādāti, izmantojot pastāvošās konkurences sistēmas ekonomisko analīzi, kā arī apsekojumu par attiecīgo ģenerisko zāļu politiku citās jurisdikcijās. Turpmāk ir izklāstītas galvenās identificētās pieejas.</w:t>
            </w:r>
          </w:p>
          <w:p w14:paraId="4EA74685" w14:textId="77777777" w:rsidR="00FD3F1E" w:rsidRDefault="00FD3F1E" w:rsidP="00FD3F1E">
            <w:pPr>
              <w:tabs>
                <w:tab w:val="left" w:pos="1085"/>
              </w:tabs>
              <w:jc w:val="both"/>
              <w:rPr>
                <w:rFonts w:ascii="Times New Roman" w:hAnsi="Times New Roman"/>
                <w:b/>
                <w:noProof/>
                <w:sz w:val="24"/>
              </w:rPr>
            </w:pPr>
          </w:p>
          <w:p w14:paraId="02493B1B" w14:textId="77777777" w:rsidR="00FD3F1E" w:rsidRPr="004D11C9" w:rsidRDefault="00FD3F1E" w:rsidP="00FD3F1E">
            <w:pPr>
              <w:tabs>
                <w:tab w:val="left" w:pos="1085"/>
              </w:tabs>
              <w:jc w:val="both"/>
              <w:rPr>
                <w:rFonts w:ascii="Times New Roman" w:hAnsi="Times New Roman"/>
                <w:b/>
                <w:noProof/>
                <w:sz w:val="24"/>
              </w:rPr>
            </w:pPr>
            <w:r>
              <w:rPr>
                <w:rFonts w:ascii="Times New Roman" w:hAnsi="Times New Roman"/>
                <w:b/>
                <w:sz w:val="24"/>
              </w:rPr>
              <w:t>1. Aizliegt atlaižu piešķiršanu aptiekām</w:t>
            </w:r>
          </w:p>
          <w:p w14:paraId="4E6D25AB" w14:textId="77777777" w:rsidR="00FD3F1E" w:rsidRDefault="00FD3F1E" w:rsidP="00FD3F1E">
            <w:pPr>
              <w:jc w:val="both"/>
              <w:rPr>
                <w:rFonts w:ascii="Times New Roman" w:hAnsi="Times New Roman"/>
                <w:noProof/>
                <w:sz w:val="24"/>
              </w:rPr>
            </w:pPr>
          </w:p>
          <w:p w14:paraId="4C4AE711" w14:textId="77777777" w:rsidR="00FD3F1E" w:rsidRPr="004D11C9" w:rsidRDefault="00FD3F1E" w:rsidP="00FD3F1E">
            <w:pPr>
              <w:jc w:val="both"/>
              <w:rPr>
                <w:rFonts w:ascii="Times New Roman" w:hAnsi="Times New Roman"/>
                <w:noProof/>
                <w:sz w:val="24"/>
              </w:rPr>
            </w:pPr>
            <w:r>
              <w:rPr>
                <w:rFonts w:ascii="Times New Roman" w:hAnsi="Times New Roman"/>
                <w:sz w:val="24"/>
              </w:rPr>
              <w:t>Lai veicinātu lielāku konkurenci cenu jomā un citās jomās, ģenerisko zāļu piegādātājiem tiktu aizliegts piešķirt aptiekām atlaides un/vai aptiekām būtu aizliegts pieņemt šādas atlaides.</w:t>
            </w:r>
          </w:p>
          <w:p w14:paraId="708F4EC4" w14:textId="77777777" w:rsidR="00FD3F1E" w:rsidRDefault="00FD3F1E" w:rsidP="00FD3F1E">
            <w:pPr>
              <w:tabs>
                <w:tab w:val="left" w:pos="1085"/>
              </w:tabs>
              <w:jc w:val="both"/>
              <w:rPr>
                <w:rFonts w:ascii="Times New Roman" w:hAnsi="Times New Roman"/>
                <w:b/>
                <w:noProof/>
                <w:sz w:val="24"/>
              </w:rPr>
            </w:pPr>
          </w:p>
          <w:p w14:paraId="44CD9C01" w14:textId="77777777" w:rsidR="00FD3F1E" w:rsidRPr="004D11C9" w:rsidRDefault="00FD3F1E" w:rsidP="00FD3F1E">
            <w:pPr>
              <w:tabs>
                <w:tab w:val="left" w:pos="1085"/>
              </w:tabs>
              <w:jc w:val="both"/>
              <w:rPr>
                <w:rFonts w:ascii="Times New Roman" w:hAnsi="Times New Roman"/>
                <w:b/>
                <w:noProof/>
                <w:sz w:val="24"/>
              </w:rPr>
            </w:pPr>
            <w:r>
              <w:rPr>
                <w:rFonts w:ascii="Times New Roman" w:hAnsi="Times New Roman"/>
                <w:b/>
                <w:sz w:val="24"/>
              </w:rPr>
              <w:t>2. Aptiekām piešķirto atlaižu atmaksāšana</w:t>
            </w:r>
          </w:p>
          <w:p w14:paraId="1EE6B44C" w14:textId="77777777" w:rsidR="00FD3F1E" w:rsidRDefault="00FD3F1E" w:rsidP="00FD3F1E">
            <w:pPr>
              <w:jc w:val="both"/>
              <w:rPr>
                <w:rFonts w:ascii="Times New Roman" w:hAnsi="Times New Roman"/>
                <w:noProof/>
                <w:sz w:val="24"/>
              </w:rPr>
            </w:pPr>
          </w:p>
          <w:p w14:paraId="139F8A99" w14:textId="77777777" w:rsidR="00FD3F1E" w:rsidRPr="004D11C9" w:rsidRDefault="00FD3F1E" w:rsidP="00FD3F1E">
            <w:pPr>
              <w:jc w:val="both"/>
              <w:rPr>
                <w:rFonts w:ascii="Times New Roman" w:hAnsi="Times New Roman"/>
                <w:noProof/>
                <w:sz w:val="24"/>
              </w:rPr>
            </w:pPr>
            <w:r>
              <w:rPr>
                <w:rFonts w:ascii="Times New Roman" w:hAnsi="Times New Roman"/>
                <w:sz w:val="24"/>
              </w:rPr>
              <w:t xml:space="preserve">Ģenerisko zāļu piegādātāji turpina konkurēt, piedāvājot aptiekām atlaides. Tomēr tiktu ieviests mehānisms piešķirto atlaižu faktiskā līmeņa uzraudzībai. Aptiekām būtu vai nu jāmaksā </w:t>
            </w:r>
            <w:r>
              <w:rPr>
                <w:rFonts w:ascii="Times New Roman" w:hAnsi="Times New Roman"/>
                <w:i/>
                <w:sz w:val="24"/>
              </w:rPr>
              <w:t>NPIP</w:t>
            </w:r>
            <w:r>
              <w:rPr>
                <w:rFonts w:ascii="Times New Roman" w:hAnsi="Times New Roman"/>
                <w:sz w:val="24"/>
              </w:rPr>
              <w:t xml:space="preserve"> un citiem maksātājiem daļa no atlaidēm, vai arī tiktu samazinātas maksimālās kompensācijas cenas, lai kādu daļu no šādām atlaidēm novirzītu maksātājiem. Valstis, kurās ir izmantota šāda pamatpieeja, ir, piemēram, Apvienotā Karaliste un Austrālija.</w:t>
            </w:r>
          </w:p>
          <w:p w14:paraId="6A94D1E4" w14:textId="77777777" w:rsidR="00FD3F1E" w:rsidRDefault="00FD3F1E" w:rsidP="00FD3F1E">
            <w:pPr>
              <w:tabs>
                <w:tab w:val="left" w:pos="1085"/>
              </w:tabs>
              <w:jc w:val="both"/>
              <w:rPr>
                <w:rFonts w:ascii="Times New Roman" w:hAnsi="Times New Roman"/>
                <w:b/>
                <w:noProof/>
                <w:sz w:val="24"/>
              </w:rPr>
            </w:pPr>
          </w:p>
          <w:p w14:paraId="6A450E83" w14:textId="77777777" w:rsidR="00FD3F1E" w:rsidRPr="004D11C9" w:rsidRDefault="00FD3F1E" w:rsidP="00FD3F1E">
            <w:pPr>
              <w:tabs>
                <w:tab w:val="left" w:pos="1085"/>
              </w:tabs>
              <w:jc w:val="both"/>
              <w:rPr>
                <w:rFonts w:ascii="Times New Roman" w:hAnsi="Times New Roman"/>
                <w:b/>
                <w:noProof/>
                <w:sz w:val="24"/>
              </w:rPr>
            </w:pPr>
            <w:r>
              <w:rPr>
                <w:rFonts w:ascii="Times New Roman" w:hAnsi="Times New Roman"/>
                <w:b/>
                <w:sz w:val="24"/>
              </w:rPr>
              <w:t>3. Cenu griesti salīdzinājuma valstīs</w:t>
            </w:r>
          </w:p>
          <w:p w14:paraId="764AAD00" w14:textId="77777777" w:rsidR="00FD3F1E" w:rsidRDefault="00FD3F1E" w:rsidP="00FD3F1E">
            <w:pPr>
              <w:jc w:val="both"/>
              <w:rPr>
                <w:rFonts w:ascii="Times New Roman" w:eastAsia="Arial" w:hAnsi="Times New Roman" w:cs="Arial"/>
                <w:noProof/>
                <w:sz w:val="24"/>
                <w:szCs w:val="18"/>
              </w:rPr>
            </w:pPr>
          </w:p>
          <w:p w14:paraId="29DBCB0B" w14:textId="77777777" w:rsidR="00FD3F1E" w:rsidRPr="004D11C9" w:rsidRDefault="00FD3F1E" w:rsidP="00FD3F1E">
            <w:pPr>
              <w:jc w:val="both"/>
              <w:rPr>
                <w:rFonts w:ascii="Times New Roman" w:eastAsia="Arial" w:hAnsi="Times New Roman" w:cs="Arial"/>
                <w:noProof/>
                <w:sz w:val="24"/>
                <w:szCs w:val="18"/>
              </w:rPr>
            </w:pPr>
            <w:r>
              <w:rPr>
                <w:rFonts w:ascii="Times New Roman" w:hAnsi="Times New Roman"/>
                <w:sz w:val="24"/>
              </w:rPr>
              <w:t>Maksimālās ģenerisko zāļu cenas tiktu noteiktas, pamatojoties uz salīdzinājuma valstu cenu grozu. Kā minēts iepriekš, šo pieeju pašlaik izmanto, lai noteiktu patentēto farmaceitisko līdzekļu maksimālās cenas.</w:t>
            </w:r>
          </w:p>
          <w:p w14:paraId="70092A27" w14:textId="77777777" w:rsidR="00FD3F1E" w:rsidRDefault="00FD3F1E" w:rsidP="00FD3F1E">
            <w:pPr>
              <w:tabs>
                <w:tab w:val="left" w:pos="1085"/>
              </w:tabs>
              <w:jc w:val="both"/>
              <w:rPr>
                <w:rFonts w:ascii="Times New Roman" w:hAnsi="Times New Roman"/>
                <w:b/>
                <w:noProof/>
                <w:sz w:val="24"/>
              </w:rPr>
            </w:pPr>
          </w:p>
          <w:p w14:paraId="2AA30D1C" w14:textId="77777777" w:rsidR="00FD3F1E" w:rsidRPr="004D11C9" w:rsidRDefault="00FD3F1E" w:rsidP="00FD3F1E">
            <w:pPr>
              <w:tabs>
                <w:tab w:val="left" w:pos="1085"/>
              </w:tabs>
              <w:jc w:val="both"/>
              <w:rPr>
                <w:rFonts w:ascii="Times New Roman" w:hAnsi="Times New Roman"/>
                <w:b/>
                <w:noProof/>
                <w:sz w:val="24"/>
              </w:rPr>
            </w:pPr>
            <w:r>
              <w:rPr>
                <w:rFonts w:ascii="Times New Roman" w:hAnsi="Times New Roman"/>
                <w:b/>
                <w:sz w:val="24"/>
              </w:rPr>
              <w:t>4. Aptieku tīkla konkurence</w:t>
            </w:r>
          </w:p>
          <w:p w14:paraId="4C3AB739" w14:textId="77777777" w:rsidR="00FD3F1E" w:rsidRDefault="00FD3F1E" w:rsidP="00FD3F1E">
            <w:pPr>
              <w:jc w:val="both"/>
              <w:rPr>
                <w:rFonts w:ascii="Times New Roman" w:hAnsi="Times New Roman"/>
                <w:noProof/>
                <w:sz w:val="24"/>
              </w:rPr>
            </w:pPr>
          </w:p>
          <w:p w14:paraId="0393ED90" w14:textId="77777777" w:rsidR="00FD3F1E" w:rsidRPr="004D11C9" w:rsidRDefault="00FD3F1E" w:rsidP="00FD3F1E">
            <w:pPr>
              <w:jc w:val="both"/>
              <w:rPr>
                <w:rFonts w:ascii="Times New Roman" w:hAnsi="Times New Roman"/>
                <w:noProof/>
                <w:sz w:val="24"/>
              </w:rPr>
            </w:pPr>
            <w:r>
              <w:rPr>
                <w:rFonts w:ascii="Times New Roman" w:hAnsi="Times New Roman"/>
                <w:sz w:val="24"/>
              </w:rPr>
              <w:t xml:space="preserve">Aptiekām būtu jākonkurē par iekļūšanu aptieku tīklā, kurā ir atļauts izplatīt farmaceitiskos līdzekļus </w:t>
            </w:r>
            <w:r>
              <w:rPr>
                <w:rFonts w:ascii="Times New Roman" w:hAnsi="Times New Roman"/>
                <w:i/>
                <w:sz w:val="24"/>
              </w:rPr>
              <w:t>NPIP</w:t>
            </w:r>
            <w:r>
              <w:rPr>
                <w:rFonts w:ascii="Times New Roman" w:hAnsi="Times New Roman"/>
                <w:sz w:val="24"/>
              </w:rPr>
              <w:t xml:space="preserve"> ietvaros. Aptieku tīklu konkurence tiek plaši izmantota Amerikas Savienotajās Valstīs, un tā samazina maksu par zāļu izsniegšanu un arī ģenerisko zāļu cenas.</w:t>
            </w:r>
          </w:p>
          <w:p w14:paraId="5D0D5759" w14:textId="77777777" w:rsidR="00FD3F1E" w:rsidRDefault="00FD3F1E" w:rsidP="00FD3F1E">
            <w:pPr>
              <w:tabs>
                <w:tab w:val="left" w:pos="1085"/>
              </w:tabs>
              <w:jc w:val="both"/>
              <w:rPr>
                <w:rFonts w:ascii="Times New Roman" w:hAnsi="Times New Roman"/>
                <w:b/>
                <w:noProof/>
                <w:sz w:val="24"/>
              </w:rPr>
            </w:pPr>
          </w:p>
          <w:p w14:paraId="63DCC759" w14:textId="77777777" w:rsidR="00FD3F1E" w:rsidRPr="004D11C9" w:rsidRDefault="00FD3F1E" w:rsidP="00FD3F1E">
            <w:pPr>
              <w:tabs>
                <w:tab w:val="left" w:pos="1085"/>
              </w:tabs>
              <w:jc w:val="both"/>
              <w:rPr>
                <w:rFonts w:ascii="Times New Roman" w:hAnsi="Times New Roman"/>
                <w:b/>
                <w:noProof/>
                <w:sz w:val="24"/>
              </w:rPr>
            </w:pPr>
            <w:r>
              <w:rPr>
                <w:rFonts w:ascii="Times New Roman" w:hAnsi="Times New Roman"/>
                <w:b/>
                <w:sz w:val="24"/>
              </w:rPr>
              <w:t>5. Piedāvājumu konkursu izmantošana</w:t>
            </w:r>
          </w:p>
          <w:p w14:paraId="27D88F41" w14:textId="77777777" w:rsidR="00FD3F1E" w:rsidRDefault="00FD3F1E" w:rsidP="00FD3F1E">
            <w:pPr>
              <w:jc w:val="both"/>
              <w:rPr>
                <w:rFonts w:ascii="Times New Roman" w:eastAsia="Arial" w:hAnsi="Times New Roman" w:cs="Arial"/>
                <w:noProof/>
                <w:sz w:val="24"/>
                <w:szCs w:val="18"/>
              </w:rPr>
            </w:pPr>
          </w:p>
          <w:p w14:paraId="36879AC8" w14:textId="2547991F" w:rsidR="00FD3F1E" w:rsidRPr="00FD3F1E" w:rsidRDefault="00FD3F1E" w:rsidP="004D11C9">
            <w:pPr>
              <w:jc w:val="both"/>
              <w:rPr>
                <w:rFonts w:ascii="Times New Roman" w:eastAsia="Arial" w:hAnsi="Times New Roman" w:cs="Arial"/>
                <w:noProof/>
                <w:sz w:val="24"/>
                <w:szCs w:val="18"/>
              </w:rPr>
            </w:pPr>
            <w:r>
              <w:rPr>
                <w:rFonts w:ascii="Times New Roman" w:hAnsi="Times New Roman"/>
                <w:sz w:val="24"/>
              </w:rPr>
              <w:t xml:space="preserve">Ja ir vairāki ģenerisko zāļu piegādātāji, piedāvājumu konkursa procedūru izmanto, lai atlasītu vienu produktu vai noteiktu produktu daudzumu, kas tiks iekļauti </w:t>
            </w:r>
            <w:r>
              <w:rPr>
                <w:rFonts w:ascii="Times New Roman" w:hAnsi="Times New Roman"/>
                <w:i/>
                <w:sz w:val="24"/>
              </w:rPr>
              <w:t>NPIP</w:t>
            </w:r>
            <w:r>
              <w:rPr>
                <w:rFonts w:ascii="Times New Roman" w:hAnsi="Times New Roman"/>
                <w:sz w:val="24"/>
              </w:rPr>
              <w:t xml:space="preserve"> un/vai valsts izsniedzamo zāļu sarakstā. Pašlaik valstī esošās slimnīcas izmanto piedāvājumu konkursus, lai kontrolētu savas farmaceitisko līdzekļu izmaksas, un tā ir Jaunzēlandes farmaceitisko līdzekļu politikas pamatiezīme.</w:t>
            </w:r>
          </w:p>
        </w:tc>
      </w:tr>
    </w:tbl>
    <w:p w14:paraId="38BD9A6E" w14:textId="5CDA404E" w:rsidR="00FD3F1E" w:rsidRDefault="00FD3F1E" w:rsidP="004D11C9">
      <w:pPr>
        <w:jc w:val="both"/>
        <w:rPr>
          <w:rFonts w:ascii="Times New Roman" w:hAnsi="Times New Roman"/>
          <w:noProof/>
          <w:sz w:val="24"/>
        </w:rPr>
      </w:pPr>
    </w:p>
    <w:p w14:paraId="3BE1E214" w14:textId="46C9F9CD" w:rsidR="00FD3F1E" w:rsidRDefault="00FD3F1E">
      <w:pPr>
        <w:rPr>
          <w:rFonts w:ascii="Times New Roman" w:hAnsi="Times New Roman"/>
          <w:noProof/>
          <w:sz w:val="24"/>
        </w:rPr>
      </w:pPr>
      <w:r>
        <w:br w:type="page"/>
      </w:r>
    </w:p>
    <w:p w14:paraId="065E4192" w14:textId="77777777" w:rsidR="000A6469" w:rsidRPr="004D11C9" w:rsidRDefault="000A6469" w:rsidP="004D11C9">
      <w:pPr>
        <w:jc w:val="both"/>
        <w:rPr>
          <w:rFonts w:ascii="Times New Roman" w:eastAsia="Times New Roman" w:hAnsi="Times New Roman" w:cs="Times New Roman"/>
          <w:noProof/>
          <w:sz w:val="24"/>
          <w:szCs w:val="29"/>
        </w:rPr>
      </w:pPr>
    </w:p>
    <w:p w14:paraId="2F137634" w14:textId="285D03C8" w:rsidR="000A6469" w:rsidRPr="004D11C9" w:rsidRDefault="000A6469" w:rsidP="00887892">
      <w:pPr>
        <w:pStyle w:val="Heading1"/>
        <w:spacing w:before="0"/>
        <w:ind w:left="0"/>
        <w:jc w:val="both"/>
        <w:rPr>
          <w:rFonts w:ascii="Times New Roman" w:hAnsi="Times New Roman"/>
          <w:noProof/>
          <w:sz w:val="24"/>
        </w:rPr>
      </w:pPr>
      <w:bookmarkStart w:id="128" w:name="Chapter_6_Comparing_the_options"/>
      <w:bookmarkStart w:id="129" w:name="_bookmark73"/>
      <w:bookmarkStart w:id="130" w:name="_Toc62650486"/>
      <w:bookmarkEnd w:id="128"/>
      <w:bookmarkEnd w:id="129"/>
      <w:r w:rsidRPr="00121F0E">
        <w:rPr>
          <w:rFonts w:ascii="Times New Roman" w:hAnsi="Times New Roman"/>
          <w:sz w:val="28"/>
          <w:szCs w:val="56"/>
        </w:rPr>
        <w:t>6. nodaļa</w:t>
      </w:r>
      <w:r w:rsidR="00887892">
        <w:rPr>
          <w:rFonts w:ascii="Times New Roman" w:hAnsi="Times New Roman"/>
          <w:sz w:val="24"/>
        </w:rPr>
        <w:br/>
      </w:r>
      <w:r>
        <w:rPr>
          <w:rFonts w:ascii="Times New Roman" w:hAnsi="Times New Roman"/>
          <w:sz w:val="24"/>
        </w:rPr>
        <w:t>Iespējamo risinājumu salīdzināšana</w:t>
      </w:r>
      <w:bookmarkEnd w:id="130"/>
    </w:p>
    <w:p w14:paraId="18AA69A2" w14:textId="77777777" w:rsidR="000A6469" w:rsidRPr="004D11C9" w:rsidRDefault="000A6469" w:rsidP="004D11C9">
      <w:pPr>
        <w:jc w:val="both"/>
        <w:rPr>
          <w:rFonts w:ascii="Times New Roman" w:eastAsia="Arial" w:hAnsi="Times New Roman" w:cs="Arial"/>
          <w:b/>
          <w:bCs/>
          <w:noProof/>
          <w:sz w:val="24"/>
          <w:szCs w:val="36"/>
        </w:rPr>
      </w:pPr>
    </w:p>
    <w:p w14:paraId="5CA31CEE" w14:textId="3ADC8394"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Kad iespējamie risinājumi ir apzināti, tie ir jāsalīdzina. Praksē lielākā daļa lēmumu par to, kuriem iespējamajiem risinājumiem dot priekšroku, ir kvalitatīvi, proti, tie netiek pieņemti, pamatojoties uz kvantitatīviem iespējamo risinājumu salīdzinājumiem. Ne vienmēr ir pieejami kvantitatīvam salīdzinājumam nepieciešamie dati, un pat tad, ja tie ir pieejami, tos var nebūt iespējams izmantot analīzē. Pat ļoti būtiska ietekme uz konkurenci var būt praktiski neizmērāma. Piemēram, konkurences apstākļu izmaiņas var ietekmēt stimulus ieviest jauninājumus un izstrādāt jaunus produktus. Taču palielinātas vai samazinātas inovācijas ietekmi ir ļoti grūti izmērīt. Kvalitatīvajā analīzē fakti tiek kombinēti ar argumentāciju, lai nonāktu pie argumentētiem spriedumiem par to, kuriem iespējamajiem risinājumiem dot priekšroku. Reformas iespēju kvalitatīva analīze ir kritiskās domāšanas forma. Kvalitatīvās analīzes priekšrocība ir tā, ka šāda analīze ir plaši saprotama, tai ir nepieciešams mazs datu apjoms un tā var būt ļoti ātra un praktiska. Tajā pašā laikā kvalitatīvajā analīzē netiek noteikta konkurences veicināšanas vērtība, tāpēc tā var palaist garām vienu no galvenajiem argumentiem par labu konkurenci veicinošiem noteikumiem. Šajā nodaļā tiks izklāstīti gan kvalitatīvā, gan kvantitatīvā salīdzinājuma paņēmieni.</w:t>
      </w:r>
    </w:p>
    <w:p w14:paraId="7899AF53" w14:textId="77777777" w:rsidR="000A6469" w:rsidRPr="004D11C9" w:rsidRDefault="000A6469" w:rsidP="004D11C9">
      <w:pPr>
        <w:jc w:val="both"/>
        <w:rPr>
          <w:rFonts w:ascii="Times New Roman" w:eastAsia="Arial" w:hAnsi="Times New Roman" w:cs="Arial"/>
          <w:noProof/>
          <w:sz w:val="24"/>
          <w:szCs w:val="20"/>
        </w:rPr>
      </w:pPr>
    </w:p>
    <w:p w14:paraId="188DA2B6" w14:textId="4CA9ECEA" w:rsidR="000A6469" w:rsidRDefault="000A6469" w:rsidP="004D11C9">
      <w:pPr>
        <w:pStyle w:val="BodyText"/>
        <w:ind w:left="0" w:firstLine="0"/>
        <w:jc w:val="both"/>
        <w:rPr>
          <w:rFonts w:ascii="Times New Roman" w:hAnsi="Times New Roman"/>
          <w:noProof/>
          <w:sz w:val="24"/>
        </w:rPr>
      </w:pPr>
      <w:r>
        <w:rPr>
          <w:rFonts w:ascii="Times New Roman" w:hAnsi="Times New Roman"/>
          <w:sz w:val="24"/>
        </w:rPr>
        <w:t>Kvantitatīvā analīze ir saistīta ar rūpīgu un precīzu skaitļu izmantošanu, lai novērtētu labumu, ko konkrēti iespējamie risinājumi sniedz salīdzinājumā ar citiem risinājumiem. Lai arī kvantitatīvās analīzes gadījumā spējai salīdzināt iespējamos risinājumus ir mazāka nozīme, tomēr izmantoto paņēmienu īstenošanai var būt nepieciešamas labākas tehniskās iemaņas nekā kvalitatīvajā analīzē un ir neapšaubāmi nepieciešama noteikta datu pieejamība. Attiecībā uz īpaši svarīgiem vai neviennozīmīgiem jautājumiem vēlams izmantot kvantitatīvo analīzi, ja tas ir iespējams. Kvantitatīvā analīze var, piemēram, sniegt aplēses par sociālajiem ieguvumiem no reformas, piemēram, par cik patērētājiem samazināsies maksa par precēm pēc reformas vai cik darba vietas tiks radītas. Tos gadījumus, kad ir iespējams veikt kvantitatīvo analīzi, bieži vien ierobežo salīdzinājuma veikšanai pieejamo datu vai pieejamā laika ierobežojumi. Tāpat arī var būt grūti vai pat neiespējami izmērīt produkta diferenciācijas un uzlabotā pakalpojuma vērtību patērētājiem. Tāpēc, lai arī kvantitatīvā analīze var palīdzēt atlasīt iespējamos konkurenci veicinošos risinājumus, tā bieži ir jāpamato ar kvalitatīviem pierādījumiem.</w:t>
      </w:r>
    </w:p>
    <w:p w14:paraId="2DF2A892" w14:textId="77777777" w:rsidR="00FD3F1E" w:rsidRPr="004D11C9" w:rsidRDefault="00FD3F1E" w:rsidP="004D11C9">
      <w:pPr>
        <w:pStyle w:val="BodyText"/>
        <w:ind w:left="0" w:firstLine="0"/>
        <w:jc w:val="both"/>
        <w:rPr>
          <w:rFonts w:ascii="Times New Roman" w:hAnsi="Times New Roman"/>
          <w:noProof/>
          <w:sz w:val="24"/>
        </w:rPr>
      </w:pPr>
    </w:p>
    <w:p w14:paraId="0CA7E548" w14:textId="77777777" w:rsidR="000A6469" w:rsidRPr="004D11C9" w:rsidRDefault="000A6469" w:rsidP="00FD3F1E">
      <w:pPr>
        <w:jc w:val="center"/>
        <w:rPr>
          <w:rFonts w:ascii="Times New Roman" w:hAnsi="Times New Roman"/>
          <w:b/>
          <w:noProof/>
          <w:sz w:val="24"/>
        </w:rPr>
      </w:pPr>
      <w:r>
        <w:rPr>
          <w:rFonts w:ascii="Times New Roman" w:hAnsi="Times New Roman"/>
          <w:b/>
          <w:sz w:val="24"/>
        </w:rPr>
        <w:t>1. tabula. Kvalitatīvo un kvantitatīvo metožu priekšrocības un trūkumi</w:t>
      </w:r>
    </w:p>
    <w:p w14:paraId="2013A15F" w14:textId="77777777" w:rsidR="000A6469" w:rsidRPr="004D11C9" w:rsidRDefault="000A6469" w:rsidP="004D11C9">
      <w:pPr>
        <w:jc w:val="both"/>
        <w:rPr>
          <w:rFonts w:ascii="Times New Roman" w:eastAsia="Arial" w:hAnsi="Times New Roman" w:cs="Arial"/>
          <w:b/>
          <w:bCs/>
          <w:noProof/>
          <w:sz w:val="24"/>
        </w:rPr>
      </w:pPr>
    </w:p>
    <w:tbl>
      <w:tblPr>
        <w:tblW w:w="0" w:type="auto"/>
        <w:tblCellMar>
          <w:top w:w="28" w:type="dxa"/>
          <w:left w:w="28" w:type="dxa"/>
          <w:bottom w:w="28" w:type="dxa"/>
          <w:right w:w="28" w:type="dxa"/>
        </w:tblCellMar>
        <w:tblLook w:val="01E0" w:firstRow="1" w:lastRow="1" w:firstColumn="1" w:lastColumn="1" w:noHBand="0" w:noVBand="0"/>
      </w:tblPr>
      <w:tblGrid>
        <w:gridCol w:w="1456"/>
        <w:gridCol w:w="3641"/>
        <w:gridCol w:w="3975"/>
      </w:tblGrid>
      <w:tr w:rsidR="000A6469" w:rsidRPr="004D11C9" w14:paraId="7BB426A4" w14:textId="77777777" w:rsidTr="00FD3F1E">
        <w:tc>
          <w:tcPr>
            <w:tcW w:w="559" w:type="pct"/>
            <w:tcBorders>
              <w:top w:val="single" w:sz="18" w:space="0" w:color="F4791F"/>
              <w:left w:val="nil"/>
              <w:bottom w:val="single" w:sz="5" w:space="0" w:color="000000"/>
              <w:right w:val="nil"/>
            </w:tcBorders>
          </w:tcPr>
          <w:p w14:paraId="2C22856A" w14:textId="77777777" w:rsidR="000A6469" w:rsidRPr="004D11C9" w:rsidRDefault="000A6469" w:rsidP="004D11C9">
            <w:pPr>
              <w:jc w:val="both"/>
              <w:rPr>
                <w:rFonts w:ascii="Times New Roman" w:hAnsi="Times New Roman"/>
                <w:noProof/>
                <w:sz w:val="24"/>
              </w:rPr>
            </w:pPr>
          </w:p>
        </w:tc>
        <w:tc>
          <w:tcPr>
            <w:tcW w:w="2128" w:type="pct"/>
            <w:tcBorders>
              <w:top w:val="single" w:sz="18" w:space="0" w:color="F4791F"/>
              <w:left w:val="nil"/>
              <w:bottom w:val="single" w:sz="5" w:space="0" w:color="000000"/>
              <w:right w:val="nil"/>
            </w:tcBorders>
          </w:tcPr>
          <w:p w14:paraId="43650D6C" w14:textId="77777777" w:rsidR="000A6469" w:rsidRPr="004D11C9" w:rsidRDefault="000A6469" w:rsidP="004D11C9">
            <w:pPr>
              <w:pStyle w:val="TableParagraph"/>
              <w:jc w:val="both"/>
              <w:rPr>
                <w:rFonts w:ascii="Times New Roman" w:hAnsi="Times New Roman"/>
                <w:b/>
                <w:noProof/>
                <w:sz w:val="24"/>
              </w:rPr>
            </w:pPr>
            <w:r>
              <w:rPr>
                <w:rFonts w:ascii="Times New Roman" w:hAnsi="Times New Roman"/>
                <w:b/>
                <w:sz w:val="24"/>
              </w:rPr>
              <w:t>Kvalitatīvās metodes</w:t>
            </w:r>
          </w:p>
        </w:tc>
        <w:tc>
          <w:tcPr>
            <w:tcW w:w="2312" w:type="pct"/>
            <w:tcBorders>
              <w:top w:val="single" w:sz="18" w:space="0" w:color="F4791F"/>
              <w:left w:val="nil"/>
              <w:bottom w:val="single" w:sz="5" w:space="0" w:color="000000"/>
              <w:right w:val="nil"/>
            </w:tcBorders>
          </w:tcPr>
          <w:p w14:paraId="16C0C0E1" w14:textId="77777777" w:rsidR="000A6469" w:rsidRPr="004D11C9" w:rsidRDefault="000A6469" w:rsidP="004D11C9">
            <w:pPr>
              <w:pStyle w:val="TableParagraph"/>
              <w:jc w:val="both"/>
              <w:rPr>
                <w:rFonts w:ascii="Times New Roman" w:hAnsi="Times New Roman"/>
                <w:b/>
                <w:noProof/>
                <w:sz w:val="24"/>
              </w:rPr>
            </w:pPr>
            <w:r>
              <w:rPr>
                <w:rFonts w:ascii="Times New Roman" w:hAnsi="Times New Roman"/>
                <w:b/>
                <w:sz w:val="24"/>
              </w:rPr>
              <w:t>Kvantitatīvās metodes</w:t>
            </w:r>
          </w:p>
        </w:tc>
      </w:tr>
      <w:tr w:rsidR="000A6469" w:rsidRPr="004D11C9" w14:paraId="21BD2CBA" w14:textId="77777777" w:rsidTr="00FD3F1E">
        <w:tc>
          <w:tcPr>
            <w:tcW w:w="559" w:type="pct"/>
            <w:tcBorders>
              <w:top w:val="single" w:sz="5" w:space="0" w:color="000000"/>
              <w:left w:val="nil"/>
              <w:bottom w:val="single" w:sz="5" w:space="0" w:color="000000"/>
              <w:right w:val="nil"/>
            </w:tcBorders>
            <w:shd w:val="clear" w:color="auto" w:fill="FAD3B4"/>
          </w:tcPr>
          <w:p w14:paraId="2021CFFC" w14:textId="77777777" w:rsidR="000A6469" w:rsidRPr="004D11C9" w:rsidRDefault="000A6469" w:rsidP="004D11C9">
            <w:pPr>
              <w:pStyle w:val="TableParagraph"/>
              <w:jc w:val="both"/>
              <w:rPr>
                <w:rFonts w:ascii="Times New Roman" w:hAnsi="Times New Roman"/>
                <w:b/>
                <w:noProof/>
                <w:sz w:val="24"/>
              </w:rPr>
            </w:pPr>
            <w:r>
              <w:rPr>
                <w:rFonts w:ascii="Times New Roman" w:hAnsi="Times New Roman"/>
                <w:b/>
                <w:sz w:val="24"/>
              </w:rPr>
              <w:t>Priekšrocības</w:t>
            </w:r>
          </w:p>
        </w:tc>
        <w:tc>
          <w:tcPr>
            <w:tcW w:w="2128" w:type="pct"/>
            <w:tcBorders>
              <w:top w:val="single" w:sz="5" w:space="0" w:color="000000"/>
              <w:left w:val="nil"/>
              <w:bottom w:val="single" w:sz="5" w:space="0" w:color="000000"/>
              <w:right w:val="nil"/>
            </w:tcBorders>
            <w:shd w:val="clear" w:color="auto" w:fill="FAD3B4"/>
          </w:tcPr>
          <w:p w14:paraId="4C34B9E8" w14:textId="77777777" w:rsidR="000A6469" w:rsidRPr="004D11C9" w:rsidRDefault="000A6469" w:rsidP="00FD3F1E">
            <w:pPr>
              <w:pStyle w:val="ListParagraph"/>
              <w:numPr>
                <w:ilvl w:val="0"/>
                <w:numId w:val="16"/>
              </w:numPr>
              <w:ind w:left="371"/>
              <w:jc w:val="both"/>
              <w:rPr>
                <w:rFonts w:ascii="Times New Roman" w:hAnsi="Times New Roman"/>
                <w:noProof/>
                <w:sz w:val="24"/>
              </w:rPr>
            </w:pPr>
            <w:r>
              <w:rPr>
                <w:rFonts w:ascii="Times New Roman" w:hAnsi="Times New Roman"/>
                <w:sz w:val="24"/>
              </w:rPr>
              <w:t>Ātrums</w:t>
            </w:r>
          </w:p>
          <w:p w14:paraId="1DCCDE70" w14:textId="77777777" w:rsidR="000A6469" w:rsidRPr="004D11C9" w:rsidRDefault="000A6469" w:rsidP="00FD3F1E">
            <w:pPr>
              <w:pStyle w:val="ListParagraph"/>
              <w:numPr>
                <w:ilvl w:val="0"/>
                <w:numId w:val="16"/>
              </w:numPr>
              <w:ind w:left="371"/>
              <w:jc w:val="both"/>
              <w:rPr>
                <w:rFonts w:ascii="Times New Roman" w:hAnsi="Times New Roman"/>
                <w:noProof/>
                <w:sz w:val="24"/>
              </w:rPr>
            </w:pPr>
            <w:r>
              <w:rPr>
                <w:rFonts w:ascii="Times New Roman" w:hAnsi="Times New Roman"/>
                <w:sz w:val="24"/>
              </w:rPr>
              <w:t>Nepieciešams ierobežots kvantitatīvās informācijas daudzums</w:t>
            </w:r>
          </w:p>
          <w:p w14:paraId="577E2A67" w14:textId="77777777" w:rsidR="000A6469" w:rsidRPr="004D11C9" w:rsidRDefault="000A6469" w:rsidP="00FD3F1E">
            <w:pPr>
              <w:pStyle w:val="ListParagraph"/>
              <w:numPr>
                <w:ilvl w:val="0"/>
                <w:numId w:val="16"/>
              </w:numPr>
              <w:ind w:left="371"/>
              <w:jc w:val="both"/>
              <w:rPr>
                <w:rFonts w:ascii="Times New Roman" w:hAnsi="Times New Roman"/>
                <w:noProof/>
                <w:sz w:val="24"/>
              </w:rPr>
            </w:pPr>
            <w:r>
              <w:rPr>
                <w:rFonts w:ascii="Times New Roman" w:hAnsi="Times New Roman"/>
                <w:sz w:val="24"/>
              </w:rPr>
              <w:t>Rezultātus ir iespējams viegli paskaidrot, ātra analīze</w:t>
            </w:r>
          </w:p>
        </w:tc>
        <w:tc>
          <w:tcPr>
            <w:tcW w:w="2312" w:type="pct"/>
            <w:tcBorders>
              <w:top w:val="single" w:sz="5" w:space="0" w:color="000000"/>
              <w:left w:val="nil"/>
              <w:bottom w:val="single" w:sz="5" w:space="0" w:color="000000"/>
              <w:right w:val="nil"/>
            </w:tcBorders>
            <w:shd w:val="clear" w:color="auto" w:fill="FAD3B4"/>
          </w:tcPr>
          <w:p w14:paraId="1E2DA8B5" w14:textId="77777777" w:rsidR="000A6469" w:rsidRPr="004D11C9" w:rsidRDefault="000A6469" w:rsidP="00FD3F1E">
            <w:pPr>
              <w:pStyle w:val="ListParagraph"/>
              <w:numPr>
                <w:ilvl w:val="0"/>
                <w:numId w:val="15"/>
              </w:numPr>
              <w:ind w:left="345" w:hanging="283"/>
              <w:jc w:val="both"/>
              <w:rPr>
                <w:rFonts w:ascii="Times New Roman" w:hAnsi="Times New Roman"/>
                <w:noProof/>
                <w:sz w:val="24"/>
              </w:rPr>
            </w:pPr>
            <w:r>
              <w:rPr>
                <w:rFonts w:ascii="Times New Roman" w:hAnsi="Times New Roman"/>
                <w:sz w:val="24"/>
              </w:rPr>
              <w:t>Nodrošina ietekmes atspoguļojumu skaitliskā diapazonā, atklājot tādu iespējamo risinājumu izvēles relatīvo svarīgumu, kas vairāk veicina konkurenci</w:t>
            </w:r>
          </w:p>
          <w:p w14:paraId="58ADE1D2" w14:textId="77777777" w:rsidR="000A6469" w:rsidRPr="004D11C9" w:rsidRDefault="000A6469" w:rsidP="00FD3F1E">
            <w:pPr>
              <w:pStyle w:val="ListParagraph"/>
              <w:numPr>
                <w:ilvl w:val="0"/>
                <w:numId w:val="15"/>
              </w:numPr>
              <w:ind w:left="345" w:hanging="283"/>
              <w:jc w:val="both"/>
              <w:rPr>
                <w:rFonts w:ascii="Times New Roman" w:hAnsi="Times New Roman"/>
                <w:noProof/>
                <w:sz w:val="24"/>
              </w:rPr>
            </w:pPr>
            <w:r>
              <w:rPr>
                <w:rFonts w:ascii="Times New Roman" w:hAnsi="Times New Roman"/>
                <w:sz w:val="24"/>
              </w:rPr>
              <w:t>Nosaka robežlīmeni, kas apstrīdētājiem ir jāsasniedz, lai varētu apstrīdēt analīzes rezultātus</w:t>
            </w:r>
          </w:p>
        </w:tc>
      </w:tr>
      <w:tr w:rsidR="000A6469" w:rsidRPr="004D11C9" w14:paraId="3271E7F4" w14:textId="77777777" w:rsidTr="00FD3F1E">
        <w:tc>
          <w:tcPr>
            <w:tcW w:w="559" w:type="pct"/>
            <w:tcBorders>
              <w:top w:val="single" w:sz="5" w:space="0" w:color="000000"/>
              <w:left w:val="nil"/>
              <w:bottom w:val="single" w:sz="5" w:space="0" w:color="000000"/>
              <w:right w:val="nil"/>
            </w:tcBorders>
            <w:shd w:val="clear" w:color="auto" w:fill="FCE9D9"/>
          </w:tcPr>
          <w:p w14:paraId="4FB94E78" w14:textId="77777777" w:rsidR="000A6469" w:rsidRPr="004D11C9" w:rsidRDefault="000A6469" w:rsidP="004D11C9">
            <w:pPr>
              <w:pStyle w:val="TableParagraph"/>
              <w:jc w:val="both"/>
              <w:rPr>
                <w:rFonts w:ascii="Times New Roman" w:hAnsi="Times New Roman"/>
                <w:b/>
                <w:noProof/>
                <w:sz w:val="24"/>
              </w:rPr>
            </w:pPr>
            <w:r>
              <w:rPr>
                <w:rFonts w:ascii="Times New Roman" w:hAnsi="Times New Roman"/>
                <w:b/>
                <w:sz w:val="24"/>
              </w:rPr>
              <w:t>Trūkumi</w:t>
            </w:r>
          </w:p>
        </w:tc>
        <w:tc>
          <w:tcPr>
            <w:tcW w:w="2128" w:type="pct"/>
            <w:tcBorders>
              <w:top w:val="single" w:sz="5" w:space="0" w:color="000000"/>
              <w:left w:val="nil"/>
              <w:bottom w:val="single" w:sz="5" w:space="0" w:color="000000"/>
              <w:right w:val="nil"/>
            </w:tcBorders>
            <w:shd w:val="clear" w:color="auto" w:fill="FCE9D9"/>
          </w:tcPr>
          <w:p w14:paraId="1304395F" w14:textId="77777777" w:rsidR="000A6469" w:rsidRPr="004D11C9" w:rsidRDefault="000A6469" w:rsidP="00FD3F1E">
            <w:pPr>
              <w:pStyle w:val="ListParagraph"/>
              <w:numPr>
                <w:ilvl w:val="0"/>
                <w:numId w:val="14"/>
              </w:numPr>
              <w:ind w:left="371"/>
              <w:jc w:val="both"/>
              <w:rPr>
                <w:rFonts w:ascii="Times New Roman" w:hAnsi="Times New Roman"/>
                <w:noProof/>
                <w:sz w:val="24"/>
              </w:rPr>
            </w:pPr>
            <w:r>
              <w:rPr>
                <w:rFonts w:ascii="Times New Roman" w:hAnsi="Times New Roman"/>
                <w:sz w:val="24"/>
              </w:rPr>
              <w:t xml:space="preserve">Vairāk pakļautas ārējai kritikai, lai gan daudzos gadījumos var būt pārliecinošas, ja argumentācija ir pamatota vai sagatavota, pamatojoties uz plašu literatūras </w:t>
            </w:r>
            <w:r>
              <w:rPr>
                <w:rFonts w:ascii="Times New Roman" w:hAnsi="Times New Roman"/>
                <w:sz w:val="24"/>
              </w:rPr>
              <w:lastRenderedPageBreak/>
              <w:t>apskatu vai analīzi</w:t>
            </w:r>
          </w:p>
          <w:p w14:paraId="2419BAF2" w14:textId="77777777" w:rsidR="000A6469" w:rsidRPr="004D11C9" w:rsidRDefault="000A6469" w:rsidP="00FD3F1E">
            <w:pPr>
              <w:pStyle w:val="ListParagraph"/>
              <w:numPr>
                <w:ilvl w:val="0"/>
                <w:numId w:val="14"/>
              </w:numPr>
              <w:ind w:left="371"/>
              <w:jc w:val="both"/>
              <w:rPr>
                <w:rFonts w:ascii="Times New Roman" w:hAnsi="Times New Roman"/>
                <w:noProof/>
                <w:sz w:val="24"/>
              </w:rPr>
            </w:pPr>
            <w:r>
              <w:rPr>
                <w:rFonts w:ascii="Times New Roman" w:hAnsi="Times New Roman"/>
                <w:sz w:val="24"/>
              </w:rPr>
              <w:t>Grūti izmērāma ieguldījuma vērtība</w:t>
            </w:r>
          </w:p>
        </w:tc>
        <w:tc>
          <w:tcPr>
            <w:tcW w:w="2312" w:type="pct"/>
            <w:tcBorders>
              <w:top w:val="single" w:sz="5" w:space="0" w:color="000000"/>
              <w:left w:val="nil"/>
              <w:bottom w:val="single" w:sz="5" w:space="0" w:color="000000"/>
              <w:right w:val="nil"/>
            </w:tcBorders>
            <w:shd w:val="clear" w:color="auto" w:fill="FCE9D9"/>
          </w:tcPr>
          <w:p w14:paraId="0A2589B1" w14:textId="77777777" w:rsidR="000A6469" w:rsidRPr="004D11C9" w:rsidRDefault="000A6469" w:rsidP="00FD3F1E">
            <w:pPr>
              <w:pStyle w:val="ListParagraph"/>
              <w:numPr>
                <w:ilvl w:val="0"/>
                <w:numId w:val="13"/>
              </w:numPr>
              <w:ind w:left="345" w:hanging="283"/>
              <w:jc w:val="both"/>
              <w:rPr>
                <w:rFonts w:ascii="Times New Roman" w:hAnsi="Times New Roman"/>
                <w:noProof/>
                <w:sz w:val="24"/>
              </w:rPr>
            </w:pPr>
            <w:r>
              <w:rPr>
                <w:rFonts w:ascii="Times New Roman" w:hAnsi="Times New Roman"/>
                <w:sz w:val="24"/>
              </w:rPr>
              <w:lastRenderedPageBreak/>
              <w:t>Prasības attiecībā uz datiem</w:t>
            </w:r>
          </w:p>
          <w:p w14:paraId="5D20127B" w14:textId="77777777" w:rsidR="000A6469" w:rsidRPr="004D11C9" w:rsidRDefault="000A6469" w:rsidP="00FD3F1E">
            <w:pPr>
              <w:pStyle w:val="ListParagraph"/>
              <w:numPr>
                <w:ilvl w:val="0"/>
                <w:numId w:val="13"/>
              </w:numPr>
              <w:ind w:left="345" w:hanging="283"/>
              <w:jc w:val="both"/>
              <w:rPr>
                <w:rFonts w:ascii="Times New Roman" w:hAnsi="Times New Roman"/>
                <w:noProof/>
                <w:sz w:val="24"/>
              </w:rPr>
            </w:pPr>
            <w:r>
              <w:rPr>
                <w:rFonts w:ascii="Times New Roman" w:hAnsi="Times New Roman"/>
                <w:sz w:val="24"/>
              </w:rPr>
              <w:t>Var būt nepieciešams ilgs laiks pabeigšanai</w:t>
            </w:r>
          </w:p>
        </w:tc>
      </w:tr>
    </w:tbl>
    <w:p w14:paraId="56DC4B5D" w14:textId="77777777" w:rsidR="000A6469" w:rsidRPr="004D11C9" w:rsidRDefault="000A6469" w:rsidP="004D11C9">
      <w:pPr>
        <w:jc w:val="both"/>
        <w:rPr>
          <w:rFonts w:ascii="Times New Roman" w:eastAsia="Arial" w:hAnsi="Times New Roman" w:cs="Arial"/>
          <w:b/>
          <w:bCs/>
          <w:noProof/>
          <w:sz w:val="24"/>
          <w:szCs w:val="7"/>
        </w:rPr>
      </w:pPr>
    </w:p>
    <w:p w14:paraId="5C4412D0" w14:textId="5FA7C348" w:rsidR="000A6469" w:rsidRPr="004D11C9" w:rsidRDefault="007D2347" w:rsidP="004D11C9">
      <w:pPr>
        <w:pStyle w:val="BodyText"/>
        <w:ind w:left="0" w:firstLine="0"/>
        <w:jc w:val="both"/>
        <w:rPr>
          <w:rFonts w:ascii="Times New Roman" w:hAnsi="Times New Roman"/>
          <w:noProof/>
          <w:sz w:val="24"/>
        </w:rPr>
      </w:pPr>
      <w:r>
        <w:rPr>
          <w:rFonts w:ascii="Times New Roman" w:hAnsi="Times New Roman"/>
          <w:sz w:val="24"/>
        </w:rPr>
        <w:t>Pirms runāt par kvalitatīvajām un kvantitatīvajām metodēm, jāizskata daži salīdzinājumu veikšanai noderīgi pamatjēdzieni.</w:t>
      </w:r>
    </w:p>
    <w:p w14:paraId="2D2DF84E" w14:textId="77777777" w:rsidR="00FD3F1E" w:rsidRDefault="00FD3F1E" w:rsidP="00FD3F1E">
      <w:pPr>
        <w:pStyle w:val="Heading3"/>
        <w:tabs>
          <w:tab w:val="left" w:pos="558"/>
        </w:tabs>
        <w:ind w:left="0"/>
        <w:jc w:val="right"/>
        <w:rPr>
          <w:rFonts w:ascii="Times New Roman" w:hAnsi="Times New Roman"/>
          <w:noProof/>
          <w:sz w:val="24"/>
        </w:rPr>
      </w:pPr>
      <w:bookmarkStart w:id="131" w:name="1._Background_concepts"/>
      <w:bookmarkStart w:id="132" w:name="_bookmark74"/>
      <w:bookmarkEnd w:id="131"/>
      <w:bookmarkEnd w:id="132"/>
    </w:p>
    <w:p w14:paraId="3A92A236" w14:textId="7A14B27C" w:rsidR="000A6469" w:rsidRPr="004D11C9" w:rsidRDefault="00FD3F1E" w:rsidP="00FD3F1E">
      <w:pPr>
        <w:pStyle w:val="Heading3"/>
        <w:tabs>
          <w:tab w:val="left" w:pos="558"/>
        </w:tabs>
        <w:ind w:left="0"/>
        <w:jc w:val="both"/>
        <w:rPr>
          <w:rFonts w:ascii="Times New Roman" w:hAnsi="Times New Roman"/>
          <w:noProof/>
          <w:sz w:val="24"/>
        </w:rPr>
      </w:pPr>
      <w:bookmarkStart w:id="133" w:name="_Toc62650487"/>
      <w:r>
        <w:rPr>
          <w:rFonts w:ascii="Times New Roman" w:hAnsi="Times New Roman"/>
          <w:sz w:val="24"/>
        </w:rPr>
        <w:t>1. Pamatjēdzieni</w:t>
      </w:r>
      <w:bookmarkEnd w:id="133"/>
    </w:p>
    <w:p w14:paraId="5345F253" w14:textId="77777777" w:rsidR="00FD3F1E" w:rsidRDefault="00FD3F1E" w:rsidP="00FD3F1E">
      <w:pPr>
        <w:pStyle w:val="Heading4"/>
        <w:tabs>
          <w:tab w:val="left" w:pos="743"/>
        </w:tabs>
        <w:ind w:left="0"/>
        <w:rPr>
          <w:rFonts w:ascii="Times New Roman" w:hAnsi="Times New Roman"/>
          <w:noProof/>
          <w:sz w:val="24"/>
        </w:rPr>
      </w:pPr>
      <w:bookmarkStart w:id="134" w:name="1.1._Establish_a_baseline_and_compare_op"/>
      <w:bookmarkEnd w:id="134"/>
    </w:p>
    <w:p w14:paraId="2665B3A2" w14:textId="03CC13F8" w:rsidR="000A6469" w:rsidRPr="004D11C9" w:rsidRDefault="00FD3F1E" w:rsidP="00FD3F1E">
      <w:pPr>
        <w:pStyle w:val="Heading4"/>
        <w:tabs>
          <w:tab w:val="left" w:pos="743"/>
        </w:tabs>
        <w:ind w:left="0"/>
        <w:rPr>
          <w:rFonts w:ascii="Times New Roman" w:hAnsi="Times New Roman"/>
          <w:noProof/>
          <w:sz w:val="24"/>
        </w:rPr>
      </w:pPr>
      <w:r>
        <w:rPr>
          <w:rFonts w:ascii="Times New Roman" w:hAnsi="Times New Roman"/>
          <w:sz w:val="24"/>
        </w:rPr>
        <w:t>1.1. Bāzes scenārija noteikšana un iespējamo risinājumu salīdzināšana ar to</w:t>
      </w:r>
    </w:p>
    <w:p w14:paraId="26A9024E" w14:textId="77777777" w:rsidR="000A6469" w:rsidRPr="004D11C9" w:rsidRDefault="000A6469" w:rsidP="004D11C9">
      <w:pPr>
        <w:jc w:val="both"/>
        <w:rPr>
          <w:rFonts w:ascii="Times New Roman" w:eastAsia="Arial" w:hAnsi="Times New Roman" w:cs="Arial"/>
          <w:b/>
          <w:bCs/>
          <w:i/>
          <w:noProof/>
          <w:sz w:val="24"/>
          <w:szCs w:val="17"/>
        </w:rPr>
      </w:pPr>
    </w:p>
    <w:p w14:paraId="3CCA2382"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Lai salīdzinātu vienu vai vairākus iespējamos risinājumus, ir ieteicams noteikt bāzes scenāriju. Parasti tas ir līdzšinējais stāvoklis. Nosakot bāzes scenāriju, mēs varam noteikt, kā iespējamais politikas risinājums var uzlabot ekonomisko efektivitāti attiecībā pret bāzes scenāriju.</w:t>
      </w:r>
    </w:p>
    <w:p w14:paraId="31C0FC68" w14:textId="71F48BA7" w:rsidR="000A6469" w:rsidRPr="004D11C9" w:rsidRDefault="000A6469" w:rsidP="004D11C9">
      <w:pPr>
        <w:jc w:val="both"/>
        <w:rPr>
          <w:rFonts w:ascii="Times New Roman" w:eastAsia="Arial" w:hAnsi="Times New Roman" w:cs="Arial"/>
          <w:noProof/>
          <w:sz w:val="24"/>
          <w:szCs w:val="17"/>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FD3F1E" w14:paraId="1262A33E" w14:textId="77777777" w:rsidTr="00FD3F1E">
        <w:tc>
          <w:tcPr>
            <w:tcW w:w="9062" w:type="dxa"/>
          </w:tcPr>
          <w:p w14:paraId="41A5D82A" w14:textId="3499D819" w:rsidR="00FD3F1E" w:rsidRDefault="00FD3F1E" w:rsidP="00FD3F1E">
            <w:pPr>
              <w:jc w:val="center"/>
              <w:rPr>
                <w:rFonts w:ascii="Times New Roman" w:eastAsia="Arial" w:hAnsi="Times New Roman" w:cs="Arial"/>
                <w:noProof/>
                <w:sz w:val="24"/>
                <w:szCs w:val="17"/>
              </w:rPr>
            </w:pPr>
            <w:r>
              <w:rPr>
                <w:rFonts w:ascii="Times New Roman" w:hAnsi="Times New Roman"/>
                <w:b/>
                <w:sz w:val="24"/>
              </w:rPr>
              <w:t>44. ierāmējums. Veidi, kā bāzes scenāriji nonāk iespējamo politikas risinājumu analīzē</w:t>
            </w:r>
          </w:p>
        </w:tc>
      </w:tr>
      <w:tr w:rsidR="00FD3F1E" w14:paraId="1872458A" w14:textId="77777777" w:rsidTr="00FD3F1E">
        <w:tc>
          <w:tcPr>
            <w:tcW w:w="9062" w:type="dxa"/>
          </w:tcPr>
          <w:p w14:paraId="0C9DBF9C" w14:textId="77777777" w:rsidR="00FD3F1E" w:rsidRPr="004D11C9" w:rsidRDefault="00FD3F1E" w:rsidP="00FD3F1E">
            <w:pPr>
              <w:jc w:val="both"/>
              <w:rPr>
                <w:rFonts w:ascii="Times New Roman" w:eastAsia="Arial" w:hAnsi="Times New Roman" w:cs="Arial"/>
                <w:noProof/>
                <w:sz w:val="24"/>
                <w:szCs w:val="18"/>
              </w:rPr>
            </w:pPr>
            <w:r>
              <w:rPr>
                <w:rFonts w:ascii="Times New Roman" w:hAnsi="Times New Roman"/>
                <w:b/>
                <w:sz w:val="24"/>
              </w:rPr>
              <w:t xml:space="preserve">1. piemērs. </w:t>
            </w:r>
            <w:r>
              <w:rPr>
                <w:rFonts w:ascii="Times New Roman" w:hAnsi="Times New Roman"/>
                <w:sz w:val="24"/>
              </w:rPr>
              <w:t>“Bāzes scenārijs A nav regulatīvs pasākums. Paredzams, ka, ieviešot risinājumu B, cena samazināsies par 5–8 % no šīs bāzes scenārija cenas, sešu gadu laikā palielinot patērētāju labklājību par 45–72 miljoniem ASV dolāru. Tas ir lielākais no visiem uzlabojumiem attiecībā pret bāzes scenāriju, ko piedāvā iespējamie risinājumi.”</w:t>
            </w:r>
          </w:p>
          <w:p w14:paraId="1ACC6B16" w14:textId="77777777" w:rsidR="00FD3F1E" w:rsidRDefault="00FD3F1E" w:rsidP="00FD3F1E">
            <w:pPr>
              <w:jc w:val="both"/>
              <w:rPr>
                <w:rFonts w:ascii="Times New Roman" w:eastAsia="Arial" w:hAnsi="Times New Roman" w:cs="Arial"/>
                <w:b/>
                <w:bCs/>
                <w:noProof/>
                <w:sz w:val="24"/>
                <w:szCs w:val="18"/>
              </w:rPr>
            </w:pPr>
          </w:p>
          <w:p w14:paraId="6D1D4F26" w14:textId="1D668F51" w:rsidR="00FD3F1E" w:rsidRPr="00FD3F1E" w:rsidRDefault="00FD3F1E" w:rsidP="004D11C9">
            <w:pPr>
              <w:jc w:val="both"/>
              <w:rPr>
                <w:rFonts w:ascii="Times New Roman" w:eastAsia="Arial" w:hAnsi="Times New Roman" w:cs="Arial"/>
                <w:noProof/>
                <w:sz w:val="24"/>
                <w:szCs w:val="18"/>
              </w:rPr>
            </w:pPr>
            <w:r>
              <w:rPr>
                <w:rFonts w:ascii="Times New Roman" w:hAnsi="Times New Roman"/>
                <w:b/>
                <w:sz w:val="24"/>
              </w:rPr>
              <w:t xml:space="preserve">2. piemērs. </w:t>
            </w:r>
            <w:r>
              <w:rPr>
                <w:rFonts w:ascii="Times New Roman" w:hAnsi="Times New Roman"/>
                <w:sz w:val="24"/>
              </w:rPr>
              <w:t>“Bāzes scenārijs ir risinājums C, kas ir iekļauts pieņemtā, bet vēl neīstenotā tiesiskajā regulējumā. Neviens cits iespējamais risinājums nesniegtu lielāku labumu patērētājiem kā risinājums C, tāpēc ieteicams izvēlēties risinājumu C.”</w:t>
            </w:r>
          </w:p>
        </w:tc>
      </w:tr>
    </w:tbl>
    <w:p w14:paraId="2D15458E" w14:textId="77777777" w:rsidR="000A6469" w:rsidRPr="004D11C9" w:rsidRDefault="000A6469" w:rsidP="004D11C9">
      <w:pPr>
        <w:jc w:val="both"/>
        <w:rPr>
          <w:rFonts w:ascii="Times New Roman" w:eastAsia="Arial" w:hAnsi="Times New Roman" w:cs="Arial"/>
          <w:noProof/>
          <w:sz w:val="24"/>
          <w:szCs w:val="15"/>
        </w:rPr>
      </w:pPr>
    </w:p>
    <w:p w14:paraId="241A2B75"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Tam, kurš bāzes scenārijs tiks izraudzīts, nav būtiskas nozīmes salīdzinājumu veikšanā, tomēr, lai noteiktu “labāko” politikas risinājumu, būtiski zināt viena risinājuma relatīvo ietekmi salīdzinājumā ar cita risinājuma ietekmi.</w:t>
      </w:r>
    </w:p>
    <w:p w14:paraId="1B01FD4D" w14:textId="438437BD" w:rsidR="000A6469" w:rsidRPr="004D11C9" w:rsidRDefault="000A6469" w:rsidP="004D11C9">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FD3F1E" w14:paraId="32C42D69" w14:textId="77777777" w:rsidTr="00FD3F1E">
        <w:tc>
          <w:tcPr>
            <w:tcW w:w="9062" w:type="dxa"/>
          </w:tcPr>
          <w:p w14:paraId="270CD7EC" w14:textId="76F4A2A6" w:rsidR="00FD3F1E" w:rsidRDefault="00FD3F1E" w:rsidP="00FD3F1E">
            <w:pPr>
              <w:jc w:val="center"/>
              <w:rPr>
                <w:rFonts w:ascii="Times New Roman" w:eastAsia="Arial" w:hAnsi="Times New Roman" w:cs="Arial"/>
                <w:noProof/>
                <w:sz w:val="24"/>
                <w:szCs w:val="20"/>
              </w:rPr>
            </w:pPr>
            <w:r>
              <w:rPr>
                <w:rFonts w:ascii="Times New Roman" w:hAnsi="Times New Roman"/>
                <w:b/>
                <w:sz w:val="24"/>
              </w:rPr>
              <w:t>45. ierāmējums. Relatīvās ietekmes salīdzināšana, lai noteiktu ieteicamo risinājumu</w:t>
            </w:r>
          </w:p>
        </w:tc>
      </w:tr>
      <w:tr w:rsidR="00FD3F1E" w14:paraId="752FBF85" w14:textId="77777777" w:rsidTr="00FD3F1E">
        <w:tc>
          <w:tcPr>
            <w:tcW w:w="9062" w:type="dxa"/>
          </w:tcPr>
          <w:p w14:paraId="2B0EE339" w14:textId="228D5DAB" w:rsidR="00FD3F1E" w:rsidRPr="00FD3F1E" w:rsidRDefault="00FD3F1E" w:rsidP="004D11C9">
            <w:pPr>
              <w:jc w:val="both"/>
              <w:rPr>
                <w:rFonts w:ascii="Times New Roman" w:eastAsia="Arial" w:hAnsi="Times New Roman" w:cs="Arial"/>
                <w:noProof/>
                <w:sz w:val="24"/>
                <w:szCs w:val="18"/>
              </w:rPr>
            </w:pPr>
            <w:r>
              <w:rPr>
                <w:rFonts w:ascii="Times New Roman" w:hAnsi="Times New Roman"/>
                <w:sz w:val="24"/>
              </w:rPr>
              <w:t>Ja tiek īstenots risinājums A, patērētāji sešu gadu laikā iegūs par 40 miljoniem eiro vairāk nekā gadījumā, ja tiek īstenots risinājums B. Ja tiek īstenots risinājums C, patērētāji sešu gadu laikā iegūs par 25 miljoniem eiro vairāk nekā gadījumā, ja tiek īstenots risinājums B. Tāpēc no trīs minētajiem risinājumiem ir ieteicams izvēlēties risinājumu A.</w:t>
            </w:r>
          </w:p>
        </w:tc>
      </w:tr>
    </w:tbl>
    <w:p w14:paraId="7B333CDE" w14:textId="77777777" w:rsidR="000A6469" w:rsidRPr="004D11C9" w:rsidRDefault="000A6469" w:rsidP="004D11C9">
      <w:pPr>
        <w:jc w:val="both"/>
        <w:rPr>
          <w:rFonts w:ascii="Times New Roman" w:eastAsia="Arial" w:hAnsi="Times New Roman" w:cs="Arial"/>
          <w:noProof/>
          <w:sz w:val="24"/>
          <w:szCs w:val="14"/>
        </w:rPr>
      </w:pPr>
      <w:bookmarkStart w:id="135" w:name="_bookmark76"/>
      <w:bookmarkEnd w:id="135"/>
    </w:p>
    <w:p w14:paraId="77B3175E" w14:textId="4BD67B21" w:rsidR="000A6469" w:rsidRPr="004D11C9" w:rsidRDefault="00FD3F1E" w:rsidP="00FD3F1E">
      <w:pPr>
        <w:pStyle w:val="Heading4"/>
        <w:tabs>
          <w:tab w:val="left" w:pos="743"/>
        </w:tabs>
        <w:ind w:left="0"/>
        <w:rPr>
          <w:rFonts w:ascii="Times New Roman" w:hAnsi="Times New Roman"/>
          <w:noProof/>
          <w:sz w:val="24"/>
        </w:rPr>
      </w:pPr>
      <w:bookmarkStart w:id="136" w:name="1.2._Potential_to_achieve_objective"/>
      <w:bookmarkEnd w:id="136"/>
      <w:r>
        <w:rPr>
          <w:rFonts w:ascii="Times New Roman" w:hAnsi="Times New Roman"/>
          <w:sz w:val="24"/>
        </w:rPr>
        <w:t>1.2. Mērķa sasniegšanas potenciāls</w:t>
      </w:r>
    </w:p>
    <w:p w14:paraId="2C9461C4" w14:textId="77777777" w:rsidR="000A6469" w:rsidRPr="004D11C9" w:rsidRDefault="000A6469" w:rsidP="004D11C9">
      <w:pPr>
        <w:jc w:val="both"/>
        <w:rPr>
          <w:rFonts w:ascii="Times New Roman" w:eastAsia="Arial" w:hAnsi="Times New Roman" w:cs="Arial"/>
          <w:b/>
          <w:bCs/>
          <w:i/>
          <w:noProof/>
          <w:sz w:val="24"/>
          <w:szCs w:val="21"/>
        </w:rPr>
      </w:pPr>
    </w:p>
    <w:p w14:paraId="53777657"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Ierosinātie politikas risinājumi var atšķirties arī pēc politikas mērķa sasniegšanas iespējamības.</w:t>
      </w:r>
    </w:p>
    <w:p w14:paraId="2903D527" w14:textId="77777777" w:rsidR="000A6469" w:rsidRPr="004D11C9" w:rsidRDefault="000A6469" w:rsidP="004D11C9">
      <w:pPr>
        <w:jc w:val="both"/>
        <w:rPr>
          <w:rFonts w:ascii="Times New Roman" w:eastAsia="Arial" w:hAnsi="Times New Roman" w:cs="Arial"/>
          <w:noProof/>
          <w:sz w:val="24"/>
          <w:szCs w:val="20"/>
        </w:rPr>
      </w:pPr>
    </w:p>
    <w:p w14:paraId="13150214"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Dažkārt politikas mērķis pats par sevi nav attaisnojams. Šādā gadījumā var būt vērts apšaubīt pašu politikas mērķi, piemēram, tāpēc, ka tas ir novecojis, balstīts uz analīzi, kurā izmantota novecojusi tehnoloģija, vai maskē patieso mērķi.</w:t>
      </w:r>
    </w:p>
    <w:p w14:paraId="27FD62A1" w14:textId="1A742ED9" w:rsidR="000A6469" w:rsidRDefault="000A6469" w:rsidP="004D11C9">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FD3F1E" w14:paraId="2EC168A6" w14:textId="77777777" w:rsidTr="00FD3F1E">
        <w:tc>
          <w:tcPr>
            <w:tcW w:w="9062" w:type="dxa"/>
          </w:tcPr>
          <w:p w14:paraId="19C17C11" w14:textId="35C19AD3" w:rsidR="00FD3F1E" w:rsidRDefault="00FD3F1E" w:rsidP="00FD3F1E">
            <w:pPr>
              <w:jc w:val="center"/>
              <w:rPr>
                <w:rFonts w:ascii="Times New Roman" w:eastAsia="Arial" w:hAnsi="Times New Roman" w:cs="Arial"/>
                <w:noProof/>
                <w:sz w:val="24"/>
                <w:szCs w:val="20"/>
              </w:rPr>
            </w:pPr>
            <w:r>
              <w:rPr>
                <w:rFonts w:ascii="Times New Roman" w:hAnsi="Times New Roman"/>
                <w:b/>
                <w:sz w:val="24"/>
              </w:rPr>
              <w:t>46. ierāmējums. Noklusēti regulējuma iemesli</w:t>
            </w:r>
          </w:p>
        </w:tc>
      </w:tr>
      <w:tr w:rsidR="00FD3F1E" w14:paraId="297E51AF" w14:textId="77777777" w:rsidTr="00FD3F1E">
        <w:tc>
          <w:tcPr>
            <w:tcW w:w="9062" w:type="dxa"/>
          </w:tcPr>
          <w:p w14:paraId="4CD8854A" w14:textId="38EDA9EB" w:rsidR="00FD3F1E" w:rsidRPr="00FD3F1E" w:rsidRDefault="00FD3F1E" w:rsidP="004D11C9">
            <w:pPr>
              <w:jc w:val="both"/>
              <w:rPr>
                <w:rFonts w:ascii="Times New Roman" w:eastAsia="Arial" w:hAnsi="Times New Roman" w:cs="Arial"/>
                <w:noProof/>
                <w:sz w:val="24"/>
                <w:szCs w:val="18"/>
              </w:rPr>
            </w:pPr>
            <w:r>
              <w:rPr>
                <w:rFonts w:ascii="Times New Roman" w:hAnsi="Times New Roman"/>
                <w:sz w:val="24"/>
              </w:rPr>
              <w:t>Pilsētas dome pieņem regulējumu, kas aizliedz visā pilsētā pārdot pārtiku no tirdzniecības automašīnām. Šķietamais politikas mērķis ir nodrošināt labu higiēnas līmeni ēdināšanas iestādēs. Tomēr plašsaziņas līdzekļi uzskata, ka patiesais iemesls ir aizsargāt pastāvīgos restorānus pret konkurenci, ko rada pārvietojamas tirdzniecības automašīnas, kurām ir zemākas izmaksas nekā tradicionālajiem restorāniem.</w:t>
            </w:r>
          </w:p>
        </w:tc>
      </w:tr>
    </w:tbl>
    <w:p w14:paraId="05B75CD1" w14:textId="77777777" w:rsidR="000A6469" w:rsidRPr="004D11C9" w:rsidRDefault="000A6469" w:rsidP="004D11C9">
      <w:pPr>
        <w:jc w:val="both"/>
        <w:rPr>
          <w:rFonts w:ascii="Times New Roman" w:eastAsia="Arial" w:hAnsi="Times New Roman" w:cs="Arial"/>
          <w:noProof/>
          <w:sz w:val="24"/>
          <w:szCs w:val="7"/>
        </w:rPr>
      </w:pPr>
      <w:bookmarkStart w:id="137" w:name="_bookmark77"/>
      <w:bookmarkEnd w:id="137"/>
    </w:p>
    <w:p w14:paraId="04E8F501" w14:textId="5AE90463"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Lai sasniegtu šo mērķi, ir jāizstrādā politikas risinājumi. Tomēr daži ierosinātie politikas risinājumi ne vienmēr spēs nodrošināt mērķa sasniegšanu.</w:t>
      </w:r>
    </w:p>
    <w:p w14:paraId="780BE088" w14:textId="1B47FA90" w:rsidR="000A6469" w:rsidRPr="004D11C9" w:rsidRDefault="000A6469" w:rsidP="004D11C9">
      <w:pPr>
        <w:jc w:val="both"/>
        <w:rPr>
          <w:rFonts w:ascii="Times New Roman" w:eastAsia="Arial" w:hAnsi="Times New Roman" w:cs="Arial"/>
          <w:noProof/>
          <w:sz w:val="24"/>
          <w:szCs w:val="13"/>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FD3F1E" w14:paraId="420340C3" w14:textId="77777777" w:rsidTr="00FD3F1E">
        <w:tc>
          <w:tcPr>
            <w:tcW w:w="9062" w:type="dxa"/>
          </w:tcPr>
          <w:p w14:paraId="76053D08" w14:textId="6FE1372A" w:rsidR="00FD3F1E" w:rsidRPr="00FD3F1E" w:rsidRDefault="00FD3F1E" w:rsidP="00FD3F1E">
            <w:pPr>
              <w:jc w:val="center"/>
              <w:rPr>
                <w:rFonts w:ascii="Times New Roman" w:eastAsia="Arial" w:hAnsi="Times New Roman" w:cs="Arial"/>
                <w:noProof/>
                <w:sz w:val="24"/>
                <w:szCs w:val="20"/>
              </w:rPr>
            </w:pPr>
            <w:r>
              <w:rPr>
                <w:rFonts w:ascii="Times New Roman" w:hAnsi="Times New Roman"/>
                <w:b/>
                <w:sz w:val="24"/>
              </w:rPr>
              <w:t>47. ierāmējums. Ieinteresēto personu likumdošanas iniciatīvas</w:t>
            </w:r>
          </w:p>
        </w:tc>
      </w:tr>
      <w:tr w:rsidR="00FD3F1E" w14:paraId="2FFD5082" w14:textId="77777777" w:rsidTr="00FD3F1E">
        <w:tc>
          <w:tcPr>
            <w:tcW w:w="9062" w:type="dxa"/>
          </w:tcPr>
          <w:p w14:paraId="11D83F33" w14:textId="1B9343A2" w:rsidR="00FD3F1E" w:rsidRPr="00FD3F1E" w:rsidRDefault="00FD3F1E" w:rsidP="004D11C9">
            <w:pPr>
              <w:jc w:val="both"/>
              <w:rPr>
                <w:rFonts w:ascii="Times New Roman" w:eastAsia="Arial" w:hAnsi="Times New Roman" w:cs="Arial"/>
                <w:noProof/>
                <w:sz w:val="24"/>
                <w:szCs w:val="18"/>
              </w:rPr>
            </w:pPr>
            <w:r>
              <w:rPr>
                <w:rFonts w:ascii="Times New Roman" w:hAnsi="Times New Roman"/>
                <w:sz w:val="24"/>
              </w:rPr>
              <w:t>Ja banku nozarei tiek piedāvāts regulatīvs mērķis, kas samazinātu banku peļņu, bankas var saprotamu iemeslu dēļ ierosināt un aizstāvēt normas, kas nebūtu tik efektīvas šāda regulatīvā mērķa sasniegšanai. Piemēram, regulatori var ierosināt, ka par aktīviem finanšu rādītājos, kas bankām ir jāsasniedz, nevar uzskatīt riskantos aktīvus. Bankas varētu iebilst, norādot, ka šādu aktīvu vērtība ir jāiekļauj, taču pamatojoties uz svērto risku, kurā tās samazina svērtā riska vērtību, tādējādi stimulējot bankas sasniegt regulatīvos rādītājus, izmantojot augsta riska darbības. Tāpēc regulatoriem jābūt īpaši vērīgiem situācijās, kad ieinteresētās personas ierosina noteikumus, kas nesasniedz regulatora politikas mērķi vai kas pārveido regulējumu, novirzot to no vēlamās ietekmes radīšanas.</w:t>
            </w:r>
          </w:p>
        </w:tc>
      </w:tr>
    </w:tbl>
    <w:p w14:paraId="5F430906" w14:textId="77777777" w:rsidR="000A6469" w:rsidRPr="004D11C9" w:rsidRDefault="000A6469" w:rsidP="004D11C9">
      <w:pPr>
        <w:jc w:val="both"/>
        <w:rPr>
          <w:rFonts w:ascii="Times New Roman" w:eastAsia="Arial" w:hAnsi="Times New Roman" w:cs="Arial"/>
          <w:noProof/>
          <w:sz w:val="24"/>
          <w:szCs w:val="19"/>
        </w:rPr>
      </w:pPr>
      <w:bookmarkStart w:id="138" w:name="_bookmark78"/>
      <w:bookmarkEnd w:id="138"/>
    </w:p>
    <w:p w14:paraId="29BE1CEC" w14:textId="6F8ABB09" w:rsidR="000A6469" w:rsidRPr="004D11C9" w:rsidRDefault="00FD3F1E" w:rsidP="00FD3F1E">
      <w:pPr>
        <w:pStyle w:val="Heading4"/>
        <w:tabs>
          <w:tab w:val="left" w:pos="743"/>
        </w:tabs>
        <w:ind w:left="0"/>
        <w:jc w:val="both"/>
        <w:rPr>
          <w:rFonts w:ascii="Times New Roman" w:hAnsi="Times New Roman"/>
          <w:noProof/>
          <w:sz w:val="24"/>
        </w:rPr>
      </w:pPr>
      <w:bookmarkStart w:id="139" w:name="1.3._Benefits"/>
      <w:bookmarkEnd w:id="139"/>
      <w:r>
        <w:rPr>
          <w:rFonts w:ascii="Times New Roman" w:hAnsi="Times New Roman"/>
          <w:sz w:val="24"/>
        </w:rPr>
        <w:t>1.3. Ieguvumi</w:t>
      </w:r>
    </w:p>
    <w:p w14:paraId="7D68593B" w14:textId="77777777" w:rsidR="000A6469" w:rsidRPr="004D11C9" w:rsidRDefault="000A6469" w:rsidP="004D11C9">
      <w:pPr>
        <w:jc w:val="both"/>
        <w:rPr>
          <w:rFonts w:ascii="Times New Roman" w:eastAsia="Arial" w:hAnsi="Times New Roman" w:cs="Arial"/>
          <w:b/>
          <w:bCs/>
          <w:i/>
          <w:noProof/>
          <w:sz w:val="24"/>
          <w:szCs w:val="21"/>
        </w:rPr>
      </w:pPr>
    </w:p>
    <w:p w14:paraId="273421EC"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Kad tiek izskatīti iespējamie politikas risinājumi, jāapsver divu veidu ieguvumi. Pirmais un acīmredzamākais ieguvums ir tiešais ieguvums. Mazāk acīmredzama ietekme ir netiešais ieguvums.</w:t>
      </w:r>
    </w:p>
    <w:p w14:paraId="16062D62" w14:textId="77777777" w:rsidR="000A6469" w:rsidRPr="004D11C9" w:rsidRDefault="000A6469" w:rsidP="004D11C9">
      <w:pPr>
        <w:jc w:val="both"/>
        <w:rPr>
          <w:rFonts w:ascii="Times New Roman" w:eastAsia="Arial" w:hAnsi="Times New Roman" w:cs="Arial"/>
          <w:noProof/>
          <w:sz w:val="24"/>
          <w:szCs w:val="17"/>
        </w:rPr>
      </w:pPr>
    </w:p>
    <w:p w14:paraId="0607C97E" w14:textId="77777777" w:rsidR="000A6469" w:rsidRPr="004D11C9" w:rsidRDefault="000A6469" w:rsidP="004D11C9">
      <w:pPr>
        <w:jc w:val="both"/>
        <w:rPr>
          <w:rFonts w:ascii="Times New Roman" w:hAnsi="Times New Roman"/>
          <w:i/>
          <w:noProof/>
          <w:sz w:val="24"/>
        </w:rPr>
      </w:pPr>
      <w:bookmarkStart w:id="140" w:name="Direct_benefits"/>
      <w:bookmarkEnd w:id="140"/>
      <w:r>
        <w:rPr>
          <w:rFonts w:ascii="Times New Roman" w:hAnsi="Times New Roman"/>
          <w:i/>
          <w:sz w:val="24"/>
        </w:rPr>
        <w:t>Tiešais ieguvums</w:t>
      </w:r>
    </w:p>
    <w:p w14:paraId="73C9A5C9" w14:textId="77777777" w:rsidR="000A6469" w:rsidRPr="004D11C9" w:rsidRDefault="000A6469" w:rsidP="004D11C9">
      <w:pPr>
        <w:jc w:val="both"/>
        <w:rPr>
          <w:rFonts w:ascii="Times New Roman" w:eastAsia="Arial" w:hAnsi="Times New Roman" w:cs="Arial"/>
          <w:i/>
          <w:noProof/>
          <w:sz w:val="24"/>
          <w:szCs w:val="17"/>
        </w:rPr>
      </w:pPr>
    </w:p>
    <w:p w14:paraId="19EA0702"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Tiešie ieguvumi ir tie, kas tieši izriet no politikas. Piemēram, politikai, kuras mērķis ir uzlabot pirmsdzemdību veselību, tiešajai ietekmei ir jābūt pirmsdzemdību veselības aprūpes uzlabošanās. Politikai, kuras mērķis ir samazināt ugunsgrēkus noliktavās, tiešajai ietekmei ir jābūt noliktavu ugunsgrēku radīto zaudējumu apmēra samazināšanās.</w:t>
      </w:r>
    </w:p>
    <w:p w14:paraId="421B9C49" w14:textId="77777777" w:rsidR="000A6469" w:rsidRPr="004D11C9" w:rsidRDefault="000A6469" w:rsidP="004D11C9">
      <w:pPr>
        <w:jc w:val="both"/>
        <w:rPr>
          <w:rFonts w:ascii="Times New Roman" w:eastAsia="Arial" w:hAnsi="Times New Roman" w:cs="Arial"/>
          <w:noProof/>
          <w:sz w:val="24"/>
          <w:szCs w:val="17"/>
        </w:rPr>
      </w:pPr>
    </w:p>
    <w:p w14:paraId="38477E14" w14:textId="77777777" w:rsidR="000A6469" w:rsidRPr="004D11C9" w:rsidRDefault="000A6469" w:rsidP="004D11C9">
      <w:pPr>
        <w:jc w:val="both"/>
        <w:rPr>
          <w:rFonts w:ascii="Times New Roman" w:hAnsi="Times New Roman"/>
          <w:i/>
          <w:noProof/>
          <w:sz w:val="24"/>
        </w:rPr>
      </w:pPr>
      <w:bookmarkStart w:id="141" w:name="Indirect_benefits"/>
      <w:bookmarkEnd w:id="141"/>
      <w:r>
        <w:rPr>
          <w:rFonts w:ascii="Times New Roman" w:hAnsi="Times New Roman"/>
          <w:i/>
          <w:sz w:val="24"/>
        </w:rPr>
        <w:t>Netiešais ieguvums</w:t>
      </w:r>
    </w:p>
    <w:p w14:paraId="29BC8BC6" w14:textId="77777777" w:rsidR="000A6469" w:rsidRPr="004D11C9" w:rsidRDefault="000A6469" w:rsidP="004D11C9">
      <w:pPr>
        <w:jc w:val="both"/>
        <w:rPr>
          <w:rFonts w:ascii="Times New Roman" w:eastAsia="Arial" w:hAnsi="Times New Roman" w:cs="Arial"/>
          <w:i/>
          <w:noProof/>
          <w:sz w:val="24"/>
          <w:szCs w:val="17"/>
        </w:rPr>
      </w:pPr>
    </w:p>
    <w:p w14:paraId="414B01D9"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Daži politikas pasākumi var ietekmēt citu politikas prioritāšu īstenošanu, piemēram, vides uzlabošanu, sociālās labklājības uzlabošanu un mazās uzņēmējdarbības veicināšanu. Daudzu vietējās attīstības projektu netiešo ekonomisko ieguvumu apmērs ir ievērojami lielāks par šo projektu tiešo ietekmi. Piemēram, to rezultātā tiek attīstīta ceļu infrastruktūra un cita infrastruktūra, ko var izmantot arī citi uzņēmumi un iedzīvotāji.</w:t>
      </w:r>
    </w:p>
    <w:p w14:paraId="7592B047" w14:textId="77777777" w:rsidR="000A6469" w:rsidRPr="004D11C9" w:rsidRDefault="000A6469" w:rsidP="004D11C9">
      <w:pPr>
        <w:jc w:val="both"/>
        <w:rPr>
          <w:rFonts w:ascii="Times New Roman" w:eastAsia="Arial" w:hAnsi="Times New Roman" w:cs="Arial"/>
          <w:noProof/>
          <w:sz w:val="24"/>
          <w:szCs w:val="20"/>
        </w:rPr>
      </w:pPr>
    </w:p>
    <w:p w14:paraId="17819AD1"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Daži politikas pasākumi var ietekmēt pakārtotos tirgus no tirgiem, kuros attiecīgie politikas pasākumi tiek īstenoti. Piemēram, politika, kas pazemina elektroenerģijas cenu alumīnija kausētavām, pazeminās cenas pakārtotajos alumīnija izstrādājumu tirgos.</w:t>
      </w:r>
    </w:p>
    <w:p w14:paraId="621D03B0" w14:textId="423FE49C" w:rsidR="000A6469" w:rsidRPr="004D11C9" w:rsidRDefault="000A6469" w:rsidP="004D11C9">
      <w:pPr>
        <w:jc w:val="both"/>
        <w:rPr>
          <w:rFonts w:ascii="Times New Roman" w:eastAsia="Arial" w:hAnsi="Times New Roman" w:cs="Arial"/>
          <w:noProof/>
          <w:sz w:val="24"/>
          <w:szCs w:val="17"/>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FD3F1E" w14:paraId="09376D69" w14:textId="77777777" w:rsidTr="00FD3F1E">
        <w:tc>
          <w:tcPr>
            <w:tcW w:w="9062" w:type="dxa"/>
          </w:tcPr>
          <w:p w14:paraId="0DFBA00B" w14:textId="0CF3C728" w:rsidR="00FD3F1E" w:rsidRPr="00FD3F1E" w:rsidRDefault="00FD3F1E" w:rsidP="00FD3F1E">
            <w:pPr>
              <w:jc w:val="center"/>
              <w:rPr>
                <w:rFonts w:ascii="Times New Roman" w:eastAsia="Arial" w:hAnsi="Times New Roman" w:cs="Arial"/>
                <w:noProof/>
                <w:sz w:val="24"/>
                <w:szCs w:val="20"/>
              </w:rPr>
            </w:pPr>
            <w:r>
              <w:rPr>
                <w:rFonts w:ascii="Times New Roman" w:hAnsi="Times New Roman"/>
                <w:b/>
                <w:sz w:val="24"/>
              </w:rPr>
              <w:t>48. ierāmējums. Netiešo ieguvumu vērtība</w:t>
            </w:r>
          </w:p>
        </w:tc>
      </w:tr>
      <w:tr w:rsidR="00FD3F1E" w14:paraId="2B0FA97C" w14:textId="77777777" w:rsidTr="00FD3F1E">
        <w:tc>
          <w:tcPr>
            <w:tcW w:w="9062" w:type="dxa"/>
          </w:tcPr>
          <w:p w14:paraId="2E6D1D74" w14:textId="5655E5AE" w:rsidR="00FD3F1E" w:rsidRPr="00FD3F1E" w:rsidRDefault="00FD3F1E" w:rsidP="004D11C9">
            <w:pPr>
              <w:jc w:val="both"/>
              <w:rPr>
                <w:rFonts w:ascii="Times New Roman" w:eastAsia="Arial" w:hAnsi="Times New Roman" w:cs="Arial"/>
                <w:noProof/>
                <w:sz w:val="24"/>
                <w:szCs w:val="18"/>
              </w:rPr>
            </w:pPr>
            <w:r>
              <w:rPr>
                <w:rFonts w:ascii="Times New Roman" w:hAnsi="Times New Roman"/>
                <w:sz w:val="24"/>
              </w:rPr>
              <w:t xml:space="preserve">Paredzams, ka </w:t>
            </w:r>
            <w:r>
              <w:rPr>
                <w:rFonts w:ascii="Times New Roman" w:hAnsi="Times New Roman"/>
                <w:i/>
                <w:sz w:val="24"/>
              </w:rPr>
              <w:t>tiešais ieguvums</w:t>
            </w:r>
            <w:r>
              <w:rPr>
                <w:rFonts w:ascii="Times New Roman" w:hAnsi="Times New Roman"/>
                <w:sz w:val="24"/>
              </w:rPr>
              <w:t xml:space="preserve"> no regulējuma, kas samazina ierobežojumus gaisa kravu pārvadājumiem, ļaujot iesaistīties lielākam skaitam piegādātāju, būs kravu apstrādes paātrināšanās un gaisa pārvadājumu izmaksu samazināšanās par 40 %. </w:t>
            </w:r>
            <w:r>
              <w:rPr>
                <w:rFonts w:ascii="Times New Roman" w:hAnsi="Times New Roman"/>
                <w:i/>
                <w:sz w:val="24"/>
              </w:rPr>
              <w:t>Netiešais ieguvums</w:t>
            </w:r>
            <w:r>
              <w:rPr>
                <w:rFonts w:ascii="Times New Roman" w:hAnsi="Times New Roman"/>
                <w:sz w:val="24"/>
              </w:rPr>
              <w:t xml:space="preserve"> var izrietēt no saimnieciskās darbības pieauguma eksporta jomā. Nozares prognozes liecina, ka, pateicoties zemākām gaisa pārvadājumu izmaksām un ātrākai piegādei, eksotisko ziedu produkcijas apjoms četrkāršosies, sasniedzot 58 miljonus ASV dolāru gadā un radot 370 jaunas darba vietas.</w:t>
            </w:r>
          </w:p>
        </w:tc>
      </w:tr>
    </w:tbl>
    <w:p w14:paraId="7F2EADCF" w14:textId="77777777" w:rsidR="000A6469" w:rsidRPr="004D11C9" w:rsidRDefault="000A6469" w:rsidP="004D11C9">
      <w:pPr>
        <w:jc w:val="both"/>
        <w:rPr>
          <w:rFonts w:ascii="Times New Roman" w:eastAsia="Arial" w:hAnsi="Times New Roman" w:cs="Arial"/>
          <w:noProof/>
          <w:sz w:val="24"/>
          <w:szCs w:val="11"/>
        </w:rPr>
      </w:pPr>
      <w:bookmarkStart w:id="142" w:name="_bookmark79"/>
      <w:bookmarkEnd w:id="142"/>
    </w:p>
    <w:p w14:paraId="3CCEE9DE" w14:textId="1EBAAC31" w:rsidR="000A6469" w:rsidRPr="004D11C9" w:rsidRDefault="00FD3F1E" w:rsidP="00121F0E">
      <w:pPr>
        <w:pStyle w:val="Heading4"/>
        <w:keepNext/>
        <w:tabs>
          <w:tab w:val="left" w:pos="743"/>
        </w:tabs>
        <w:ind w:left="0"/>
        <w:rPr>
          <w:rFonts w:ascii="Times New Roman" w:hAnsi="Times New Roman"/>
          <w:noProof/>
          <w:sz w:val="24"/>
        </w:rPr>
      </w:pPr>
      <w:bookmarkStart w:id="143" w:name="1.4._Institutional_capacity"/>
      <w:bookmarkEnd w:id="143"/>
      <w:r>
        <w:rPr>
          <w:rFonts w:ascii="Times New Roman" w:hAnsi="Times New Roman"/>
          <w:sz w:val="24"/>
        </w:rPr>
        <w:lastRenderedPageBreak/>
        <w:t>1.4. Institucionālā kapacitāte</w:t>
      </w:r>
    </w:p>
    <w:p w14:paraId="68EEB34D" w14:textId="77777777" w:rsidR="000A6469" w:rsidRPr="004D11C9" w:rsidRDefault="000A6469" w:rsidP="00121F0E">
      <w:pPr>
        <w:keepNext/>
        <w:jc w:val="both"/>
        <w:rPr>
          <w:rFonts w:ascii="Times New Roman" w:eastAsia="Arial" w:hAnsi="Times New Roman" w:cs="Arial"/>
          <w:b/>
          <w:bCs/>
          <w:i/>
          <w:noProof/>
          <w:sz w:val="24"/>
          <w:szCs w:val="21"/>
        </w:rPr>
      </w:pPr>
    </w:p>
    <w:p w14:paraId="28618005" w14:textId="77777777" w:rsidR="000A6469" w:rsidRPr="004D11C9" w:rsidRDefault="000A6469" w:rsidP="00121F0E">
      <w:pPr>
        <w:pStyle w:val="BodyText"/>
        <w:keepNext/>
        <w:ind w:left="0" w:firstLine="0"/>
        <w:jc w:val="both"/>
        <w:rPr>
          <w:rFonts w:ascii="Times New Roman" w:hAnsi="Times New Roman"/>
          <w:noProof/>
          <w:sz w:val="24"/>
        </w:rPr>
      </w:pPr>
      <w:r>
        <w:rPr>
          <w:rFonts w:ascii="Times New Roman" w:hAnsi="Times New Roman"/>
          <w:sz w:val="24"/>
        </w:rPr>
        <w:t>Ierosināto jauno noteikumu institucionālā vide var būtiski ietekmēt šādu noteikumu mērķa sasniegšanu. Divi īpaši svarīgi faktori, kas ietekmē institucionālo vidi, ir noteikumu izpildes iestāde (ja šāda iestāde ir nepieciešama) un juridiskais ietvars.</w:t>
      </w:r>
    </w:p>
    <w:p w14:paraId="1F34093F" w14:textId="77777777" w:rsidR="000A6469" w:rsidRPr="004D11C9" w:rsidRDefault="000A6469" w:rsidP="004D11C9">
      <w:pPr>
        <w:jc w:val="both"/>
        <w:rPr>
          <w:rFonts w:ascii="Times New Roman" w:eastAsia="Arial" w:hAnsi="Times New Roman" w:cs="Arial"/>
          <w:noProof/>
          <w:sz w:val="24"/>
          <w:szCs w:val="15"/>
        </w:rPr>
      </w:pPr>
    </w:p>
    <w:p w14:paraId="2A537B0C"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Dažkārt noteikumiem ir nepieciešamas augsta līmeņa tehniskās zināšanas, kas nav pieejamas vai arī ir reti sastopamas. Piemēram, tehniskajiem noteikumiem telesakaru jomā var būt nepieciešama ārkārtīgi sarežģīta modelēšana, lai noteiktu piekļuves nosacījumus jauniem dalībniekiem, kas savukārt veicinātu konkurenci. Lai gan modelēšana var būt realizējama, ieguldāmo resursu apjoms vai zināšanas, kas nepieciešamas to īstenošanai, var neattaisnot ieguldījumus, piemēram, ļoti mazās valstīs ar ierobežotu regulatora personālu un nelielu budžetu. Šajā piemērā tehniskā regulējuma novērtēšanā, ko veic ar nolūku veicināt konkurenci, būtu pamatoti izskatīt institucionālos ierobežojumus, kas tiek piemēroti, īstenojot regulatīvo risinājumu, kuram nepieciešama sarežģīta modelēšana.</w:t>
      </w:r>
    </w:p>
    <w:p w14:paraId="5FA447EF" w14:textId="77777777" w:rsidR="000A6469" w:rsidRPr="004D11C9" w:rsidRDefault="000A6469" w:rsidP="004D11C9">
      <w:pPr>
        <w:jc w:val="both"/>
        <w:rPr>
          <w:rFonts w:ascii="Times New Roman" w:eastAsia="Arial" w:hAnsi="Times New Roman" w:cs="Arial"/>
          <w:noProof/>
          <w:sz w:val="24"/>
          <w:szCs w:val="20"/>
        </w:rPr>
      </w:pPr>
    </w:p>
    <w:p w14:paraId="3C688E17"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Regulējuma novērtējumā jāņem vērā arī vispārējā tiesiskā vide, kurā regulējums tiks piemērots. Ja tiesību aktu skaidru un pārredzamu piemērošanu ir iespējams ātri pārsūdzēt, bet ministriju dekrētu un iestāžu piemēroto normu pārsūdzības process ir lēns, par labu var nākt sīki izstrādātu normu iekļaušana tiesiskajā regulējumā, pat ja tādējādi tiek ierobežota regulatora ilgtermiņa rīcības brīvība pielāgot noteikumus, mainoties sociālajam un tehnoloģiskajam kontekstam.</w:t>
      </w:r>
    </w:p>
    <w:p w14:paraId="121FE246" w14:textId="77777777" w:rsidR="000A6469" w:rsidRPr="004D11C9" w:rsidRDefault="000A6469" w:rsidP="004D11C9">
      <w:pPr>
        <w:jc w:val="both"/>
        <w:rPr>
          <w:rFonts w:ascii="Times New Roman" w:eastAsia="Arial" w:hAnsi="Times New Roman" w:cs="Arial"/>
          <w:noProof/>
          <w:sz w:val="24"/>
          <w:szCs w:val="21"/>
        </w:rPr>
      </w:pPr>
    </w:p>
    <w:p w14:paraId="6C3849B4" w14:textId="03478B10" w:rsidR="000A6469" w:rsidRPr="004D11C9" w:rsidRDefault="00FD3F1E" w:rsidP="00FD3F1E">
      <w:pPr>
        <w:pStyle w:val="Heading4"/>
        <w:tabs>
          <w:tab w:val="left" w:pos="743"/>
        </w:tabs>
        <w:ind w:left="0"/>
        <w:rPr>
          <w:rFonts w:ascii="Times New Roman" w:hAnsi="Times New Roman"/>
          <w:noProof/>
          <w:sz w:val="24"/>
        </w:rPr>
      </w:pPr>
      <w:bookmarkStart w:id="144" w:name="1.5._Unintended_consequences"/>
      <w:bookmarkEnd w:id="144"/>
      <w:r>
        <w:rPr>
          <w:rFonts w:ascii="Times New Roman" w:hAnsi="Times New Roman"/>
          <w:sz w:val="24"/>
        </w:rPr>
        <w:t>1.5. Neparedzētas sekas</w:t>
      </w:r>
    </w:p>
    <w:p w14:paraId="46707A06" w14:textId="77777777" w:rsidR="000A6469" w:rsidRPr="004D11C9" w:rsidRDefault="000A6469" w:rsidP="004D11C9">
      <w:pPr>
        <w:jc w:val="both"/>
        <w:rPr>
          <w:rFonts w:ascii="Times New Roman" w:eastAsia="Arial" w:hAnsi="Times New Roman" w:cs="Arial"/>
          <w:b/>
          <w:bCs/>
          <w:i/>
          <w:noProof/>
          <w:sz w:val="24"/>
          <w:szCs w:val="21"/>
        </w:rPr>
      </w:pPr>
    </w:p>
    <w:p w14:paraId="640606ED"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Daudziem noteikumiem ir neparedzētas sekas. Dažkārt neparedzētās sekas var būt pietiekami ievērojamas, lai padarītu politikas pasākumu neefektīvu vai neproduktīvu. Jaunas politikas izstrādē nepieciešama rūpība, lai nodrošinātu, ka neparedzētajām sekām būtu vien otršķirīga ietekme. Viens veids, kā mazināt neparedzētu seku iespējamību, ir pieņemt politikas reformas, kuras ir izmēģinātas citās valstīs un kurās ir ierobežotas neparedzētās sekas.</w:t>
      </w:r>
    </w:p>
    <w:p w14:paraId="5644AEA1" w14:textId="6386C507" w:rsidR="000A6469" w:rsidRPr="004D11C9" w:rsidRDefault="000A6469" w:rsidP="004D11C9">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FD3F1E" w14:paraId="2982D88A" w14:textId="77777777" w:rsidTr="00FD3F1E">
        <w:tc>
          <w:tcPr>
            <w:tcW w:w="9062" w:type="dxa"/>
          </w:tcPr>
          <w:p w14:paraId="277E0B43" w14:textId="2C1C2594" w:rsidR="00FD3F1E" w:rsidRDefault="00FD3F1E" w:rsidP="00FD3F1E">
            <w:pPr>
              <w:jc w:val="center"/>
              <w:rPr>
                <w:rFonts w:ascii="Times New Roman" w:eastAsia="Arial" w:hAnsi="Times New Roman" w:cs="Arial"/>
                <w:noProof/>
                <w:sz w:val="24"/>
                <w:szCs w:val="20"/>
              </w:rPr>
            </w:pPr>
            <w:r>
              <w:rPr>
                <w:rFonts w:ascii="Times New Roman" w:hAnsi="Times New Roman"/>
                <w:b/>
                <w:sz w:val="24"/>
              </w:rPr>
              <w:t>49. ierāmējums. Liftu regulējumā noteikts gala termiņš rada piegādes deficītu</w:t>
            </w:r>
          </w:p>
        </w:tc>
      </w:tr>
      <w:tr w:rsidR="00FD3F1E" w14:paraId="49952584" w14:textId="77777777" w:rsidTr="00FD3F1E">
        <w:tc>
          <w:tcPr>
            <w:tcW w:w="9062" w:type="dxa"/>
          </w:tcPr>
          <w:p w14:paraId="668325E8" w14:textId="77777777" w:rsidR="00582CEC" w:rsidRDefault="00582CEC" w:rsidP="00582CEC">
            <w:pPr>
              <w:jc w:val="both"/>
              <w:rPr>
                <w:rFonts w:ascii="Times New Roman" w:hAnsi="Times New Roman"/>
                <w:noProof/>
                <w:sz w:val="24"/>
              </w:rPr>
            </w:pPr>
            <w:r>
              <w:rPr>
                <w:rFonts w:ascii="Times New Roman" w:hAnsi="Times New Roman"/>
                <w:sz w:val="24"/>
              </w:rPr>
              <w:t>Pēc vairākām liftu avārijām Francijā tika grozīts liftu drošības regulējums un faktiski tika radīta prasība nomainīt liftus ēkās (</w:t>
            </w:r>
            <w:r>
              <w:rPr>
                <w:rFonts w:ascii="Times New Roman" w:hAnsi="Times New Roman"/>
                <w:i/>
                <w:sz w:val="24"/>
              </w:rPr>
              <w:t>Arrêté du 18 novembre 2004</w:t>
            </w:r>
            <w:r>
              <w:rPr>
                <w:rFonts w:ascii="Times New Roman" w:hAnsi="Times New Roman"/>
                <w:sz w:val="24"/>
              </w:rPr>
              <w:t xml:space="preserve">), kurās lifti bija uzstādīti pirms 1982. gada (pat ja tie darbojās labi un droši). Patērētājus pārstāvošā organizācija aprēķināja, ka šis likums izmaksās patērētājiem 6 miljardus eiro. Sākotnēji tika noteikts, ka jauno standartu izpildes termiņš ir 2008. gads, radot ievērojamu spiedienu uz tirgu saistībā ar maiņas liftu uzstādīšanu. </w:t>
            </w:r>
            <w:r>
              <w:rPr>
                <w:rFonts w:ascii="Times New Roman" w:hAnsi="Times New Roman"/>
                <w:i/>
                <w:sz w:val="24"/>
              </w:rPr>
              <w:t>Que Choisir</w:t>
            </w:r>
            <w:r>
              <w:rPr>
                <w:rFonts w:ascii="Times New Roman" w:hAnsi="Times New Roman"/>
                <w:sz w:val="24"/>
              </w:rPr>
              <w:t>, kas ir Francijas patērētājus pārstāvoša organizācija, konstatēja, ka daudzos gadījumos liftu maiņas cenas bija ārkārtīgi augstas. Viens no iespējamajiem iemesliem bija augstais pieprasījums pēc liftu uzstādīšanas pakalpojuma (ko radīja jaunais likums, kas noteica plaša mēroga liftu maiņu) un tas, ka visi uzstādīšanas uzņēmumi strādāja ar pilnu jaudu un tiem nebija savstarpēji jākonkurē par pasūtījumiem. Dažu ēku apsaimniekošanas komitejas norādīja, ka ir bijis neiespējami saņemt vairākus liftu uzstādīšanas piedāvājumus un ka piedāvājums saņemts tikai no viena piegādātāja, kas liecina par to, ka konkurence nebija ļoti agresīva.</w:t>
            </w:r>
          </w:p>
          <w:p w14:paraId="505215B7" w14:textId="77777777" w:rsidR="00582CEC" w:rsidRPr="004D11C9" w:rsidRDefault="00582CEC" w:rsidP="00582CEC">
            <w:pPr>
              <w:jc w:val="both"/>
              <w:rPr>
                <w:rFonts w:ascii="Times New Roman" w:eastAsia="Arial" w:hAnsi="Times New Roman" w:cs="Arial"/>
                <w:noProof/>
                <w:sz w:val="24"/>
                <w:szCs w:val="18"/>
              </w:rPr>
            </w:pPr>
          </w:p>
          <w:p w14:paraId="7817DE8D" w14:textId="77777777" w:rsidR="00582CEC" w:rsidRPr="004D11C9" w:rsidRDefault="00582CEC" w:rsidP="00582CEC">
            <w:pPr>
              <w:jc w:val="both"/>
              <w:rPr>
                <w:rFonts w:ascii="Times New Roman" w:eastAsia="Arial" w:hAnsi="Times New Roman" w:cs="Arial"/>
                <w:noProof/>
                <w:sz w:val="24"/>
                <w:szCs w:val="18"/>
              </w:rPr>
            </w:pPr>
            <w:r>
              <w:rPr>
                <w:rFonts w:ascii="Times New Roman" w:hAnsi="Times New Roman"/>
                <w:sz w:val="24"/>
              </w:rPr>
              <w:t xml:space="preserve">Līdz ar to liftu drošības uzlabošanai paredzētā likuma neparedzētās sekas bija konkurences efektivitātes samazināšanās starp piegādātājiem (un cenu pieaugums), jo liftu uzstādīšanas uzņēmumiem nebija iespējams īsā laika posmā ievērojami palielināt piedāvājumu, tāpēc tie, sagatavojot piedāvājumu, apzinājās, ka viņi būs pilnībā noslogoti ar pasūtījumiem neatkarīgi no tā, vai iegūs konkrēto pasūtījumu. Galu galā termiņi tika pagarināti, lai dotu vairāk laika </w:t>
            </w:r>
            <w:r>
              <w:rPr>
                <w:rFonts w:ascii="Times New Roman" w:hAnsi="Times New Roman"/>
                <w:sz w:val="24"/>
              </w:rPr>
              <w:lastRenderedPageBreak/>
              <w:t>jaunu liftu uzstādīšanai, jo liftu uzņēmumiem pietrūka jaudas izpildīt visus darbus sākotnējā termiņā. Spēkā esošā noteikumu redakcija.</w:t>
            </w:r>
          </w:p>
          <w:p w14:paraId="46C1B598" w14:textId="77777777" w:rsidR="00582CEC" w:rsidRDefault="00582CEC" w:rsidP="00582CEC">
            <w:pPr>
              <w:jc w:val="both"/>
              <w:rPr>
                <w:rFonts w:ascii="Times New Roman" w:hAnsi="Times New Roman"/>
                <w:i/>
                <w:noProof/>
                <w:sz w:val="24"/>
              </w:rPr>
            </w:pPr>
          </w:p>
          <w:p w14:paraId="1BB9FFC0" w14:textId="5A150859" w:rsidR="00FD3F1E" w:rsidRPr="00582CEC" w:rsidRDefault="00582CEC" w:rsidP="004D11C9">
            <w:pPr>
              <w:jc w:val="both"/>
              <w:rPr>
                <w:rFonts w:ascii="Times New Roman" w:eastAsia="Arial" w:hAnsi="Times New Roman" w:cs="Arial"/>
                <w:noProof/>
                <w:sz w:val="24"/>
                <w:szCs w:val="17"/>
              </w:rPr>
            </w:pPr>
            <w:r>
              <w:rPr>
                <w:rFonts w:ascii="Times New Roman" w:hAnsi="Times New Roman"/>
                <w:sz w:val="24"/>
              </w:rPr>
              <w:t>Avoti: Francijas Republikas valdība (2004), Arrêté du 18 novembre 2004 un Que Choisir (2008),</w:t>
            </w:r>
            <w:r>
              <w:rPr>
                <w:rFonts w:ascii="Times New Roman" w:hAnsi="Times New Roman"/>
                <w:sz w:val="24"/>
                <w:u w:val="single"/>
              </w:rPr>
              <w:t>www.quechoisir.org/immobilier-logement/copropriete/communique-copropriete-le-grand-derapage-financier-de-la-renovation-des-ascenseurs</w:t>
            </w:r>
            <w:r>
              <w:rPr>
                <w:rFonts w:ascii="Times New Roman" w:hAnsi="Times New Roman"/>
                <w:sz w:val="24"/>
              </w:rPr>
              <w:t>.</w:t>
            </w:r>
          </w:p>
        </w:tc>
      </w:tr>
    </w:tbl>
    <w:p w14:paraId="0FA8C3E1" w14:textId="77777777" w:rsidR="000A6469" w:rsidRPr="004D11C9" w:rsidRDefault="000A6469" w:rsidP="004D11C9">
      <w:pPr>
        <w:jc w:val="both"/>
        <w:rPr>
          <w:rFonts w:ascii="Times New Roman" w:eastAsia="Arial" w:hAnsi="Times New Roman" w:cs="Arial"/>
          <w:noProof/>
          <w:sz w:val="24"/>
          <w:szCs w:val="14"/>
        </w:rPr>
      </w:pPr>
      <w:bookmarkStart w:id="145" w:name="_bookmark80"/>
      <w:bookmarkEnd w:id="145"/>
    </w:p>
    <w:p w14:paraId="586F3A32"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Neparedzētas sekas var rasties arī par spīti visiem centieniem tās novērst. Tādēļ pēc noteikumu ieviešanas ir svarīgi uzraudzīt to ietekmi un periodiski pārskatīt šos noteikumus. Lai novērstu neparedzētās sekas, šādas pārskatīšanas mērķis var būt veikt regulējumā starpposma grozījumus. Ja regulējuma darbības jomā ietilpstošie uzņēmumi paredz ievērojamas regulējuma izmaiņas, tie var ierobežot savus ieguldījumus. Tāpēc pat neliela pārskatīšana ir jāveic rūpīgi un, ja iespējams, tā ir jāatliek, ja pastāvīga regulējuma pielabošana var atturēt uzņēmumus no ieguldījumu veikšanas kapitāla ietilpīgās nozarēs.</w:t>
      </w:r>
    </w:p>
    <w:p w14:paraId="3E18777E" w14:textId="77777777" w:rsidR="000A6469" w:rsidRPr="004D11C9" w:rsidRDefault="000A6469" w:rsidP="004D11C9">
      <w:pPr>
        <w:jc w:val="both"/>
        <w:rPr>
          <w:rFonts w:ascii="Times New Roman" w:eastAsia="Arial" w:hAnsi="Times New Roman" w:cs="Arial"/>
          <w:noProof/>
          <w:sz w:val="24"/>
          <w:szCs w:val="21"/>
        </w:rPr>
      </w:pPr>
    </w:p>
    <w:p w14:paraId="4BACE2C2" w14:textId="00DAE84A" w:rsidR="000A6469" w:rsidRPr="004D11C9" w:rsidRDefault="00582CEC" w:rsidP="00582CEC">
      <w:pPr>
        <w:pStyle w:val="Heading3"/>
        <w:tabs>
          <w:tab w:val="left" w:pos="558"/>
        </w:tabs>
        <w:ind w:left="0"/>
        <w:rPr>
          <w:rFonts w:ascii="Times New Roman" w:hAnsi="Times New Roman"/>
          <w:noProof/>
          <w:sz w:val="24"/>
        </w:rPr>
      </w:pPr>
      <w:bookmarkStart w:id="146" w:name="2._Qualitative_analysis"/>
      <w:bookmarkStart w:id="147" w:name="_bookmark81"/>
      <w:bookmarkStart w:id="148" w:name="_Toc62650488"/>
      <w:bookmarkEnd w:id="146"/>
      <w:bookmarkEnd w:id="147"/>
      <w:r>
        <w:rPr>
          <w:rFonts w:ascii="Times New Roman" w:hAnsi="Times New Roman"/>
          <w:sz w:val="24"/>
        </w:rPr>
        <w:t>2. Kvalitatīvā analīze</w:t>
      </w:r>
      <w:bookmarkEnd w:id="148"/>
    </w:p>
    <w:p w14:paraId="4283F8FB" w14:textId="77777777" w:rsidR="000A6469" w:rsidRPr="004D11C9" w:rsidRDefault="000A6469" w:rsidP="004D11C9">
      <w:pPr>
        <w:jc w:val="both"/>
        <w:rPr>
          <w:rFonts w:ascii="Times New Roman" w:eastAsia="Arial" w:hAnsi="Times New Roman" w:cs="Arial"/>
          <w:b/>
          <w:bCs/>
          <w:noProof/>
          <w:sz w:val="24"/>
          <w:szCs w:val="21"/>
        </w:rPr>
      </w:pPr>
    </w:p>
    <w:p w14:paraId="5BF37A1E"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Kvalitatīvā analīze ir visizplatītākais alternatīvu novērtēšanas paņēmiens. Iespējami dažādi kvalitatīvās analīzes veidi. Daži no tiem ir apspriesti turpmāk. Sniegtie piemēri ir ilustratīvi un neatspoguļo pilnu iespējamo analīzes veidu sarakstu.</w:t>
      </w:r>
    </w:p>
    <w:p w14:paraId="26A0AEEF" w14:textId="77777777" w:rsidR="000A6469" w:rsidRPr="004D11C9" w:rsidRDefault="000A6469" w:rsidP="004D11C9">
      <w:pPr>
        <w:jc w:val="both"/>
        <w:rPr>
          <w:rFonts w:ascii="Times New Roman" w:eastAsia="Arial" w:hAnsi="Times New Roman" w:cs="Arial"/>
          <w:noProof/>
          <w:sz w:val="24"/>
          <w:szCs w:val="21"/>
        </w:rPr>
      </w:pPr>
    </w:p>
    <w:p w14:paraId="7D63DF16" w14:textId="57E90EB2" w:rsidR="000A6469" w:rsidRPr="004D11C9" w:rsidRDefault="00582CEC" w:rsidP="00582CEC">
      <w:pPr>
        <w:pStyle w:val="Heading4"/>
        <w:tabs>
          <w:tab w:val="left" w:pos="743"/>
        </w:tabs>
        <w:ind w:left="0"/>
        <w:rPr>
          <w:rFonts w:ascii="Times New Roman" w:hAnsi="Times New Roman"/>
          <w:noProof/>
          <w:sz w:val="24"/>
        </w:rPr>
      </w:pPr>
      <w:bookmarkStart w:id="149" w:name="2.1._Argumentation"/>
      <w:bookmarkEnd w:id="149"/>
      <w:r>
        <w:rPr>
          <w:rFonts w:ascii="Times New Roman" w:hAnsi="Times New Roman"/>
          <w:sz w:val="24"/>
        </w:rPr>
        <w:t>2.1. Argumentācija</w:t>
      </w:r>
    </w:p>
    <w:p w14:paraId="7B724E24" w14:textId="77777777" w:rsidR="000A6469" w:rsidRPr="004D11C9" w:rsidRDefault="000A6469" w:rsidP="004D11C9">
      <w:pPr>
        <w:jc w:val="both"/>
        <w:rPr>
          <w:rFonts w:ascii="Times New Roman" w:eastAsia="Arial" w:hAnsi="Times New Roman" w:cs="Arial"/>
          <w:b/>
          <w:bCs/>
          <w:i/>
          <w:noProof/>
          <w:sz w:val="24"/>
          <w:szCs w:val="21"/>
        </w:rPr>
      </w:pPr>
    </w:p>
    <w:p w14:paraId="6B2CC4B8"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Argumentācija, iespējams, ir visizplatītākais kvalitatīvās analīzes veids. Izmantojot “kritisko domāšanu” vai “neformālo loģiku” tam, lai izvēlētos alternatīvas, tiks:</w:t>
      </w:r>
    </w:p>
    <w:p w14:paraId="2F83BA9C" w14:textId="77777777" w:rsidR="000A6469" w:rsidRPr="004D11C9" w:rsidRDefault="000A6469" w:rsidP="004D11C9">
      <w:pPr>
        <w:jc w:val="both"/>
        <w:rPr>
          <w:rFonts w:ascii="Times New Roman" w:eastAsia="Arial" w:hAnsi="Times New Roman" w:cs="Arial"/>
          <w:noProof/>
          <w:sz w:val="24"/>
          <w:szCs w:val="20"/>
        </w:rPr>
      </w:pPr>
    </w:p>
    <w:p w14:paraId="6B9ABE92" w14:textId="77777777" w:rsidR="000A6469" w:rsidRPr="004D11C9" w:rsidRDefault="000A6469" w:rsidP="00582CEC">
      <w:pPr>
        <w:pStyle w:val="BodyText"/>
        <w:numPr>
          <w:ilvl w:val="2"/>
          <w:numId w:val="12"/>
        </w:numPr>
        <w:ind w:left="426" w:hanging="426"/>
        <w:jc w:val="both"/>
        <w:rPr>
          <w:rFonts w:ascii="Times New Roman" w:hAnsi="Times New Roman"/>
          <w:noProof/>
          <w:sz w:val="24"/>
        </w:rPr>
      </w:pPr>
      <w:r>
        <w:rPr>
          <w:rFonts w:ascii="Times New Roman" w:hAnsi="Times New Roman"/>
          <w:sz w:val="24"/>
        </w:rPr>
        <w:t>apvienoti iemesli, pierādījumi un atbilstoši pieņēmumi, lai gūtu secinājumus;</w:t>
      </w:r>
    </w:p>
    <w:p w14:paraId="2E804C72" w14:textId="69C256CA" w:rsidR="000A6469" w:rsidRPr="00582CEC" w:rsidRDefault="000A6469" w:rsidP="00582CEC">
      <w:pPr>
        <w:pStyle w:val="BodyText"/>
        <w:numPr>
          <w:ilvl w:val="2"/>
          <w:numId w:val="12"/>
        </w:numPr>
        <w:ind w:left="426" w:hanging="426"/>
        <w:jc w:val="both"/>
        <w:rPr>
          <w:rFonts w:ascii="Times New Roman" w:hAnsi="Times New Roman"/>
          <w:noProof/>
          <w:sz w:val="24"/>
        </w:rPr>
      </w:pPr>
      <w:r>
        <w:rPr>
          <w:rFonts w:ascii="Times New Roman" w:hAnsi="Times New Roman"/>
          <w:sz w:val="24"/>
        </w:rPr>
        <w:t>ņemta vērā avotu ticamība, lai nepieļautu, ka savtīgiem un neobjektīvajiem argumentiem tiek piešķirta pārmērīgi liela nozīme;</w:t>
      </w:r>
    </w:p>
    <w:p w14:paraId="0B018004" w14:textId="2ECD5738" w:rsidR="000A6469" w:rsidRPr="004D11C9" w:rsidRDefault="000A6469" w:rsidP="00582CEC">
      <w:pPr>
        <w:pStyle w:val="BodyText"/>
        <w:numPr>
          <w:ilvl w:val="0"/>
          <w:numId w:val="11"/>
        </w:numPr>
        <w:tabs>
          <w:tab w:val="left" w:pos="1003"/>
        </w:tabs>
        <w:ind w:left="426" w:hanging="426"/>
        <w:jc w:val="both"/>
        <w:rPr>
          <w:rFonts w:ascii="Times New Roman" w:hAnsi="Times New Roman"/>
          <w:noProof/>
          <w:sz w:val="24"/>
        </w:rPr>
      </w:pPr>
      <w:r>
        <w:rPr>
          <w:rFonts w:ascii="Times New Roman" w:hAnsi="Times New Roman"/>
          <w:sz w:val="24"/>
        </w:rPr>
        <w:t>apkopota informācija, lai pilnveidotu argumentāciju un pārbaudītu ticamās hipotēzes;</w:t>
      </w:r>
    </w:p>
    <w:p w14:paraId="5398E1AF" w14:textId="77777777" w:rsidR="000A6469" w:rsidRPr="004D11C9" w:rsidRDefault="000A6469" w:rsidP="00582CEC">
      <w:pPr>
        <w:pStyle w:val="BodyText"/>
        <w:numPr>
          <w:ilvl w:val="0"/>
          <w:numId w:val="11"/>
        </w:numPr>
        <w:tabs>
          <w:tab w:val="left" w:pos="1003"/>
        </w:tabs>
        <w:ind w:left="426" w:hanging="426"/>
        <w:jc w:val="both"/>
        <w:rPr>
          <w:rFonts w:ascii="Times New Roman" w:hAnsi="Times New Roman"/>
          <w:noProof/>
          <w:sz w:val="24"/>
        </w:rPr>
      </w:pPr>
      <w:r>
        <w:rPr>
          <w:rFonts w:ascii="Times New Roman" w:hAnsi="Times New Roman"/>
          <w:sz w:val="24"/>
        </w:rPr>
        <w:t>apsvērti iespējamie iebildumi pret secinājumiem un sagatavotas atbilstošas atbildes, un</w:t>
      </w:r>
    </w:p>
    <w:p w14:paraId="2B16D450" w14:textId="24707CFE" w:rsidR="000A6469" w:rsidRPr="004D11C9" w:rsidRDefault="000A6469" w:rsidP="00582CEC">
      <w:pPr>
        <w:pStyle w:val="BodyText"/>
        <w:numPr>
          <w:ilvl w:val="0"/>
          <w:numId w:val="11"/>
        </w:numPr>
        <w:tabs>
          <w:tab w:val="left" w:pos="1003"/>
        </w:tabs>
        <w:ind w:left="426" w:hanging="426"/>
        <w:jc w:val="both"/>
        <w:rPr>
          <w:rFonts w:ascii="Times New Roman" w:hAnsi="Times New Roman"/>
          <w:noProof/>
          <w:sz w:val="24"/>
        </w:rPr>
      </w:pPr>
      <w:r>
        <w:rPr>
          <w:rFonts w:ascii="Times New Roman" w:hAnsi="Times New Roman"/>
          <w:sz w:val="24"/>
        </w:rPr>
        <w:t>novērtēta argumentu kvalitāte par alternatīvo politikas pasākumu priekšrocībām un trūkumiem.</w:t>
      </w:r>
    </w:p>
    <w:p w14:paraId="25DBBD75" w14:textId="77777777" w:rsidR="000A6469" w:rsidRPr="004D11C9" w:rsidRDefault="000A6469" w:rsidP="004D11C9">
      <w:pPr>
        <w:jc w:val="both"/>
        <w:rPr>
          <w:rFonts w:ascii="Times New Roman" w:eastAsia="Arial" w:hAnsi="Times New Roman" w:cs="Arial"/>
          <w:noProof/>
          <w:sz w:val="24"/>
          <w:szCs w:val="21"/>
        </w:rPr>
      </w:pPr>
    </w:p>
    <w:p w14:paraId="79FFF469"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Piemēri par argumentu izmantošanu alternatīvu salīdzināšanai atrodama 2. sējuma “Norādījumi par konkurences novērtēšanas metodisko līdzekli” B pielikumā.</w:t>
      </w:r>
    </w:p>
    <w:p w14:paraId="6B506836" w14:textId="77777777" w:rsidR="000A6469" w:rsidRPr="004D11C9" w:rsidRDefault="000A6469" w:rsidP="004D11C9">
      <w:pPr>
        <w:jc w:val="both"/>
        <w:rPr>
          <w:rFonts w:ascii="Times New Roman" w:eastAsia="Arial" w:hAnsi="Times New Roman" w:cs="Arial"/>
          <w:noProof/>
          <w:sz w:val="24"/>
          <w:szCs w:val="20"/>
        </w:rPr>
      </w:pPr>
    </w:p>
    <w:p w14:paraId="06BADA6E" w14:textId="015BE74B"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Argumentācijas paņēmiena piemērošanu sāk, raksturojot vispārējo situāciju, tostarp norādot pašreizējo priekšlikumu izstrādes iemeslus un aprakstot pastāvošo </w:t>
      </w:r>
      <w:r w:rsidR="00E02979">
        <w:rPr>
          <w:rFonts w:ascii="Times New Roman" w:hAnsi="Times New Roman"/>
          <w:sz w:val="24"/>
        </w:rPr>
        <w:t>regulatīvo</w:t>
      </w:r>
      <w:r>
        <w:rPr>
          <w:rFonts w:ascii="Times New Roman" w:hAnsi="Times New Roman"/>
          <w:sz w:val="24"/>
        </w:rPr>
        <w:t xml:space="preserve"> vidi. Pēc tam analīzē norāda politikas mērķus un izklāsta alternatīvas. Katrs iespējamais risinājums tiek analizēts, ņemot vērā tā stiprās un vājās puses, izmantojot visus pieejamos pierādījumus un identificējot pieņēmumus, it īpaši, ja pieņēmumus var apšaubīt. Visbeidzot, tiek pieņemts vērtību spriedums par to, kurš iespējamais risinājums ir visspēcīgākais, izsverot iespējamo risinājumu analīzi un izskatot pierādījumus un pamatojumu katra risinājuma atbalstam.</w:t>
      </w:r>
    </w:p>
    <w:p w14:paraId="495A5659" w14:textId="77777777" w:rsidR="000A6469" w:rsidRPr="004D11C9" w:rsidRDefault="000A6469" w:rsidP="004D11C9">
      <w:pPr>
        <w:jc w:val="both"/>
        <w:rPr>
          <w:rFonts w:ascii="Times New Roman" w:eastAsia="Arial" w:hAnsi="Times New Roman" w:cs="Arial"/>
          <w:noProof/>
          <w:sz w:val="24"/>
          <w:szCs w:val="21"/>
        </w:rPr>
      </w:pPr>
    </w:p>
    <w:p w14:paraId="29AF6A80" w14:textId="656B5AFC" w:rsidR="000A6469" w:rsidRPr="004D11C9" w:rsidRDefault="00582CEC" w:rsidP="00582CEC">
      <w:pPr>
        <w:pStyle w:val="Heading4"/>
        <w:tabs>
          <w:tab w:val="left" w:pos="583"/>
        </w:tabs>
        <w:ind w:left="0"/>
        <w:rPr>
          <w:rFonts w:ascii="Times New Roman" w:hAnsi="Times New Roman"/>
          <w:noProof/>
          <w:sz w:val="24"/>
        </w:rPr>
      </w:pPr>
      <w:bookmarkStart w:id="150" w:name="2.2._Comparison_of_pros_and_cons_in_a_li"/>
      <w:bookmarkEnd w:id="150"/>
      <w:r>
        <w:rPr>
          <w:rFonts w:ascii="Times New Roman" w:hAnsi="Times New Roman"/>
          <w:sz w:val="24"/>
        </w:rPr>
        <w:t>2.2. Priekšrocību un trūkumu salīdzināšana sarakstā</w:t>
      </w:r>
    </w:p>
    <w:p w14:paraId="499585FE" w14:textId="77777777" w:rsidR="000A6469" w:rsidRPr="004D11C9" w:rsidRDefault="000A6469" w:rsidP="004D11C9">
      <w:pPr>
        <w:jc w:val="both"/>
        <w:rPr>
          <w:rFonts w:ascii="Times New Roman" w:eastAsia="Arial" w:hAnsi="Times New Roman" w:cs="Arial"/>
          <w:b/>
          <w:bCs/>
          <w:i/>
          <w:noProof/>
          <w:sz w:val="24"/>
          <w:szCs w:val="21"/>
        </w:rPr>
      </w:pPr>
    </w:p>
    <w:p w14:paraId="084244C8"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Viens alternatīvs veids, kā salīdzināt pamatargumentāciju, ir noteikt viena regulējuma priekšrocības un trūkumus salīdzinājumā ar bāzes scenāriju (kas varētu būt alternatīvs priekšlikums vai pastāvošais stāvoklis). Pēc tam priekšrocības un trūkumus var salīdzināt vienu </w:t>
      </w:r>
      <w:r>
        <w:rPr>
          <w:rFonts w:ascii="Times New Roman" w:hAnsi="Times New Roman"/>
          <w:sz w:val="24"/>
        </w:rPr>
        <w:lastRenderedPageBreak/>
        <w:t>ar otru, lai atrastu līdzsvarojošo ekvivalenci. Piemēram, viena priekšrocība var līdzsvarot vienu vai vairākus trūkumus. Pēc tam, kad politikas priekšrocības ir izsvērtas pret politikas trūkumiem salīdzinājumā ar alternatīvu risinājumu un konstatēts, ka priekšrocības pārsniedz trūkumus, pārbaudes veicējs izvēlas attiecīgo politikas pasākumu, bet, ja trūkumi pārsniedz priekšrocības, tad pārbaudes veicējs izvēlas alternatīvu. Ja tiek salīdzināti vairāk nekā divi politikas pasākumi, divpusējo salīdzināšanu var atkārtot, pēc tam šā salīdzinājuma uzvarētāju salīdzinot ar citu politikas risinājumu, līdz tādējādi tiek noteikts viens galīgais uzvarētājs.</w:t>
      </w:r>
    </w:p>
    <w:p w14:paraId="71556885" w14:textId="77777777" w:rsidR="000A6469" w:rsidRPr="004D11C9" w:rsidRDefault="000A6469" w:rsidP="004D11C9">
      <w:pPr>
        <w:jc w:val="both"/>
        <w:rPr>
          <w:rFonts w:ascii="Times New Roman" w:eastAsia="Arial" w:hAnsi="Times New Roman" w:cs="Arial"/>
          <w:noProof/>
          <w:sz w:val="24"/>
          <w:szCs w:val="20"/>
        </w:rPr>
      </w:pPr>
    </w:p>
    <w:p w14:paraId="7497BB89"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Priekšrocību un trūkumu savstarpēja līdzsvarošana ir īpaši pakļauta kritikai par patvaļīgu pieņēmumu izvirzīšanu. Tomēr tās priekšrocība ir pārredzamība un strukturētība.</w:t>
      </w:r>
    </w:p>
    <w:p w14:paraId="155DBB67" w14:textId="1BE3C4D9" w:rsidR="00867DDD" w:rsidRDefault="00867DDD" w:rsidP="004D11C9">
      <w:pPr>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582CEC" w14:paraId="32DC5BA5" w14:textId="77777777" w:rsidTr="00582CEC">
        <w:tc>
          <w:tcPr>
            <w:tcW w:w="9062" w:type="dxa"/>
          </w:tcPr>
          <w:p w14:paraId="1A5B125E" w14:textId="148494CC" w:rsidR="00582CEC" w:rsidRPr="00582CEC" w:rsidRDefault="00582CEC" w:rsidP="00582CEC">
            <w:pPr>
              <w:jc w:val="center"/>
              <w:rPr>
                <w:rFonts w:ascii="Times New Roman" w:hAnsi="Times New Roman"/>
                <w:b/>
                <w:noProof/>
                <w:sz w:val="24"/>
              </w:rPr>
            </w:pPr>
            <w:r>
              <w:rPr>
                <w:rFonts w:ascii="Times New Roman" w:hAnsi="Times New Roman"/>
                <w:b/>
                <w:sz w:val="24"/>
              </w:rPr>
              <w:t>50. ierāmējums. Priekšrocību un trūkumu izsvēršana. Asfalta rūpnīcas piemērs</w:t>
            </w:r>
          </w:p>
        </w:tc>
      </w:tr>
      <w:tr w:rsidR="00582CEC" w14:paraId="0A5D97CE" w14:textId="77777777" w:rsidTr="00582CEC">
        <w:tc>
          <w:tcPr>
            <w:tcW w:w="9062" w:type="dxa"/>
          </w:tcPr>
          <w:p w14:paraId="1986699A" w14:textId="77777777" w:rsidR="00582CEC" w:rsidRDefault="00582CEC" w:rsidP="00582CEC">
            <w:pPr>
              <w:jc w:val="both"/>
              <w:rPr>
                <w:rFonts w:ascii="Times New Roman" w:hAnsi="Times New Roman"/>
                <w:noProof/>
                <w:sz w:val="24"/>
              </w:rPr>
            </w:pPr>
            <w:r>
              <w:rPr>
                <w:rFonts w:ascii="Times New Roman" w:hAnsi="Times New Roman"/>
                <w:sz w:val="24"/>
              </w:rPr>
              <w:t>Pieņemsim, ka ir spēkā noteikumi, kas regulē asfalta rūpnīcas un to darbību, tostarp nosaka asfalta rūpnīcu minimālo izmēru. Viens no iemesliem, ar ko tiek pamatota izmēra ierobežojumu noteikšana, ir tas, ka regulējošā ministrija uzskata, ka mazus uzņēmumus būs grūti regulēt un ka tie būs neefektīvāki kā lielie uzņēmumi. Regulējumā noteiktais minimālais izmērs faktiski ir diezgan liels un, šķiet, kavē jaunu rūpnīcu parādīšanos tirgū, jo noteiktā lielizmēra ienākšana būtu rentabla vienīgi tad, ja no tirgū esošajiem uzņēmumiem tiktu tūlītēji pārņemta liela tirgus daļa.</w:t>
            </w:r>
          </w:p>
          <w:p w14:paraId="548DFEB4" w14:textId="77777777" w:rsidR="00582CEC" w:rsidRPr="004D11C9" w:rsidRDefault="00582CEC" w:rsidP="00582CEC">
            <w:pPr>
              <w:jc w:val="both"/>
              <w:rPr>
                <w:rFonts w:ascii="Times New Roman" w:hAnsi="Times New Roman"/>
                <w:noProof/>
                <w:sz w:val="24"/>
              </w:rPr>
            </w:pPr>
          </w:p>
          <w:p w14:paraId="66711D59" w14:textId="77777777" w:rsidR="00582CEC" w:rsidRPr="004D11C9" w:rsidRDefault="00582CEC" w:rsidP="00582CEC">
            <w:pPr>
              <w:jc w:val="both"/>
              <w:rPr>
                <w:rFonts w:ascii="Times New Roman" w:hAnsi="Times New Roman"/>
                <w:noProof/>
                <w:sz w:val="24"/>
              </w:rPr>
            </w:pPr>
            <w:r>
              <w:rPr>
                <w:rFonts w:ascii="Times New Roman" w:hAnsi="Times New Roman"/>
                <w:sz w:val="24"/>
              </w:rPr>
              <w:t>Var identificēt un uzskaitīt priekšrocības un trūkumus, ko radītu pāreja uz regulējumu, kurš nenosaka šādus izmēra ierobežojumus. Pēc tam tos var izsvērt vienu pret otru, lai noteiktu ieteicamo politikas risinājumu. Turpmāk izklāstītajā piemērā pārbaudes veicējs konstatēja, ka, pieļaujot asfalta rūpnīcu lielāku ģeogrāfisko izplatību, tiek panākts, ka asfalts kļūst pieejamāks tuvāk tā izmantošanas vietām, un tas tika atzīts par aptuveni līdzvērtīgu trūkumam, ka šādā gadījumā regulatoriem būtu jāapmeklē vairāk ražotņu. Pēc tam pārbaudes veicējs var konstatēt, ka plašāka vides ietekmes ģeogrāfiskā izkliede (kas uzskatāma par priekšrocību, jo novērš koncentrētu piesārņojuma punktu veidošanos) kompensētu divus trūkumus – pirmkārt, mazie uzņēmumi varētu nedarboties ar tādu pašu rūpību kā lielie uzņēmumi, kas tika uzskatīts par mazāku risku, jo inspektori apmeklētu mazos uzņēmumus un piemērotu attiecībā uz tiem tādus pašus noteikumus kā attiecībā uz lielajiem uzņēmumiem, un, otrkārt, palielinātos vietējo iestāžu noslogojums, jo tām būtu jāizskata vairāk pārskatu par ietekmi uz vidi. Līdz ar to šajā gadījumā nebija tādu trūkumu, kas neitralizētu priekšrocības, un tas nozīmē, ka priekšrocības pārsniedza trūkumus.</w:t>
            </w:r>
          </w:p>
          <w:p w14:paraId="18920973" w14:textId="77777777" w:rsidR="00582CEC" w:rsidRDefault="00582CEC" w:rsidP="00582CEC">
            <w:pPr>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4499"/>
              <w:gridCol w:w="4497"/>
            </w:tblGrid>
            <w:tr w:rsidR="00582CEC" w14:paraId="40722138" w14:textId="77777777" w:rsidTr="000F3534">
              <w:tc>
                <w:tcPr>
                  <w:tcW w:w="4531" w:type="dxa"/>
                </w:tcPr>
                <w:p w14:paraId="35812E8F" w14:textId="77777777" w:rsidR="00582CEC" w:rsidRDefault="00582CEC" w:rsidP="00582CEC">
                  <w:pPr>
                    <w:jc w:val="center"/>
                    <w:rPr>
                      <w:rFonts w:ascii="Times New Roman" w:hAnsi="Times New Roman"/>
                      <w:noProof/>
                      <w:sz w:val="24"/>
                    </w:rPr>
                  </w:pPr>
                  <w:r>
                    <w:rPr>
                      <w:rFonts w:ascii="Times New Roman" w:hAnsi="Times New Roman"/>
                      <w:b/>
                      <w:sz w:val="24"/>
                    </w:rPr>
                    <w:t>Priekšrocības</w:t>
                  </w:r>
                </w:p>
              </w:tc>
              <w:tc>
                <w:tcPr>
                  <w:tcW w:w="4531" w:type="dxa"/>
                </w:tcPr>
                <w:p w14:paraId="37E3FD1D" w14:textId="77777777" w:rsidR="00582CEC" w:rsidRDefault="00582CEC" w:rsidP="00582CEC">
                  <w:pPr>
                    <w:jc w:val="center"/>
                    <w:rPr>
                      <w:rFonts w:ascii="Times New Roman" w:hAnsi="Times New Roman"/>
                      <w:noProof/>
                      <w:sz w:val="24"/>
                    </w:rPr>
                  </w:pPr>
                  <w:r>
                    <w:rPr>
                      <w:rFonts w:ascii="Times New Roman" w:hAnsi="Times New Roman"/>
                      <w:b/>
                      <w:sz w:val="24"/>
                    </w:rPr>
                    <w:t>Trūkumi</w:t>
                  </w:r>
                </w:p>
              </w:tc>
            </w:tr>
            <w:tr w:rsidR="00582CEC" w14:paraId="4F2693A7" w14:textId="77777777" w:rsidTr="000F3534">
              <w:tc>
                <w:tcPr>
                  <w:tcW w:w="4531" w:type="dxa"/>
                </w:tcPr>
                <w:p w14:paraId="75713975" w14:textId="77777777" w:rsidR="00582CEC" w:rsidRPr="00582CEC" w:rsidRDefault="00582CEC" w:rsidP="00582CEC">
                  <w:pPr>
                    <w:numPr>
                      <w:ilvl w:val="0"/>
                      <w:numId w:val="10"/>
                    </w:numPr>
                    <w:tabs>
                      <w:tab w:val="left" w:pos="400"/>
                    </w:tabs>
                    <w:ind w:left="0" w:firstLine="0"/>
                    <w:jc w:val="both"/>
                    <w:rPr>
                      <w:rFonts w:ascii="Times New Roman" w:hAnsi="Times New Roman"/>
                      <w:noProof/>
                      <w:sz w:val="24"/>
                    </w:rPr>
                  </w:pPr>
                  <w:r>
                    <w:rPr>
                      <w:rFonts w:ascii="Times New Roman" w:hAnsi="Times New Roman"/>
                      <w:sz w:val="24"/>
                    </w:rPr>
                    <w:t>Atļauj mazām asfalta rūpnīcām ienākt tirgū, radot lielāku konkurenci svarīga celtniecības materiāla nodrošināšanas jomā</w:t>
                  </w:r>
                </w:p>
                <w:p w14:paraId="13B62EB9" w14:textId="70327EAC" w:rsidR="00582CEC" w:rsidRPr="00121F0E" w:rsidRDefault="009D678F" w:rsidP="00582CEC">
                  <w:pPr>
                    <w:numPr>
                      <w:ilvl w:val="0"/>
                      <w:numId w:val="10"/>
                    </w:numPr>
                    <w:tabs>
                      <w:tab w:val="left" w:pos="400"/>
                    </w:tabs>
                    <w:ind w:left="0" w:firstLine="0"/>
                    <w:jc w:val="both"/>
                    <w:rPr>
                      <w:rFonts w:ascii="Times New Roman" w:hAnsi="Times New Roman"/>
                      <w:noProof/>
                      <w:sz w:val="24"/>
                    </w:rPr>
                  </w:pPr>
                  <w:r>
                    <w:rPr>
                      <w:rFonts w:ascii="Times New Roman" w:hAnsi="Times New Roman"/>
                      <w:noProof/>
                      <w:sz w:val="24"/>
                    </w:rPr>
                    <mc:AlternateContent>
                      <mc:Choice Requires="wps">
                        <w:drawing>
                          <wp:anchor distT="0" distB="0" distL="114300" distR="114300" simplePos="0" relativeHeight="251702272" behindDoc="0" locked="0" layoutInCell="1" allowOverlap="1" wp14:anchorId="3323BCF8" wp14:editId="15FF1F25">
                            <wp:simplePos x="0" y="0"/>
                            <wp:positionH relativeFrom="column">
                              <wp:posOffset>192405</wp:posOffset>
                            </wp:positionH>
                            <wp:positionV relativeFrom="paragraph">
                              <wp:posOffset>93345</wp:posOffset>
                            </wp:positionV>
                            <wp:extent cx="2495550" cy="40005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2495550"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264702" id="Straight Connector 23"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5.15pt,7.35pt" to="211.6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" strokecolor="#4579b8 [3044]"/>
                        </w:pict>
                      </mc:Fallback>
                    </mc:AlternateContent>
                  </w:r>
                  <w:r w:rsidR="00582CEC" w:rsidRPr="00121F0E">
                    <w:rPr>
                      <w:rFonts w:ascii="Times New Roman" w:hAnsi="Times New Roman"/>
                      <w:sz w:val="24"/>
                    </w:rPr>
                    <w:t>Nodrošina lielāku asfalta rūpnīcu ģeogrāfisko izplatību, kas var atrasties tuvāk asfalta izmantošanas vietām</w:t>
                  </w:r>
                </w:p>
                <w:p w14:paraId="4F2B345E" w14:textId="5C7F32D5" w:rsidR="00582CEC" w:rsidRPr="00582CEC" w:rsidRDefault="009D678F" w:rsidP="00582CEC">
                  <w:pPr>
                    <w:numPr>
                      <w:ilvl w:val="0"/>
                      <w:numId w:val="10"/>
                    </w:numPr>
                    <w:tabs>
                      <w:tab w:val="left" w:pos="400"/>
                    </w:tabs>
                    <w:ind w:left="0" w:firstLine="0"/>
                    <w:jc w:val="both"/>
                    <w:rPr>
                      <w:rFonts w:ascii="Times New Roman" w:hAnsi="Times New Roman"/>
                      <w:noProof/>
                      <w:sz w:val="24"/>
                    </w:rPr>
                  </w:pPr>
                  <w:r>
                    <w:rPr>
                      <w:rFonts w:ascii="Times New Roman" w:hAnsi="Times New Roman"/>
                      <w:noProof/>
                      <w:sz w:val="24"/>
                    </w:rPr>
                    <mc:AlternateContent>
                      <mc:Choice Requires="wps">
                        <w:drawing>
                          <wp:anchor distT="0" distB="0" distL="114300" distR="114300" simplePos="0" relativeHeight="251704320" behindDoc="0" locked="0" layoutInCell="1" allowOverlap="1" wp14:anchorId="378DDD48" wp14:editId="4F1B629C">
                            <wp:simplePos x="0" y="0"/>
                            <wp:positionH relativeFrom="column">
                              <wp:posOffset>196850</wp:posOffset>
                            </wp:positionH>
                            <wp:positionV relativeFrom="paragraph">
                              <wp:posOffset>12700</wp:posOffset>
                            </wp:positionV>
                            <wp:extent cx="2495550" cy="40005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2495550"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936EDB" id="Straight Connector 24"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5.5pt,1pt" to="21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" strokecolor="#4579b8 [3044]"/>
                        </w:pict>
                      </mc:Fallback>
                    </mc:AlternateContent>
                  </w:r>
                  <w:r w:rsidR="00582CEC" w:rsidRPr="00121F0E">
                    <w:rPr>
                      <w:rFonts w:ascii="Times New Roman" w:hAnsi="Times New Roman"/>
                      <w:sz w:val="24"/>
                    </w:rPr>
                    <w:t>Vienmērīgāk izkliedēta ietekme uz vidi</w:t>
                  </w:r>
                </w:p>
              </w:tc>
              <w:tc>
                <w:tcPr>
                  <w:tcW w:w="4531" w:type="dxa"/>
                </w:tcPr>
                <w:p w14:paraId="792BAC52" w14:textId="77777777" w:rsidR="00582CEC" w:rsidRDefault="00582CEC" w:rsidP="00582CEC">
                  <w:pPr>
                    <w:tabs>
                      <w:tab w:val="left" w:pos="326"/>
                    </w:tabs>
                    <w:jc w:val="both"/>
                    <w:rPr>
                      <w:rFonts w:ascii="Times New Roman" w:hAnsi="Times New Roman"/>
                      <w:noProof/>
                      <w:sz w:val="24"/>
                    </w:rPr>
                  </w:pPr>
                </w:p>
                <w:p w14:paraId="660EDA98" w14:textId="77777777" w:rsidR="00582CEC" w:rsidRDefault="00582CEC" w:rsidP="00582CEC">
                  <w:pPr>
                    <w:tabs>
                      <w:tab w:val="left" w:pos="326"/>
                    </w:tabs>
                    <w:jc w:val="both"/>
                    <w:rPr>
                      <w:rFonts w:ascii="Times New Roman" w:hAnsi="Times New Roman"/>
                      <w:noProof/>
                      <w:sz w:val="24"/>
                    </w:rPr>
                  </w:pPr>
                </w:p>
                <w:p w14:paraId="7FBE1567" w14:textId="1B4917DD" w:rsidR="00582CEC" w:rsidRDefault="00582CEC" w:rsidP="00582CEC">
                  <w:pPr>
                    <w:tabs>
                      <w:tab w:val="left" w:pos="326"/>
                    </w:tabs>
                    <w:jc w:val="both"/>
                    <w:rPr>
                      <w:rFonts w:ascii="Times New Roman" w:hAnsi="Times New Roman"/>
                      <w:noProof/>
                      <w:sz w:val="24"/>
                    </w:rPr>
                  </w:pPr>
                </w:p>
                <w:p w14:paraId="4784C6BA" w14:textId="4028CEED" w:rsidR="00582CEC" w:rsidRPr="004D11C9" w:rsidRDefault="009D678F" w:rsidP="00582CEC">
                  <w:pPr>
                    <w:numPr>
                      <w:ilvl w:val="0"/>
                      <w:numId w:val="9"/>
                    </w:numPr>
                    <w:tabs>
                      <w:tab w:val="left" w:pos="326"/>
                    </w:tabs>
                    <w:ind w:left="0" w:firstLine="0"/>
                    <w:jc w:val="both"/>
                    <w:rPr>
                      <w:rFonts w:ascii="Times New Roman" w:hAnsi="Times New Roman"/>
                      <w:noProof/>
                      <w:sz w:val="24"/>
                    </w:rPr>
                  </w:pPr>
                  <w:r>
                    <w:rPr>
                      <w:rFonts w:ascii="Times New Roman" w:hAnsi="Times New Roman"/>
                      <w:noProof/>
                      <w:sz w:val="24"/>
                    </w:rPr>
                    <mc:AlternateContent>
                      <mc:Choice Requires="wps">
                        <w:drawing>
                          <wp:anchor distT="0" distB="0" distL="114300" distR="114300" simplePos="0" relativeHeight="251708416" behindDoc="0" locked="0" layoutInCell="1" allowOverlap="1" wp14:anchorId="2C100186" wp14:editId="2584F751">
                            <wp:simplePos x="0" y="0"/>
                            <wp:positionH relativeFrom="column">
                              <wp:posOffset>135889</wp:posOffset>
                            </wp:positionH>
                            <wp:positionV relativeFrom="paragraph">
                              <wp:posOffset>17145</wp:posOffset>
                            </wp:positionV>
                            <wp:extent cx="2657475" cy="276225"/>
                            <wp:effectExtent l="0" t="0" r="28575" b="28575"/>
                            <wp:wrapNone/>
                            <wp:docPr id="26" name="Straight Connector 26"/>
                            <wp:cNvGraphicFramePr/>
                            <a:graphic xmlns:a="http://schemas.openxmlformats.org/drawingml/2006/main">
                              <a:graphicData uri="http://schemas.microsoft.com/office/word/2010/wordprocessingShape">
                                <wps:wsp>
                                  <wps:cNvCnPr/>
                                  <wps:spPr>
                                    <a:xfrm>
                                      <a:off x="0" y="0"/>
                                      <a:ext cx="2657475" cy="276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A898B6" id="Straight Connector 26"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pt,1.35pt" to="219.9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" strokecolor="#4579b8 [3044]"/>
                        </w:pict>
                      </mc:Fallback>
                    </mc:AlternateContent>
                  </w:r>
                  <w:r w:rsidR="00582CEC">
                    <w:rPr>
                      <w:rFonts w:ascii="Times New Roman" w:hAnsi="Times New Roman"/>
                      <w:sz w:val="24"/>
                    </w:rPr>
                    <w:t>Regulatoram būs jāapmeklē vairāk ražotņu</w:t>
                  </w:r>
                </w:p>
                <w:p w14:paraId="7828A74C" w14:textId="77777777" w:rsidR="00582CEC" w:rsidRDefault="00582CEC" w:rsidP="00582CEC">
                  <w:pPr>
                    <w:tabs>
                      <w:tab w:val="left" w:pos="326"/>
                    </w:tabs>
                    <w:jc w:val="both"/>
                    <w:rPr>
                      <w:rFonts w:ascii="Times New Roman" w:hAnsi="Times New Roman"/>
                      <w:noProof/>
                      <w:sz w:val="24"/>
                    </w:rPr>
                  </w:pPr>
                </w:p>
                <w:p w14:paraId="4BC89979" w14:textId="79FF2CB0" w:rsidR="00582CEC" w:rsidRPr="004D11C9" w:rsidRDefault="009D678F" w:rsidP="00582CEC">
                  <w:pPr>
                    <w:numPr>
                      <w:ilvl w:val="0"/>
                      <w:numId w:val="9"/>
                    </w:numPr>
                    <w:tabs>
                      <w:tab w:val="left" w:pos="326"/>
                    </w:tabs>
                    <w:ind w:left="0" w:firstLine="0"/>
                    <w:jc w:val="both"/>
                    <w:rPr>
                      <w:rFonts w:ascii="Times New Roman" w:hAnsi="Times New Roman"/>
                      <w:noProof/>
                      <w:sz w:val="24"/>
                    </w:rPr>
                  </w:pPr>
                  <w:r>
                    <w:rPr>
                      <w:rFonts w:ascii="Times New Roman" w:hAnsi="Times New Roman"/>
                      <w:noProof/>
                      <w:sz w:val="24"/>
                    </w:rPr>
                    <mc:AlternateContent>
                      <mc:Choice Requires="wps">
                        <w:drawing>
                          <wp:anchor distT="0" distB="0" distL="114300" distR="114300" simplePos="0" relativeHeight="251706368" behindDoc="0" locked="0" layoutInCell="1" allowOverlap="1" wp14:anchorId="78C321F5" wp14:editId="06CF5273">
                            <wp:simplePos x="0" y="0"/>
                            <wp:positionH relativeFrom="column">
                              <wp:posOffset>69215</wp:posOffset>
                            </wp:positionH>
                            <wp:positionV relativeFrom="paragraph">
                              <wp:posOffset>66674</wp:posOffset>
                            </wp:positionV>
                            <wp:extent cx="2647950" cy="581025"/>
                            <wp:effectExtent l="0" t="0" r="19050" b="28575"/>
                            <wp:wrapNone/>
                            <wp:docPr id="25" name="Straight Connector 25"/>
                            <wp:cNvGraphicFramePr/>
                            <a:graphic xmlns:a="http://schemas.openxmlformats.org/drawingml/2006/main">
                              <a:graphicData uri="http://schemas.microsoft.com/office/word/2010/wordprocessingShape">
                                <wps:wsp>
                                  <wps:cNvCnPr/>
                                  <wps:spPr>
                                    <a:xfrm>
                                      <a:off x="0" y="0"/>
                                      <a:ext cx="2647950" cy="581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E43A1C" id="Straight Connector 25"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5.25pt" to="213.9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" strokecolor="#4579b8 [3044]"/>
                        </w:pict>
                      </mc:Fallback>
                    </mc:AlternateContent>
                  </w:r>
                  <w:r w:rsidR="00582CEC">
                    <w:rPr>
                      <w:rFonts w:ascii="Times New Roman" w:hAnsi="Times New Roman"/>
                      <w:sz w:val="24"/>
                    </w:rPr>
                    <w:t>Mazie uzņēmumi var neievērot noteikumus ar tādu pašu rūpību kā lielie uzņēmumi</w:t>
                  </w:r>
                </w:p>
                <w:p w14:paraId="69B490DE" w14:textId="77777777" w:rsidR="00582CEC" w:rsidRPr="00582CEC" w:rsidRDefault="00582CEC" w:rsidP="00582CEC">
                  <w:pPr>
                    <w:numPr>
                      <w:ilvl w:val="0"/>
                      <w:numId w:val="9"/>
                    </w:numPr>
                    <w:tabs>
                      <w:tab w:val="left" w:pos="326"/>
                    </w:tabs>
                    <w:ind w:left="0" w:firstLine="0"/>
                    <w:jc w:val="both"/>
                    <w:rPr>
                      <w:rFonts w:ascii="Times New Roman" w:hAnsi="Times New Roman"/>
                      <w:noProof/>
                      <w:sz w:val="24"/>
                    </w:rPr>
                  </w:pPr>
                  <w:r>
                    <w:rPr>
                      <w:rFonts w:ascii="Times New Roman" w:hAnsi="Times New Roman"/>
                      <w:sz w:val="24"/>
                    </w:rPr>
                    <w:t>Vietējām iestādēm būs jāizskata vairāk pārskatu par ietekmi uz vidi</w:t>
                  </w:r>
                </w:p>
              </w:tc>
            </w:tr>
          </w:tbl>
          <w:p w14:paraId="4AB484F5" w14:textId="4A74350E" w:rsidR="00582CEC" w:rsidRDefault="00582CEC" w:rsidP="004D11C9">
            <w:pPr>
              <w:jc w:val="both"/>
              <w:rPr>
                <w:rFonts w:ascii="Times New Roman" w:hAnsi="Times New Roman"/>
                <w:noProof/>
                <w:sz w:val="24"/>
              </w:rPr>
            </w:pPr>
          </w:p>
        </w:tc>
      </w:tr>
    </w:tbl>
    <w:p w14:paraId="689E352E" w14:textId="77777777" w:rsidR="000A6469" w:rsidRPr="004D11C9" w:rsidRDefault="000A6469" w:rsidP="004D11C9">
      <w:pPr>
        <w:jc w:val="both"/>
        <w:rPr>
          <w:rFonts w:ascii="Times New Roman" w:eastAsia="Arial" w:hAnsi="Times New Roman" w:cs="Arial"/>
          <w:noProof/>
          <w:sz w:val="24"/>
          <w:szCs w:val="24"/>
        </w:rPr>
      </w:pPr>
      <w:bookmarkStart w:id="151" w:name="_bookmark82"/>
      <w:bookmarkEnd w:id="151"/>
    </w:p>
    <w:p w14:paraId="186B01CD" w14:textId="3F5E38CF" w:rsidR="000A6469" w:rsidRPr="004D11C9" w:rsidRDefault="00582CEC" w:rsidP="00582CEC">
      <w:pPr>
        <w:pStyle w:val="Heading4"/>
        <w:tabs>
          <w:tab w:val="left" w:pos="743"/>
        </w:tabs>
        <w:ind w:left="0"/>
        <w:rPr>
          <w:rFonts w:ascii="Times New Roman" w:hAnsi="Times New Roman"/>
          <w:noProof/>
          <w:sz w:val="24"/>
        </w:rPr>
      </w:pPr>
      <w:bookmarkStart w:id="152" w:name="2.3._Points-based_analysis"/>
      <w:bookmarkEnd w:id="152"/>
      <w:r>
        <w:rPr>
          <w:rFonts w:ascii="Times New Roman" w:hAnsi="Times New Roman"/>
          <w:sz w:val="24"/>
        </w:rPr>
        <w:t>2.3. Analīze, pamatojoties uz punktu sistēmu</w:t>
      </w:r>
    </w:p>
    <w:p w14:paraId="5C30D203" w14:textId="77777777" w:rsidR="000A6469" w:rsidRPr="004D11C9" w:rsidRDefault="000A6469" w:rsidP="004D11C9">
      <w:pPr>
        <w:jc w:val="both"/>
        <w:rPr>
          <w:rFonts w:ascii="Times New Roman" w:eastAsia="Arial" w:hAnsi="Times New Roman" w:cs="Arial"/>
          <w:b/>
          <w:bCs/>
          <w:i/>
          <w:noProof/>
          <w:sz w:val="24"/>
          <w:szCs w:val="21"/>
        </w:rPr>
      </w:pPr>
    </w:p>
    <w:p w14:paraId="06E7EDBD" w14:textId="280396D2"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Analīzē, kas tiek veikta, pamatojoties uz punktu sistēmu, nosaka svarīgus politikas mainīgos lielumus, kas ir būtiski konkrētajai politikai. Katram politikas risinājumam tiek novērtēta mērķu </w:t>
      </w:r>
      <w:r>
        <w:rPr>
          <w:rFonts w:ascii="Times New Roman" w:hAnsi="Times New Roman"/>
          <w:sz w:val="24"/>
        </w:rPr>
        <w:lastRenderedPageBreak/>
        <w:t>sasniegšana attiecībā uz katru mainīgo lielumu. Punkti tiek piešķirti, lai norādītu augstu vai zemu mērķa sasniegšanas līmeni attiecībā uz katru mainīgo lielumu, lielāku punktu skaitu piešķirot vēlamākajam rezultātam. Maksimālais punktu skaits vienam mainīgajam lielumam var būt lielāks nekā citam manīgajam lielumam, jo, piemēram, daži mainīgie lielumi ir neapšaubāmi svarīgāki par citiem. Kad katram politikas risinājumam ir piešķirti punkti rezultātiem, ko tas ir uzrādījis attiecībā uz mainīgajiem lielumiem, šie punkti tiek saskaitīti. Ieteicamais risinājums ir tas politikas risinājums, kam piešķirts visvairāk punktu.</w:t>
      </w:r>
    </w:p>
    <w:p w14:paraId="0A9811A7" w14:textId="77777777" w:rsidR="000A6469" w:rsidRPr="004D11C9" w:rsidRDefault="000A6469" w:rsidP="004D11C9">
      <w:pPr>
        <w:jc w:val="both"/>
        <w:rPr>
          <w:rFonts w:ascii="Times New Roman" w:eastAsia="Arial" w:hAnsi="Times New Roman" w:cs="Arial"/>
          <w:noProof/>
          <w:sz w:val="24"/>
          <w:szCs w:val="20"/>
        </w:rPr>
      </w:pPr>
    </w:p>
    <w:p w14:paraId="06E9EAAB"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Šī metode ir jāizmanto piesardzīgi, īpaši, lai novērstu manipulācijas ar salīdzinājumiem (un punktu vērtībām) nolūkā panākt viena iepriekš izvēlēta risinājuma īstenošanu. Tās vērtība ir tādas sistēmas izveidošana, ap ko var strukturēt skaidras debates.</w:t>
      </w:r>
    </w:p>
    <w:p w14:paraId="56DC6209" w14:textId="4117C718" w:rsidR="000A6469" w:rsidRDefault="000A6469" w:rsidP="004D11C9">
      <w:pPr>
        <w:jc w:val="both"/>
        <w:rPr>
          <w:rFonts w:ascii="Times New Roman" w:eastAsia="Arial" w:hAnsi="Times New Roman" w:cs="Arial"/>
          <w:noProof/>
          <w:sz w:val="24"/>
          <w:szCs w:val="26"/>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582CEC" w14:paraId="710073D7" w14:textId="77777777" w:rsidTr="00582CEC">
        <w:tc>
          <w:tcPr>
            <w:tcW w:w="9062" w:type="dxa"/>
          </w:tcPr>
          <w:p w14:paraId="4D0C6EB8" w14:textId="295848F6" w:rsidR="00582CEC" w:rsidRPr="00582CEC" w:rsidRDefault="00582CEC" w:rsidP="00582CEC">
            <w:pPr>
              <w:jc w:val="center"/>
              <w:rPr>
                <w:rFonts w:ascii="Times New Roman" w:hAnsi="Times New Roman"/>
                <w:b/>
                <w:noProof/>
                <w:sz w:val="24"/>
              </w:rPr>
            </w:pPr>
            <w:r>
              <w:rPr>
                <w:rFonts w:ascii="Times New Roman" w:hAnsi="Times New Roman"/>
                <w:b/>
                <w:sz w:val="24"/>
              </w:rPr>
              <w:t>51. ierāmējums. Analīze, pamatojoties uz punktu sistēmu. Atkritumu sadedzināšanas iekārtu ietekme</w:t>
            </w:r>
          </w:p>
        </w:tc>
      </w:tr>
      <w:tr w:rsidR="00582CEC" w14:paraId="088AF451" w14:textId="77777777" w:rsidTr="00582CEC">
        <w:tc>
          <w:tcPr>
            <w:tcW w:w="9062" w:type="dxa"/>
          </w:tcPr>
          <w:p w14:paraId="61FC4ADE" w14:textId="77777777" w:rsidR="00582CEC" w:rsidRPr="004D11C9" w:rsidRDefault="00582CEC" w:rsidP="00582CEC">
            <w:pPr>
              <w:jc w:val="both"/>
              <w:rPr>
                <w:rFonts w:ascii="Times New Roman" w:hAnsi="Times New Roman"/>
                <w:b/>
                <w:noProof/>
                <w:sz w:val="24"/>
              </w:rPr>
            </w:pPr>
            <w:r>
              <w:rPr>
                <w:rFonts w:ascii="Times New Roman" w:hAnsi="Times New Roman"/>
                <w:b/>
                <w:sz w:val="24"/>
              </w:rPr>
              <w:t>Divu tādu politikas pasākumu salīdzinājums, kas paredzēti atkritumu sadedzināšanas iekārtu ietekmes uz vidi ierobežošanai</w:t>
            </w:r>
          </w:p>
          <w:p w14:paraId="26D10ECD" w14:textId="77777777" w:rsidR="00582CEC" w:rsidRPr="004D11C9" w:rsidRDefault="00582CEC" w:rsidP="00582CEC">
            <w:pPr>
              <w:jc w:val="both"/>
              <w:rPr>
                <w:rFonts w:ascii="Times New Roman" w:eastAsia="Arial" w:hAnsi="Times New Roman" w:cs="Arial"/>
                <w:b/>
                <w:bCs/>
                <w:noProof/>
                <w:sz w:val="24"/>
                <w:szCs w:val="14"/>
              </w:rPr>
            </w:pPr>
          </w:p>
          <w:p w14:paraId="3D319462" w14:textId="77777777" w:rsidR="00582CEC" w:rsidRPr="004D11C9" w:rsidRDefault="00582CEC" w:rsidP="00582CEC">
            <w:pPr>
              <w:jc w:val="both"/>
              <w:rPr>
                <w:rFonts w:ascii="Times New Roman" w:hAnsi="Times New Roman"/>
                <w:noProof/>
                <w:sz w:val="24"/>
              </w:rPr>
            </w:pPr>
            <w:r>
              <w:rPr>
                <w:rFonts w:ascii="Times New Roman" w:hAnsi="Times New Roman"/>
                <w:sz w:val="24"/>
              </w:rPr>
              <w:t>Valdība ir nolēmusi, ka tai ir jāregulē atkritumu sadedzināšanas iekārtu izmeši, lai samazinātu kaitīgo emisiju. Vienā gadījumā uzņēmums vērsās pie valdības ar īpaši efektīvu un inovatīvu tehnoloģiju CO</w:t>
            </w:r>
            <w:r>
              <w:rPr>
                <w:rFonts w:ascii="Times New Roman" w:hAnsi="Times New Roman"/>
                <w:sz w:val="24"/>
                <w:vertAlign w:val="subscript"/>
              </w:rPr>
              <w:t>2</w:t>
            </w:r>
            <w:r>
              <w:rPr>
                <w:rFonts w:ascii="Times New Roman" w:hAnsi="Times New Roman"/>
                <w:sz w:val="24"/>
              </w:rPr>
              <w:t xml:space="preserve"> atdalīšanai no sadedzināšanas iekārtu izmešiem, paredzot CO</w:t>
            </w:r>
            <w:r>
              <w:rPr>
                <w:rFonts w:ascii="Times New Roman" w:hAnsi="Times New Roman"/>
                <w:sz w:val="24"/>
                <w:vertAlign w:val="subscript"/>
              </w:rPr>
              <w:t>2</w:t>
            </w:r>
            <w:r>
              <w:rPr>
                <w:rFonts w:ascii="Times New Roman" w:hAnsi="Times New Roman"/>
                <w:sz w:val="24"/>
              </w:rPr>
              <w:t xml:space="preserve"> novadīšanu cietajos atkritumos. Tas vēlējās saņemt licenci kā vienīgais uzņēmums, kam piešķirta atļauja dedzināt medicīniskos atkritumus un tirdzniecības kuģu atkritumus. Alternatīva pieeja paredzēja, ka valdība ļaus darboties ikvienam dedzināšanas uzņēmumam, kas atbilst tās prasībām par izmešu daudzuma attiecību pret dedzināmajiem atkritumiem. Citi dedzināšanas uzņēmumi apgalvo, ka CO</w:t>
            </w:r>
            <w:r>
              <w:rPr>
                <w:rFonts w:ascii="Times New Roman" w:hAnsi="Times New Roman"/>
                <w:sz w:val="24"/>
                <w:vertAlign w:val="subscript"/>
              </w:rPr>
              <w:t>2</w:t>
            </w:r>
            <w:r>
              <w:rPr>
                <w:rFonts w:ascii="Times New Roman" w:hAnsi="Times New Roman"/>
                <w:sz w:val="24"/>
              </w:rPr>
              <w:t xml:space="preserve"> novadīšana cietajos atkritumos sniedz tikai nelielu ieguvumu salīdzinājumā ar šāda risinājuma izmaksām, it īpaši tāpēc, ka šādas prasības nav noteiktas citiem dedzināšanas uzņēmumiem (piemēram, elektroenerģijas ražošanas uzņēmumiem, kas ražo elektroenerģiju, dedzinot gāzi) un tos faktiski uzskata par relatīvi tīriem elektroenerģijas ražotājiem. Slimnīcas ir paudušas bažas, ka tad, ja darbības atļauja būs izsniegta tikai vienam dedzināšanas uzņēmumam, tām būs jāmaksā augstas cenas. Valdība pieprasa medicīnisko atkritumu un tirdzniecības kuģu atkritumu dedzināšanu, lai novērstu apdraudējumu veselībai, ko šādi atkritumi var radīt.</w:t>
            </w:r>
          </w:p>
          <w:p w14:paraId="613EF4FA" w14:textId="77777777" w:rsidR="00582CEC" w:rsidRDefault="00582CEC" w:rsidP="00582CEC">
            <w:pPr>
              <w:jc w:val="both"/>
              <w:rPr>
                <w:rFonts w:ascii="Times New Roman" w:eastAsia="Arial" w:hAnsi="Times New Roman" w:cs="Arial"/>
                <w:noProof/>
                <w:sz w:val="24"/>
                <w:szCs w:val="26"/>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4489"/>
              <w:gridCol w:w="1506"/>
              <w:gridCol w:w="3001"/>
            </w:tblGrid>
            <w:tr w:rsidR="00582CEC" w14:paraId="4710A267" w14:textId="77777777" w:rsidTr="000F3534">
              <w:tc>
                <w:tcPr>
                  <w:tcW w:w="4531" w:type="dxa"/>
                </w:tcPr>
                <w:p w14:paraId="4748F76E" w14:textId="77777777" w:rsidR="00582CEC" w:rsidRDefault="00582CEC" w:rsidP="00582CEC">
                  <w:pPr>
                    <w:jc w:val="both"/>
                    <w:rPr>
                      <w:rFonts w:ascii="Times New Roman" w:eastAsia="Arial" w:hAnsi="Times New Roman" w:cs="Arial"/>
                      <w:noProof/>
                      <w:sz w:val="24"/>
                      <w:szCs w:val="26"/>
                    </w:rPr>
                  </w:pPr>
                </w:p>
              </w:tc>
              <w:tc>
                <w:tcPr>
                  <w:tcW w:w="1510" w:type="dxa"/>
                </w:tcPr>
                <w:p w14:paraId="55492448" w14:textId="77777777" w:rsidR="00582CEC" w:rsidRPr="00582CEC" w:rsidRDefault="00582CEC" w:rsidP="00582CEC">
                  <w:pPr>
                    <w:jc w:val="both"/>
                    <w:rPr>
                      <w:rFonts w:ascii="Times New Roman" w:hAnsi="Times New Roman"/>
                      <w:b/>
                      <w:noProof/>
                      <w:sz w:val="24"/>
                    </w:rPr>
                  </w:pPr>
                  <w:r>
                    <w:rPr>
                      <w:rFonts w:ascii="Times New Roman" w:hAnsi="Times New Roman"/>
                      <w:b/>
                      <w:sz w:val="24"/>
                    </w:rPr>
                    <w:t>Viena uzņēmuma licencēšana</w:t>
                  </w:r>
                </w:p>
              </w:tc>
              <w:tc>
                <w:tcPr>
                  <w:tcW w:w="3021" w:type="dxa"/>
                </w:tcPr>
                <w:p w14:paraId="7201B884" w14:textId="77777777" w:rsidR="00582CEC" w:rsidRPr="00582CEC" w:rsidRDefault="00582CEC" w:rsidP="00582CEC">
                  <w:pPr>
                    <w:jc w:val="both"/>
                    <w:rPr>
                      <w:rFonts w:ascii="Times New Roman" w:hAnsi="Times New Roman"/>
                      <w:b/>
                      <w:noProof/>
                      <w:sz w:val="24"/>
                    </w:rPr>
                  </w:pPr>
                  <w:r>
                    <w:rPr>
                      <w:rFonts w:ascii="Times New Roman" w:hAnsi="Times New Roman"/>
                      <w:b/>
                      <w:sz w:val="24"/>
                    </w:rPr>
                    <w:t>Licences visiem uzņēmumiem, kas atbilst prasībām</w:t>
                  </w:r>
                </w:p>
              </w:tc>
            </w:tr>
            <w:tr w:rsidR="00582CEC" w14:paraId="787CB4A0" w14:textId="77777777" w:rsidTr="000F3534">
              <w:tc>
                <w:tcPr>
                  <w:tcW w:w="4531" w:type="dxa"/>
                </w:tcPr>
                <w:p w14:paraId="64332C65" w14:textId="77777777" w:rsidR="00582CEC" w:rsidRPr="00582CEC" w:rsidRDefault="00582CEC" w:rsidP="00582CEC">
                  <w:pPr>
                    <w:tabs>
                      <w:tab w:val="left" w:pos="4304"/>
                      <w:tab w:val="right" w:pos="6290"/>
                    </w:tabs>
                    <w:jc w:val="both"/>
                    <w:rPr>
                      <w:rFonts w:ascii="Times New Roman" w:hAnsi="Times New Roman"/>
                      <w:noProof/>
                      <w:sz w:val="24"/>
                    </w:rPr>
                  </w:pPr>
                  <w:r>
                    <w:rPr>
                      <w:rFonts w:ascii="Times New Roman" w:hAnsi="Times New Roman"/>
                      <w:sz w:val="24"/>
                    </w:rPr>
                    <w:t>CO</w:t>
                  </w:r>
                  <w:r>
                    <w:rPr>
                      <w:rFonts w:ascii="Times New Roman" w:hAnsi="Times New Roman"/>
                      <w:sz w:val="24"/>
                      <w:vertAlign w:val="subscript"/>
                    </w:rPr>
                    <w:t>2</w:t>
                  </w:r>
                  <w:r>
                    <w:rPr>
                      <w:rFonts w:ascii="Times New Roman" w:hAnsi="Times New Roman"/>
                      <w:sz w:val="24"/>
                    </w:rPr>
                    <w:t xml:space="preserve"> samazināšana (1–3 punkti, 3 punkti par emisijas neesamību)</w:t>
                  </w:r>
                </w:p>
              </w:tc>
              <w:tc>
                <w:tcPr>
                  <w:tcW w:w="1510" w:type="dxa"/>
                </w:tcPr>
                <w:p w14:paraId="1A3B1CE0" w14:textId="77777777" w:rsidR="00582CEC" w:rsidRDefault="00582CEC" w:rsidP="00582CEC">
                  <w:pPr>
                    <w:jc w:val="center"/>
                    <w:rPr>
                      <w:rFonts w:ascii="Times New Roman" w:eastAsia="Arial" w:hAnsi="Times New Roman" w:cs="Arial"/>
                      <w:noProof/>
                      <w:sz w:val="24"/>
                      <w:szCs w:val="26"/>
                    </w:rPr>
                  </w:pPr>
                  <w:r>
                    <w:rPr>
                      <w:rFonts w:ascii="Times New Roman" w:hAnsi="Times New Roman"/>
                      <w:sz w:val="24"/>
                    </w:rPr>
                    <w:t>3</w:t>
                  </w:r>
                </w:p>
              </w:tc>
              <w:tc>
                <w:tcPr>
                  <w:tcW w:w="3021" w:type="dxa"/>
                </w:tcPr>
                <w:p w14:paraId="68CF6C5A" w14:textId="77777777" w:rsidR="00582CEC" w:rsidRDefault="00582CEC" w:rsidP="00582CEC">
                  <w:pPr>
                    <w:jc w:val="center"/>
                    <w:rPr>
                      <w:rFonts w:ascii="Times New Roman" w:eastAsia="Arial" w:hAnsi="Times New Roman" w:cs="Arial"/>
                      <w:noProof/>
                      <w:sz w:val="24"/>
                      <w:szCs w:val="26"/>
                    </w:rPr>
                  </w:pPr>
                  <w:r>
                    <w:rPr>
                      <w:rFonts w:ascii="Times New Roman" w:hAnsi="Times New Roman"/>
                      <w:sz w:val="24"/>
                    </w:rPr>
                    <w:t>1</w:t>
                  </w:r>
                </w:p>
              </w:tc>
            </w:tr>
            <w:tr w:rsidR="00582CEC" w14:paraId="40C24254" w14:textId="77777777" w:rsidTr="000F3534">
              <w:tc>
                <w:tcPr>
                  <w:tcW w:w="4531" w:type="dxa"/>
                </w:tcPr>
                <w:p w14:paraId="632A4899" w14:textId="77777777" w:rsidR="00582CEC" w:rsidRPr="00582CEC" w:rsidRDefault="00582CEC" w:rsidP="00582CEC">
                  <w:pPr>
                    <w:tabs>
                      <w:tab w:val="left" w:pos="4304"/>
                      <w:tab w:val="right" w:pos="6290"/>
                    </w:tabs>
                    <w:jc w:val="both"/>
                    <w:rPr>
                      <w:rFonts w:ascii="Times New Roman" w:hAnsi="Times New Roman"/>
                      <w:noProof/>
                      <w:sz w:val="24"/>
                    </w:rPr>
                  </w:pPr>
                  <w:r>
                    <w:rPr>
                      <w:rFonts w:ascii="Times New Roman" w:hAnsi="Times New Roman"/>
                      <w:sz w:val="24"/>
                    </w:rPr>
                    <w:t>Daļiņu emisija (1–5 punkti, 5 punkti par emisijas neesamību)</w:t>
                  </w:r>
                </w:p>
              </w:tc>
              <w:tc>
                <w:tcPr>
                  <w:tcW w:w="1510" w:type="dxa"/>
                </w:tcPr>
                <w:p w14:paraId="682FF3C4" w14:textId="77777777" w:rsidR="00582CEC" w:rsidRDefault="00582CEC" w:rsidP="00582CEC">
                  <w:pPr>
                    <w:jc w:val="center"/>
                    <w:rPr>
                      <w:rFonts w:ascii="Times New Roman" w:eastAsia="Arial" w:hAnsi="Times New Roman" w:cs="Arial"/>
                      <w:noProof/>
                      <w:sz w:val="24"/>
                      <w:szCs w:val="26"/>
                    </w:rPr>
                  </w:pPr>
                  <w:r>
                    <w:rPr>
                      <w:rFonts w:ascii="Times New Roman" w:hAnsi="Times New Roman"/>
                      <w:sz w:val="24"/>
                    </w:rPr>
                    <w:t>3</w:t>
                  </w:r>
                </w:p>
              </w:tc>
              <w:tc>
                <w:tcPr>
                  <w:tcW w:w="3021" w:type="dxa"/>
                </w:tcPr>
                <w:p w14:paraId="12A78C69" w14:textId="77777777" w:rsidR="00582CEC" w:rsidRDefault="00582CEC" w:rsidP="00582CEC">
                  <w:pPr>
                    <w:jc w:val="center"/>
                    <w:rPr>
                      <w:rFonts w:ascii="Times New Roman" w:eastAsia="Arial" w:hAnsi="Times New Roman" w:cs="Arial"/>
                      <w:noProof/>
                      <w:sz w:val="24"/>
                      <w:szCs w:val="26"/>
                    </w:rPr>
                  </w:pPr>
                  <w:r>
                    <w:rPr>
                      <w:rFonts w:ascii="Times New Roman" w:hAnsi="Times New Roman"/>
                      <w:sz w:val="24"/>
                    </w:rPr>
                    <w:t>4</w:t>
                  </w:r>
                </w:p>
              </w:tc>
            </w:tr>
            <w:tr w:rsidR="00582CEC" w14:paraId="20DB92A0" w14:textId="77777777" w:rsidTr="000F3534">
              <w:tc>
                <w:tcPr>
                  <w:tcW w:w="4531" w:type="dxa"/>
                </w:tcPr>
                <w:p w14:paraId="77777478" w14:textId="77777777" w:rsidR="00582CEC" w:rsidRPr="00582CEC" w:rsidRDefault="00582CEC" w:rsidP="00582CEC">
                  <w:pPr>
                    <w:tabs>
                      <w:tab w:val="left" w:pos="4304"/>
                      <w:tab w:val="right" w:pos="6290"/>
                    </w:tabs>
                    <w:jc w:val="both"/>
                    <w:rPr>
                      <w:rFonts w:ascii="Times New Roman" w:hAnsi="Times New Roman"/>
                      <w:noProof/>
                      <w:sz w:val="24"/>
                    </w:rPr>
                  </w:pPr>
                  <w:r>
                    <w:rPr>
                      <w:rFonts w:ascii="Times New Roman" w:hAnsi="Times New Roman"/>
                      <w:sz w:val="24"/>
                    </w:rPr>
                    <w:t>Paredzamā cena (1–5 punkti; 1 punkts par augstu cenu un 5 punkti par zemu cenu)</w:t>
                  </w:r>
                </w:p>
              </w:tc>
              <w:tc>
                <w:tcPr>
                  <w:tcW w:w="1510" w:type="dxa"/>
                </w:tcPr>
                <w:p w14:paraId="3CBC0546" w14:textId="77777777" w:rsidR="00582CEC" w:rsidRDefault="00582CEC" w:rsidP="00582CEC">
                  <w:pPr>
                    <w:jc w:val="center"/>
                    <w:rPr>
                      <w:rFonts w:ascii="Times New Roman" w:eastAsia="Arial" w:hAnsi="Times New Roman" w:cs="Arial"/>
                      <w:noProof/>
                      <w:sz w:val="24"/>
                      <w:szCs w:val="26"/>
                    </w:rPr>
                  </w:pPr>
                  <w:r>
                    <w:rPr>
                      <w:rFonts w:ascii="Times New Roman" w:hAnsi="Times New Roman"/>
                      <w:sz w:val="24"/>
                    </w:rPr>
                    <w:t>1</w:t>
                  </w:r>
                </w:p>
              </w:tc>
              <w:tc>
                <w:tcPr>
                  <w:tcW w:w="3021" w:type="dxa"/>
                </w:tcPr>
                <w:p w14:paraId="142314A4" w14:textId="77777777" w:rsidR="00582CEC" w:rsidRDefault="00582CEC" w:rsidP="00582CEC">
                  <w:pPr>
                    <w:jc w:val="center"/>
                    <w:rPr>
                      <w:rFonts w:ascii="Times New Roman" w:eastAsia="Arial" w:hAnsi="Times New Roman" w:cs="Arial"/>
                      <w:noProof/>
                      <w:sz w:val="24"/>
                      <w:szCs w:val="26"/>
                    </w:rPr>
                  </w:pPr>
                  <w:r>
                    <w:rPr>
                      <w:rFonts w:ascii="Times New Roman" w:hAnsi="Times New Roman"/>
                      <w:sz w:val="24"/>
                    </w:rPr>
                    <w:t>5</w:t>
                  </w:r>
                </w:p>
              </w:tc>
            </w:tr>
            <w:tr w:rsidR="00582CEC" w14:paraId="1EB86F66" w14:textId="77777777" w:rsidTr="000F3534">
              <w:tc>
                <w:tcPr>
                  <w:tcW w:w="4531" w:type="dxa"/>
                </w:tcPr>
                <w:p w14:paraId="2294BCB3" w14:textId="77777777" w:rsidR="00582CEC" w:rsidRPr="00582CEC" w:rsidRDefault="00582CEC" w:rsidP="00582CEC">
                  <w:pPr>
                    <w:tabs>
                      <w:tab w:val="left" w:pos="4304"/>
                      <w:tab w:val="right" w:pos="6290"/>
                    </w:tabs>
                    <w:jc w:val="both"/>
                    <w:rPr>
                      <w:rFonts w:ascii="Times New Roman" w:hAnsi="Times New Roman"/>
                      <w:noProof/>
                      <w:sz w:val="24"/>
                    </w:rPr>
                  </w:pPr>
                  <w:r>
                    <w:rPr>
                      <w:rFonts w:ascii="Times New Roman" w:hAnsi="Times New Roman"/>
                      <w:sz w:val="24"/>
                    </w:rPr>
                    <w:t>Īstenošanas un uzraudzības ērtums (2 punkti, ja ērta, 1 punkts, ja sarežģīta)</w:t>
                  </w:r>
                </w:p>
              </w:tc>
              <w:tc>
                <w:tcPr>
                  <w:tcW w:w="1510" w:type="dxa"/>
                </w:tcPr>
                <w:p w14:paraId="3F17D7D3" w14:textId="77777777" w:rsidR="00582CEC" w:rsidRDefault="00582CEC" w:rsidP="00582CEC">
                  <w:pPr>
                    <w:jc w:val="center"/>
                    <w:rPr>
                      <w:rFonts w:ascii="Times New Roman" w:eastAsia="Arial" w:hAnsi="Times New Roman" w:cs="Arial"/>
                      <w:noProof/>
                      <w:sz w:val="24"/>
                      <w:szCs w:val="26"/>
                    </w:rPr>
                  </w:pPr>
                  <w:r>
                    <w:rPr>
                      <w:rFonts w:ascii="Times New Roman" w:hAnsi="Times New Roman"/>
                      <w:sz w:val="24"/>
                    </w:rPr>
                    <w:t>2</w:t>
                  </w:r>
                </w:p>
              </w:tc>
              <w:tc>
                <w:tcPr>
                  <w:tcW w:w="3021" w:type="dxa"/>
                </w:tcPr>
                <w:p w14:paraId="10BF875B" w14:textId="77777777" w:rsidR="00582CEC" w:rsidRDefault="00582CEC" w:rsidP="00582CEC">
                  <w:pPr>
                    <w:jc w:val="center"/>
                    <w:rPr>
                      <w:rFonts w:ascii="Times New Roman" w:eastAsia="Arial" w:hAnsi="Times New Roman" w:cs="Arial"/>
                      <w:noProof/>
                      <w:sz w:val="24"/>
                      <w:szCs w:val="26"/>
                    </w:rPr>
                  </w:pPr>
                  <w:r>
                    <w:rPr>
                      <w:rFonts w:ascii="Times New Roman" w:hAnsi="Times New Roman"/>
                      <w:sz w:val="24"/>
                    </w:rPr>
                    <w:t>1</w:t>
                  </w:r>
                </w:p>
              </w:tc>
            </w:tr>
            <w:tr w:rsidR="00582CEC" w14:paraId="7BF5B1CE" w14:textId="77777777" w:rsidTr="000F3534">
              <w:tc>
                <w:tcPr>
                  <w:tcW w:w="4531" w:type="dxa"/>
                </w:tcPr>
                <w:p w14:paraId="24965E85" w14:textId="77777777" w:rsidR="00582CEC" w:rsidRDefault="00582CEC" w:rsidP="00582CEC">
                  <w:pPr>
                    <w:jc w:val="both"/>
                    <w:rPr>
                      <w:rFonts w:ascii="Times New Roman" w:eastAsia="Arial" w:hAnsi="Times New Roman" w:cs="Arial"/>
                      <w:noProof/>
                      <w:sz w:val="24"/>
                      <w:szCs w:val="26"/>
                    </w:rPr>
                  </w:pPr>
                  <w:r>
                    <w:rPr>
                      <w:rFonts w:ascii="Times New Roman" w:hAnsi="Times New Roman"/>
                      <w:sz w:val="24"/>
                    </w:rPr>
                    <w:t>KOPĀ</w:t>
                  </w:r>
                </w:p>
              </w:tc>
              <w:tc>
                <w:tcPr>
                  <w:tcW w:w="1510" w:type="dxa"/>
                </w:tcPr>
                <w:p w14:paraId="37B4CC37" w14:textId="77777777" w:rsidR="00582CEC" w:rsidRDefault="00582CEC" w:rsidP="00582CEC">
                  <w:pPr>
                    <w:jc w:val="center"/>
                    <w:rPr>
                      <w:rFonts w:ascii="Times New Roman" w:eastAsia="Arial" w:hAnsi="Times New Roman" w:cs="Arial"/>
                      <w:noProof/>
                      <w:sz w:val="24"/>
                      <w:szCs w:val="26"/>
                    </w:rPr>
                  </w:pPr>
                  <w:r>
                    <w:rPr>
                      <w:rFonts w:ascii="Times New Roman" w:hAnsi="Times New Roman"/>
                      <w:sz w:val="24"/>
                    </w:rPr>
                    <w:t>9</w:t>
                  </w:r>
                </w:p>
              </w:tc>
              <w:tc>
                <w:tcPr>
                  <w:tcW w:w="3021" w:type="dxa"/>
                </w:tcPr>
                <w:p w14:paraId="2E0B20CA" w14:textId="77777777" w:rsidR="00582CEC" w:rsidRDefault="00582CEC" w:rsidP="00582CEC">
                  <w:pPr>
                    <w:jc w:val="center"/>
                    <w:rPr>
                      <w:rFonts w:ascii="Times New Roman" w:eastAsia="Arial" w:hAnsi="Times New Roman" w:cs="Arial"/>
                      <w:noProof/>
                      <w:sz w:val="24"/>
                      <w:szCs w:val="26"/>
                    </w:rPr>
                  </w:pPr>
                  <w:r>
                    <w:rPr>
                      <w:rFonts w:ascii="Times New Roman" w:hAnsi="Times New Roman"/>
                      <w:sz w:val="24"/>
                    </w:rPr>
                    <w:t>11</w:t>
                  </w:r>
                </w:p>
              </w:tc>
            </w:tr>
          </w:tbl>
          <w:p w14:paraId="3968E7A2" w14:textId="2BA9FE80" w:rsidR="00582CEC" w:rsidRDefault="00582CEC" w:rsidP="004D11C9">
            <w:pPr>
              <w:jc w:val="both"/>
              <w:rPr>
                <w:rFonts w:ascii="Times New Roman" w:eastAsia="Arial" w:hAnsi="Times New Roman" w:cs="Arial"/>
                <w:noProof/>
                <w:sz w:val="24"/>
                <w:szCs w:val="26"/>
              </w:rPr>
            </w:pPr>
          </w:p>
        </w:tc>
      </w:tr>
    </w:tbl>
    <w:p w14:paraId="623B59E5" w14:textId="77777777" w:rsidR="00582CEC" w:rsidRDefault="00582CEC" w:rsidP="004D11C9">
      <w:pPr>
        <w:jc w:val="both"/>
        <w:rPr>
          <w:rFonts w:ascii="Times New Roman" w:eastAsia="Arial" w:hAnsi="Times New Roman" w:cs="Arial"/>
          <w:noProof/>
          <w:sz w:val="24"/>
          <w:szCs w:val="26"/>
        </w:rPr>
      </w:pPr>
    </w:p>
    <w:p w14:paraId="1160BCA8" w14:textId="4037E7AE" w:rsidR="000A6469" w:rsidRPr="004D11C9" w:rsidRDefault="00582CEC" w:rsidP="00582CEC">
      <w:pPr>
        <w:pStyle w:val="Heading3"/>
        <w:tabs>
          <w:tab w:val="left" w:pos="558"/>
        </w:tabs>
        <w:ind w:left="0"/>
        <w:rPr>
          <w:rFonts w:ascii="Times New Roman" w:hAnsi="Times New Roman"/>
          <w:noProof/>
          <w:sz w:val="24"/>
        </w:rPr>
      </w:pPr>
      <w:bookmarkStart w:id="153" w:name="_bookmark83"/>
      <w:bookmarkStart w:id="154" w:name="3._Quantitative_analysis"/>
      <w:bookmarkStart w:id="155" w:name="_bookmark84"/>
      <w:bookmarkStart w:id="156" w:name="_Toc62650489"/>
      <w:bookmarkEnd w:id="153"/>
      <w:bookmarkEnd w:id="154"/>
      <w:bookmarkEnd w:id="155"/>
      <w:r>
        <w:rPr>
          <w:rFonts w:ascii="Times New Roman" w:hAnsi="Times New Roman"/>
          <w:sz w:val="24"/>
        </w:rPr>
        <w:t>3. Kvantitatīvā analīze</w:t>
      </w:r>
      <w:bookmarkEnd w:id="156"/>
    </w:p>
    <w:p w14:paraId="187FA93A" w14:textId="77777777" w:rsidR="00582CEC" w:rsidRDefault="00582CEC" w:rsidP="004D11C9">
      <w:pPr>
        <w:pStyle w:val="BodyText"/>
        <w:ind w:left="0" w:firstLine="0"/>
        <w:jc w:val="both"/>
        <w:rPr>
          <w:rFonts w:ascii="Times New Roman" w:hAnsi="Times New Roman"/>
          <w:noProof/>
          <w:sz w:val="24"/>
        </w:rPr>
      </w:pPr>
    </w:p>
    <w:p w14:paraId="47323FB0" w14:textId="10E4117D"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Lai izlemtu, vai veikt šajā sadaļā aprakstīto kvantitatīvo analīzi, vispirms apskatiet plūsmas </w:t>
      </w:r>
      <w:r>
        <w:rPr>
          <w:rFonts w:ascii="Times New Roman" w:hAnsi="Times New Roman"/>
          <w:sz w:val="24"/>
        </w:rPr>
        <w:lastRenderedPageBreak/>
        <w:t>diagrammu.</w:t>
      </w:r>
    </w:p>
    <w:p w14:paraId="4C7D5CF4" w14:textId="77777777" w:rsidR="000A6469" w:rsidRPr="004D11C9" w:rsidRDefault="000A6469" w:rsidP="004D11C9">
      <w:pPr>
        <w:jc w:val="both"/>
        <w:rPr>
          <w:rFonts w:ascii="Times New Roman" w:eastAsia="Arial" w:hAnsi="Times New Roman" w:cs="Arial"/>
          <w:noProof/>
          <w:sz w:val="24"/>
          <w:szCs w:val="25"/>
        </w:rPr>
      </w:pPr>
    </w:p>
    <w:p w14:paraId="0063DE20" w14:textId="02F68FBC" w:rsidR="000A6469" w:rsidRPr="004D11C9" w:rsidRDefault="000A6469" w:rsidP="00582CEC">
      <w:pPr>
        <w:pStyle w:val="Heading6"/>
        <w:ind w:left="0"/>
        <w:jc w:val="center"/>
        <w:rPr>
          <w:rFonts w:ascii="Times New Roman" w:hAnsi="Times New Roman"/>
          <w:noProof/>
          <w:sz w:val="24"/>
        </w:rPr>
      </w:pPr>
      <w:r>
        <w:rPr>
          <w:rFonts w:ascii="Times New Roman" w:hAnsi="Times New Roman"/>
          <w:sz w:val="24"/>
        </w:rPr>
        <w:t>3. attēls. Plūsmas diagramma lēmuma pieņemšanai par kvantitatīvās analīzes veikšanu</w:t>
      </w:r>
    </w:p>
    <w:p w14:paraId="2BF3F775" w14:textId="5120F8F0" w:rsidR="000A6469" w:rsidRPr="004D11C9" w:rsidRDefault="000A6469" w:rsidP="004D11C9">
      <w:pPr>
        <w:jc w:val="both"/>
        <w:rPr>
          <w:rFonts w:ascii="Times New Roman" w:eastAsia="Arial" w:hAnsi="Times New Roman" w:cs="Arial"/>
          <w:b/>
          <w:bCs/>
          <w:noProof/>
          <w:sz w:val="24"/>
          <w:szCs w:val="20"/>
        </w:rPr>
      </w:pPr>
    </w:p>
    <w:p w14:paraId="78FAE3A1" w14:textId="7B4AC9D8" w:rsidR="008B0B53" w:rsidRPr="004D11C9" w:rsidRDefault="00582CEC" w:rsidP="00582CEC">
      <w:pPr>
        <w:jc w:val="center"/>
        <w:rPr>
          <w:rFonts w:ascii="Times New Roman" w:eastAsia="Arial" w:hAnsi="Times New Roman" w:cs="Arial"/>
          <w:b/>
          <w:bCs/>
          <w:noProof/>
          <w:sz w:val="24"/>
          <w:szCs w:val="20"/>
        </w:rPr>
      </w:pPr>
      <w:r>
        <w:rPr>
          <w:rFonts w:ascii="Times New Roman" w:hAnsi="Times New Roman"/>
          <w:b/>
          <w:bCs/>
          <w:noProof/>
          <w:sz w:val="24"/>
          <w:szCs w:val="20"/>
        </w:rPr>
        <w:drawing>
          <wp:inline distT="0" distB="0" distL="0" distR="0" wp14:anchorId="49F38793" wp14:editId="021D5F64">
            <wp:extent cx="4286992" cy="3563499"/>
            <wp:effectExtent l="0" t="0" r="0" b="0"/>
            <wp:docPr id="6453" name="Picture 6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93081" cy="3568561"/>
                    </a:xfrm>
                    <a:prstGeom prst="rect">
                      <a:avLst/>
                    </a:prstGeom>
                    <a:noFill/>
                    <a:ln>
                      <a:noFill/>
                    </a:ln>
                  </pic:spPr>
                </pic:pic>
              </a:graphicData>
            </a:graphic>
          </wp:inline>
        </w:drawing>
      </w:r>
    </w:p>
    <w:p w14:paraId="0C4AE665" w14:textId="307571E1" w:rsidR="008B0B53" w:rsidRPr="00582CEC" w:rsidRDefault="008B0B53" w:rsidP="004D11C9">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4531"/>
        <w:gridCol w:w="4531"/>
      </w:tblGrid>
      <w:tr w:rsidR="009D678F" w14:paraId="41E71257" w14:textId="77777777" w:rsidTr="004E2512">
        <w:tc>
          <w:tcPr>
            <w:tcW w:w="4531" w:type="dxa"/>
          </w:tcPr>
          <w:p w14:paraId="771AF42A" w14:textId="3A62F0D2" w:rsidR="009D678F" w:rsidRPr="009D678F" w:rsidRDefault="009D678F" w:rsidP="009D678F">
            <w:pPr>
              <w:jc w:val="center"/>
              <w:rPr>
                <w:rFonts w:ascii="Times New Roman" w:hAnsi="Times New Roman"/>
                <w:b/>
                <w:sz w:val="24"/>
              </w:rPr>
            </w:pPr>
            <w:r w:rsidRPr="009D678F">
              <w:rPr>
                <w:rFonts w:ascii="Times New Roman" w:hAnsi="Times New Roman"/>
                <w:b/>
                <w:sz w:val="24"/>
              </w:rPr>
              <w:t>Angļu val.</w:t>
            </w:r>
          </w:p>
        </w:tc>
        <w:tc>
          <w:tcPr>
            <w:tcW w:w="4531" w:type="dxa"/>
          </w:tcPr>
          <w:p w14:paraId="6015DDB3" w14:textId="6E16BD20" w:rsidR="009D678F" w:rsidRPr="009D678F" w:rsidRDefault="009D678F" w:rsidP="009D678F">
            <w:pPr>
              <w:jc w:val="center"/>
              <w:rPr>
                <w:rFonts w:ascii="Times New Roman" w:eastAsia="Arial" w:hAnsi="Times New Roman" w:cs="Arial"/>
                <w:b/>
                <w:noProof/>
                <w:sz w:val="24"/>
                <w:szCs w:val="20"/>
              </w:rPr>
            </w:pPr>
            <w:r w:rsidRPr="009D678F">
              <w:rPr>
                <w:rFonts w:ascii="Times New Roman" w:eastAsia="Arial" w:hAnsi="Times New Roman" w:cs="Arial"/>
                <w:b/>
                <w:noProof/>
                <w:sz w:val="24"/>
                <w:szCs w:val="20"/>
              </w:rPr>
              <w:t>Latviešu val.</w:t>
            </w:r>
          </w:p>
        </w:tc>
      </w:tr>
      <w:tr w:rsidR="009D678F" w14:paraId="712DFE8F" w14:textId="77777777" w:rsidTr="004E2512">
        <w:tc>
          <w:tcPr>
            <w:tcW w:w="4531" w:type="dxa"/>
          </w:tcPr>
          <w:p w14:paraId="26E2B62B" w14:textId="77777777" w:rsidR="009D678F" w:rsidRDefault="009D678F" w:rsidP="009D678F">
            <w:pPr>
              <w:jc w:val="both"/>
              <w:rPr>
                <w:rFonts w:ascii="Times New Roman" w:eastAsia="Arial" w:hAnsi="Times New Roman" w:cs="Arial"/>
                <w:b/>
                <w:bCs/>
                <w:noProof/>
                <w:sz w:val="24"/>
                <w:szCs w:val="20"/>
              </w:rPr>
            </w:pPr>
            <w:r>
              <w:rPr>
                <w:rFonts w:ascii="Times New Roman" w:eastAsia="Arial" w:hAnsi="Times New Roman" w:cs="Arial"/>
                <w:b/>
                <w:bCs/>
                <w:noProof/>
                <w:sz w:val="24"/>
                <w:szCs w:val="20"/>
              </w:rPr>
              <w:t>Does the restriction on competition bind, i.e. change outcomes?</w:t>
            </w:r>
          </w:p>
          <w:p w14:paraId="2BCA461E" w14:textId="627347E4" w:rsidR="009D678F" w:rsidRPr="004E2512" w:rsidRDefault="009D678F" w:rsidP="009D678F">
            <w:pPr>
              <w:jc w:val="both"/>
              <w:rPr>
                <w:rFonts w:ascii="Times New Roman" w:eastAsia="Arial" w:hAnsi="Times New Roman" w:cs="Arial"/>
                <w:noProof/>
                <w:sz w:val="24"/>
                <w:szCs w:val="20"/>
              </w:rPr>
            </w:pPr>
            <w:r>
              <w:rPr>
                <w:rFonts w:ascii="Times New Roman" w:eastAsia="Arial" w:hAnsi="Times New Roman" w:cs="Arial"/>
                <w:noProof/>
                <w:sz w:val="24"/>
                <w:szCs w:val="20"/>
              </w:rPr>
              <w:t>(Example: a city restricts the number of taxi licenses to 10 000. Only 3 500 have been issued. The 10 000 limit is not binding as it is not changing outcomes.)</w:t>
            </w:r>
          </w:p>
        </w:tc>
        <w:tc>
          <w:tcPr>
            <w:tcW w:w="4531" w:type="dxa"/>
          </w:tcPr>
          <w:p w14:paraId="7C09E5E8" w14:textId="77777777" w:rsidR="009D678F" w:rsidRDefault="009D678F" w:rsidP="009D678F">
            <w:pPr>
              <w:jc w:val="both"/>
              <w:rPr>
                <w:rFonts w:ascii="Times New Roman" w:eastAsia="Arial" w:hAnsi="Times New Roman" w:cs="Arial"/>
                <w:b/>
                <w:bCs/>
                <w:noProof/>
                <w:sz w:val="24"/>
                <w:szCs w:val="20"/>
              </w:rPr>
            </w:pPr>
            <w:r>
              <w:rPr>
                <w:rFonts w:ascii="Times New Roman" w:hAnsi="Times New Roman"/>
                <w:b/>
                <w:sz w:val="24"/>
              </w:rPr>
              <w:t>Vai konkurences ierobežojums ir saistošs, t. i., vai tas ietekmē iznākumu?</w:t>
            </w:r>
          </w:p>
          <w:p w14:paraId="09F0AD1E" w14:textId="22C5EE98" w:rsidR="009D678F" w:rsidRDefault="009D678F" w:rsidP="009D678F">
            <w:pPr>
              <w:jc w:val="both"/>
              <w:rPr>
                <w:rFonts w:ascii="Times New Roman" w:eastAsia="Arial" w:hAnsi="Times New Roman" w:cs="Arial"/>
                <w:noProof/>
                <w:sz w:val="24"/>
                <w:szCs w:val="20"/>
              </w:rPr>
            </w:pPr>
            <w:r>
              <w:rPr>
                <w:rFonts w:ascii="Times New Roman" w:hAnsi="Times New Roman"/>
                <w:sz w:val="24"/>
              </w:rPr>
              <w:t>(Piemēram, pilsēta ierobežo taksometru licenču skaitu līdz 10 000 licencēm. Tiek izsniegtas tikai 3500 licences. Līdz ar to 10 000 licenču ierobežojums nav saistošs, jo tas neietekmē iznākumu.)</w:t>
            </w:r>
          </w:p>
        </w:tc>
      </w:tr>
      <w:tr w:rsidR="009D678F" w14:paraId="311FC1AD" w14:textId="77777777" w:rsidTr="004E2512">
        <w:tc>
          <w:tcPr>
            <w:tcW w:w="4531" w:type="dxa"/>
          </w:tcPr>
          <w:p w14:paraId="7B99DF79" w14:textId="77777777" w:rsidR="009D678F" w:rsidRDefault="009D678F" w:rsidP="009D678F">
            <w:pPr>
              <w:jc w:val="both"/>
              <w:rPr>
                <w:rFonts w:ascii="Times New Roman" w:eastAsia="Arial" w:hAnsi="Times New Roman" w:cs="Arial"/>
                <w:b/>
                <w:bCs/>
                <w:noProof/>
                <w:sz w:val="24"/>
                <w:szCs w:val="20"/>
              </w:rPr>
            </w:pPr>
            <w:r>
              <w:rPr>
                <w:rFonts w:ascii="Times New Roman" w:eastAsia="Arial" w:hAnsi="Times New Roman" w:cs="Arial"/>
                <w:b/>
                <w:bCs/>
                <w:noProof/>
                <w:sz w:val="24"/>
                <w:szCs w:val="20"/>
              </w:rPr>
              <w:t>Yes</w:t>
            </w:r>
          </w:p>
          <w:p w14:paraId="0C8BA9AA" w14:textId="591F2981" w:rsidR="009D678F" w:rsidRPr="004E2512" w:rsidRDefault="009D678F" w:rsidP="009D678F">
            <w:pPr>
              <w:jc w:val="both"/>
              <w:rPr>
                <w:rFonts w:ascii="Times New Roman" w:eastAsia="Arial" w:hAnsi="Times New Roman" w:cs="Arial"/>
                <w:b/>
                <w:bCs/>
                <w:noProof/>
                <w:sz w:val="24"/>
                <w:szCs w:val="20"/>
              </w:rPr>
            </w:pPr>
            <w:r>
              <w:rPr>
                <w:rFonts w:ascii="Times New Roman" w:eastAsia="Arial" w:hAnsi="Times New Roman" w:cs="Arial"/>
                <w:b/>
                <w:bCs/>
                <w:noProof/>
                <w:sz w:val="24"/>
                <w:szCs w:val="20"/>
              </w:rPr>
              <w:t>No</w:t>
            </w:r>
          </w:p>
        </w:tc>
        <w:tc>
          <w:tcPr>
            <w:tcW w:w="4531" w:type="dxa"/>
          </w:tcPr>
          <w:p w14:paraId="1E5EF3B2" w14:textId="77777777" w:rsidR="009D678F" w:rsidRDefault="009D678F" w:rsidP="009D678F">
            <w:pPr>
              <w:jc w:val="both"/>
              <w:rPr>
                <w:rFonts w:ascii="Times New Roman" w:eastAsia="Arial" w:hAnsi="Times New Roman" w:cs="Arial"/>
                <w:b/>
                <w:bCs/>
                <w:noProof/>
                <w:sz w:val="24"/>
                <w:szCs w:val="20"/>
              </w:rPr>
            </w:pPr>
            <w:r>
              <w:rPr>
                <w:rFonts w:ascii="Times New Roman" w:hAnsi="Times New Roman"/>
                <w:b/>
                <w:sz w:val="24"/>
              </w:rPr>
              <w:t>Jā</w:t>
            </w:r>
          </w:p>
          <w:p w14:paraId="64F8A005" w14:textId="3BB7A92A" w:rsidR="009D678F" w:rsidRDefault="009D678F" w:rsidP="009D678F">
            <w:pPr>
              <w:jc w:val="both"/>
              <w:rPr>
                <w:rFonts w:ascii="Times New Roman" w:eastAsia="Arial" w:hAnsi="Times New Roman" w:cs="Arial"/>
                <w:noProof/>
                <w:sz w:val="24"/>
                <w:szCs w:val="20"/>
              </w:rPr>
            </w:pPr>
            <w:r>
              <w:rPr>
                <w:rFonts w:ascii="Times New Roman" w:hAnsi="Times New Roman"/>
                <w:b/>
                <w:sz w:val="24"/>
              </w:rPr>
              <w:t>Nē</w:t>
            </w:r>
          </w:p>
        </w:tc>
      </w:tr>
      <w:tr w:rsidR="009D678F" w14:paraId="5B34A193" w14:textId="77777777" w:rsidTr="004E2512">
        <w:tc>
          <w:tcPr>
            <w:tcW w:w="4531" w:type="dxa"/>
          </w:tcPr>
          <w:p w14:paraId="2A55C5DE" w14:textId="1B882025" w:rsidR="009D678F" w:rsidRDefault="009D678F" w:rsidP="009D678F">
            <w:pPr>
              <w:jc w:val="both"/>
              <w:rPr>
                <w:rFonts w:ascii="Times New Roman" w:eastAsia="Arial" w:hAnsi="Times New Roman" w:cs="Arial"/>
                <w:noProof/>
                <w:sz w:val="24"/>
                <w:szCs w:val="20"/>
              </w:rPr>
            </w:pPr>
            <w:r>
              <w:rPr>
                <w:rFonts w:ascii="Times New Roman" w:eastAsia="Arial" w:hAnsi="Times New Roman" w:cs="Arial"/>
                <w:noProof/>
                <w:sz w:val="24"/>
                <w:szCs w:val="20"/>
              </w:rPr>
              <w:t>If neither actually nor potentially binding,</w:t>
            </w:r>
          </w:p>
        </w:tc>
        <w:tc>
          <w:tcPr>
            <w:tcW w:w="4531" w:type="dxa"/>
          </w:tcPr>
          <w:p w14:paraId="37949C15" w14:textId="0FE17E43" w:rsidR="009D678F" w:rsidRDefault="009D678F" w:rsidP="009D678F">
            <w:pPr>
              <w:jc w:val="both"/>
              <w:rPr>
                <w:rFonts w:ascii="Times New Roman" w:eastAsia="Arial" w:hAnsi="Times New Roman" w:cs="Arial"/>
                <w:noProof/>
                <w:sz w:val="24"/>
                <w:szCs w:val="20"/>
              </w:rPr>
            </w:pPr>
            <w:r>
              <w:rPr>
                <w:rFonts w:ascii="Times New Roman" w:hAnsi="Times New Roman"/>
                <w:sz w:val="24"/>
              </w:rPr>
              <w:t>Ja konkurences ierobežojums nav saistošs ne potenciāli, ne faktiski,</w:t>
            </w:r>
          </w:p>
        </w:tc>
      </w:tr>
      <w:tr w:rsidR="009D678F" w14:paraId="04B8FA2F" w14:textId="77777777" w:rsidTr="004E2512">
        <w:tc>
          <w:tcPr>
            <w:tcW w:w="4531" w:type="dxa"/>
          </w:tcPr>
          <w:p w14:paraId="0D277D57" w14:textId="5045DC98" w:rsidR="009D678F" w:rsidRPr="004E2512" w:rsidRDefault="009D678F" w:rsidP="009D678F">
            <w:pPr>
              <w:jc w:val="both"/>
              <w:rPr>
                <w:rFonts w:ascii="Times New Roman" w:eastAsia="Arial" w:hAnsi="Times New Roman" w:cs="Arial"/>
                <w:b/>
                <w:bCs/>
                <w:noProof/>
                <w:sz w:val="24"/>
                <w:szCs w:val="20"/>
              </w:rPr>
            </w:pPr>
            <w:r>
              <w:rPr>
                <w:rFonts w:ascii="Times New Roman" w:eastAsia="Arial" w:hAnsi="Times New Roman" w:cs="Arial"/>
                <w:b/>
                <w:bCs/>
                <w:noProof/>
                <w:sz w:val="24"/>
                <w:szCs w:val="20"/>
              </w:rPr>
              <w:t>Is the likely outcome of reform a price change/quantity change?</w:t>
            </w:r>
          </w:p>
        </w:tc>
        <w:tc>
          <w:tcPr>
            <w:tcW w:w="4531" w:type="dxa"/>
          </w:tcPr>
          <w:p w14:paraId="3F002C87" w14:textId="58B58730" w:rsidR="009D678F" w:rsidRDefault="009D678F" w:rsidP="009D678F">
            <w:pPr>
              <w:jc w:val="both"/>
              <w:rPr>
                <w:rFonts w:ascii="Times New Roman" w:eastAsia="Arial" w:hAnsi="Times New Roman" w:cs="Arial"/>
                <w:noProof/>
                <w:sz w:val="24"/>
                <w:szCs w:val="20"/>
              </w:rPr>
            </w:pPr>
            <w:r>
              <w:rPr>
                <w:rFonts w:ascii="Times New Roman" w:hAnsi="Times New Roman"/>
                <w:b/>
                <w:sz w:val="24"/>
              </w:rPr>
              <w:t>Vai ir paredzams, ka reformas rezultātā mainīsies cena/daudzums?</w:t>
            </w:r>
          </w:p>
        </w:tc>
      </w:tr>
      <w:tr w:rsidR="009D678F" w14:paraId="1DEE3294" w14:textId="77777777" w:rsidTr="004E2512">
        <w:tc>
          <w:tcPr>
            <w:tcW w:w="4531" w:type="dxa"/>
          </w:tcPr>
          <w:p w14:paraId="476286F6" w14:textId="232C930E" w:rsidR="009D678F" w:rsidRPr="004E2512" w:rsidRDefault="009D678F" w:rsidP="009D678F">
            <w:pPr>
              <w:jc w:val="both"/>
              <w:rPr>
                <w:rFonts w:ascii="Times New Roman" w:eastAsia="Arial" w:hAnsi="Times New Roman" w:cs="Arial"/>
                <w:noProof/>
                <w:sz w:val="24"/>
                <w:szCs w:val="20"/>
              </w:rPr>
            </w:pPr>
            <w:r>
              <w:rPr>
                <w:rFonts w:ascii="Times New Roman" w:eastAsia="Arial" w:hAnsi="Times New Roman" w:cs="Arial"/>
                <w:noProof/>
                <w:sz w:val="24"/>
                <w:szCs w:val="20"/>
              </w:rPr>
              <w:t>Sto</w:t>
            </w:r>
          </w:p>
        </w:tc>
        <w:tc>
          <w:tcPr>
            <w:tcW w:w="4531" w:type="dxa"/>
          </w:tcPr>
          <w:p w14:paraId="29E05373" w14:textId="471014C7" w:rsidR="009D678F" w:rsidRDefault="009D678F" w:rsidP="009D678F">
            <w:pPr>
              <w:jc w:val="both"/>
              <w:rPr>
                <w:rFonts w:ascii="Times New Roman" w:eastAsia="Arial" w:hAnsi="Times New Roman" w:cs="Arial"/>
                <w:noProof/>
                <w:sz w:val="24"/>
                <w:szCs w:val="20"/>
              </w:rPr>
            </w:pPr>
            <w:r>
              <w:rPr>
                <w:rFonts w:ascii="Times New Roman" w:hAnsi="Times New Roman"/>
                <w:sz w:val="24"/>
              </w:rPr>
              <w:t>Sto</w:t>
            </w:r>
          </w:p>
        </w:tc>
      </w:tr>
      <w:tr w:rsidR="009D678F" w14:paraId="2F77DF84" w14:textId="77777777" w:rsidTr="004E2512">
        <w:tc>
          <w:tcPr>
            <w:tcW w:w="4531" w:type="dxa"/>
          </w:tcPr>
          <w:p w14:paraId="56171C66" w14:textId="00123FC7" w:rsidR="009D678F" w:rsidRPr="004E2512" w:rsidRDefault="009D678F" w:rsidP="009D678F">
            <w:pPr>
              <w:jc w:val="both"/>
              <w:rPr>
                <w:rFonts w:ascii="Times New Roman" w:eastAsia="Arial" w:hAnsi="Times New Roman" w:cs="Arial"/>
                <w:b/>
                <w:bCs/>
                <w:noProof/>
                <w:sz w:val="24"/>
                <w:szCs w:val="20"/>
              </w:rPr>
            </w:pPr>
            <w:r>
              <w:rPr>
                <w:rFonts w:ascii="Times New Roman" w:eastAsia="Arial" w:hAnsi="Times New Roman" w:cs="Arial"/>
                <w:b/>
                <w:bCs/>
                <w:noProof/>
                <w:sz w:val="24"/>
                <w:szCs w:val="20"/>
              </w:rPr>
              <w:t>Is consumer surplus the right variable for comparison?</w:t>
            </w:r>
          </w:p>
        </w:tc>
        <w:tc>
          <w:tcPr>
            <w:tcW w:w="4531" w:type="dxa"/>
          </w:tcPr>
          <w:p w14:paraId="4FA95D94" w14:textId="4EF9F60D" w:rsidR="009D678F" w:rsidRDefault="009D678F" w:rsidP="009D678F">
            <w:pPr>
              <w:jc w:val="both"/>
              <w:rPr>
                <w:rFonts w:ascii="Times New Roman" w:eastAsia="Arial" w:hAnsi="Times New Roman" w:cs="Arial"/>
                <w:noProof/>
                <w:sz w:val="24"/>
                <w:szCs w:val="20"/>
              </w:rPr>
            </w:pPr>
            <w:r>
              <w:rPr>
                <w:rFonts w:ascii="Times New Roman" w:hAnsi="Times New Roman"/>
                <w:b/>
                <w:sz w:val="24"/>
              </w:rPr>
              <w:t>Vai patērētāja ieguvums ir atbilstošs mainīgais lielums salīdzinājuma veikšanai?</w:t>
            </w:r>
          </w:p>
        </w:tc>
      </w:tr>
      <w:tr w:rsidR="009D678F" w14:paraId="2290BEFB" w14:textId="77777777" w:rsidTr="004E2512">
        <w:tc>
          <w:tcPr>
            <w:tcW w:w="4531" w:type="dxa"/>
          </w:tcPr>
          <w:p w14:paraId="24C6A23F" w14:textId="572577E7" w:rsidR="009D678F" w:rsidRDefault="009D678F" w:rsidP="009D678F">
            <w:pPr>
              <w:jc w:val="both"/>
              <w:rPr>
                <w:rFonts w:ascii="Times New Roman" w:eastAsia="Arial" w:hAnsi="Times New Roman" w:cs="Arial"/>
                <w:noProof/>
                <w:sz w:val="24"/>
                <w:szCs w:val="20"/>
              </w:rPr>
            </w:pPr>
            <w:r>
              <w:rPr>
                <w:rFonts w:ascii="Times New Roman" w:eastAsia="Arial" w:hAnsi="Times New Roman" w:cs="Arial"/>
                <w:noProof/>
                <w:sz w:val="24"/>
                <w:szCs w:val="20"/>
              </w:rPr>
              <w:t>Customise quantification to the right variables</w:t>
            </w:r>
          </w:p>
        </w:tc>
        <w:tc>
          <w:tcPr>
            <w:tcW w:w="4531" w:type="dxa"/>
          </w:tcPr>
          <w:p w14:paraId="734B15D0" w14:textId="66612FCE" w:rsidR="009D678F" w:rsidRDefault="009D678F" w:rsidP="009D678F">
            <w:pPr>
              <w:jc w:val="both"/>
              <w:rPr>
                <w:rFonts w:ascii="Times New Roman" w:eastAsia="Arial" w:hAnsi="Times New Roman" w:cs="Arial"/>
                <w:noProof/>
                <w:sz w:val="24"/>
                <w:szCs w:val="20"/>
              </w:rPr>
            </w:pPr>
            <w:r>
              <w:rPr>
                <w:rFonts w:ascii="Times New Roman" w:hAnsi="Times New Roman"/>
                <w:sz w:val="24"/>
              </w:rPr>
              <w:t>Pielāgo kvantitatīvo noteikšanu pareizajiem mainīgajiem lielumiem</w:t>
            </w:r>
          </w:p>
        </w:tc>
      </w:tr>
      <w:tr w:rsidR="009D678F" w14:paraId="27F32003" w14:textId="77777777" w:rsidTr="004E2512">
        <w:tc>
          <w:tcPr>
            <w:tcW w:w="4531" w:type="dxa"/>
          </w:tcPr>
          <w:p w14:paraId="25FB64BF" w14:textId="5375C51D" w:rsidR="009D678F" w:rsidRPr="004E2512" w:rsidRDefault="009D678F" w:rsidP="009D678F">
            <w:pPr>
              <w:jc w:val="both"/>
              <w:rPr>
                <w:rFonts w:ascii="Times New Roman" w:eastAsia="Arial" w:hAnsi="Times New Roman" w:cs="Arial"/>
                <w:b/>
                <w:bCs/>
                <w:noProof/>
                <w:sz w:val="24"/>
                <w:szCs w:val="20"/>
              </w:rPr>
            </w:pPr>
            <w:r>
              <w:rPr>
                <w:rFonts w:ascii="Times New Roman" w:eastAsia="Arial" w:hAnsi="Times New Roman" w:cs="Arial"/>
                <w:b/>
                <w:bCs/>
                <w:noProof/>
                <w:sz w:val="24"/>
                <w:szCs w:val="20"/>
              </w:rPr>
              <w:t>Calculate change in consumer surplus from an expected price change or expected quantity change</w:t>
            </w:r>
          </w:p>
        </w:tc>
        <w:tc>
          <w:tcPr>
            <w:tcW w:w="4531" w:type="dxa"/>
          </w:tcPr>
          <w:p w14:paraId="3854CAC1" w14:textId="3973DEEF" w:rsidR="009D678F" w:rsidRDefault="009D678F" w:rsidP="009D678F">
            <w:pPr>
              <w:jc w:val="both"/>
              <w:rPr>
                <w:rFonts w:ascii="Times New Roman" w:eastAsia="Arial" w:hAnsi="Times New Roman" w:cs="Arial"/>
                <w:noProof/>
                <w:sz w:val="24"/>
                <w:szCs w:val="20"/>
              </w:rPr>
            </w:pPr>
            <w:r>
              <w:rPr>
                <w:rFonts w:ascii="Times New Roman" w:hAnsi="Times New Roman"/>
                <w:b/>
                <w:sz w:val="24"/>
              </w:rPr>
              <w:t>Aprēķina izmaiņas patērētāja ieguvumā no paredzamajām cenas izmaiņām vai daudzuma izmaiņām</w:t>
            </w:r>
          </w:p>
        </w:tc>
      </w:tr>
    </w:tbl>
    <w:p w14:paraId="496913FA" w14:textId="77777777" w:rsidR="000A6469" w:rsidRPr="00582CEC" w:rsidRDefault="000A6469" w:rsidP="004D11C9">
      <w:pPr>
        <w:jc w:val="both"/>
        <w:rPr>
          <w:rFonts w:ascii="Times New Roman" w:eastAsia="Arial" w:hAnsi="Times New Roman" w:cs="Arial"/>
          <w:noProof/>
          <w:sz w:val="24"/>
          <w:szCs w:val="19"/>
        </w:rPr>
      </w:pPr>
    </w:p>
    <w:p w14:paraId="5F303ACE" w14:textId="14E9AFCA"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lastRenderedPageBreak/>
        <w:t>Kvantitatīvajā analīzē ieguvumu un izmaksu mērīšanai var izmantot dažādus mainīgos lielumus. Attiecīgie mainīgie lielumi būs atkarīgi no regulējuma priekšmeta un pieejamo datu veida. Mainīgo lielumu pārbaudi var veikt, izmantojot dažādas iespējamās metodes, sākot no vienkāršām metodēm un līdz pat tādām metodēm, kas ietver dažādas sarežģītības pakāpes.</w:t>
      </w:r>
    </w:p>
    <w:p w14:paraId="584CDAA2" w14:textId="77777777" w:rsidR="000A6469" w:rsidRPr="004D11C9" w:rsidRDefault="000A6469" w:rsidP="004D11C9">
      <w:pPr>
        <w:jc w:val="both"/>
        <w:rPr>
          <w:rFonts w:ascii="Times New Roman" w:eastAsia="Arial" w:hAnsi="Times New Roman" w:cs="Arial"/>
          <w:noProof/>
          <w:sz w:val="24"/>
          <w:szCs w:val="21"/>
        </w:rPr>
      </w:pPr>
    </w:p>
    <w:p w14:paraId="176C64FA" w14:textId="2FF1C799" w:rsidR="000A6469" w:rsidRPr="004D11C9" w:rsidRDefault="004E2512" w:rsidP="004E2512">
      <w:pPr>
        <w:pStyle w:val="Heading3"/>
        <w:tabs>
          <w:tab w:val="left" w:pos="401"/>
        </w:tabs>
        <w:ind w:left="0"/>
        <w:rPr>
          <w:rFonts w:ascii="Times New Roman" w:hAnsi="Times New Roman"/>
          <w:noProof/>
          <w:sz w:val="24"/>
        </w:rPr>
      </w:pPr>
      <w:bookmarkStart w:id="157" w:name="4._Measuring_benefits_and_costs"/>
      <w:bookmarkStart w:id="158" w:name="_bookmark85"/>
      <w:bookmarkStart w:id="159" w:name="_Toc62650490"/>
      <w:bookmarkEnd w:id="157"/>
      <w:bookmarkEnd w:id="158"/>
      <w:r>
        <w:rPr>
          <w:rFonts w:ascii="Times New Roman" w:hAnsi="Times New Roman"/>
          <w:sz w:val="24"/>
        </w:rPr>
        <w:t>4. Ieguvumu un izmaksu mērīšana</w:t>
      </w:r>
      <w:bookmarkEnd w:id="159"/>
    </w:p>
    <w:p w14:paraId="346A826B" w14:textId="77777777" w:rsidR="000A6469" w:rsidRPr="004D11C9" w:rsidRDefault="000A6469" w:rsidP="004D11C9">
      <w:pPr>
        <w:jc w:val="both"/>
        <w:rPr>
          <w:rFonts w:ascii="Times New Roman" w:eastAsia="Arial" w:hAnsi="Times New Roman" w:cs="Arial"/>
          <w:b/>
          <w:bCs/>
          <w:noProof/>
          <w:sz w:val="24"/>
          <w:szCs w:val="21"/>
        </w:rPr>
      </w:pPr>
    </w:p>
    <w:p w14:paraId="4024440A" w14:textId="2597974A" w:rsidR="000A6469" w:rsidRDefault="000A6469" w:rsidP="004D11C9">
      <w:pPr>
        <w:pStyle w:val="BodyText"/>
        <w:ind w:left="0" w:firstLine="0"/>
        <w:jc w:val="both"/>
        <w:rPr>
          <w:rFonts w:ascii="Times New Roman" w:hAnsi="Times New Roman"/>
          <w:noProof/>
          <w:sz w:val="24"/>
        </w:rPr>
      </w:pPr>
      <w:r>
        <w:rPr>
          <w:rFonts w:ascii="Times New Roman" w:hAnsi="Times New Roman"/>
          <w:sz w:val="24"/>
        </w:rPr>
        <w:t>Kvantitatīvajai analīzei pēc būtības ir nepieciešami dati. Taču analīzes virzība nedrīkst būt atkarīga no datu pieejamības. Analīzei ir jānosaka konkrēti mainīgie lielumi, ko būtu lietderīgi izskatīt, jo to mērīšana būtu noderīga hipotēzes novērtēšanai. Ņemot vērā pamatotas hipotēzes, vērtētājam jāizlemj, kuriem mainīgajiem lielumiem pievērst galveno uzmanību un kā savākt nepieciešamos datus, ja tie nav sagatavoti jau iepriekš. Šādā gadījumā jāatbild uz diviem galvenajiem jautājumiem:</w:t>
      </w:r>
    </w:p>
    <w:p w14:paraId="4393A822" w14:textId="77777777" w:rsidR="004E2512" w:rsidRPr="004D11C9" w:rsidRDefault="004E2512" w:rsidP="004D11C9">
      <w:pPr>
        <w:pStyle w:val="BodyText"/>
        <w:ind w:left="0" w:firstLine="0"/>
        <w:jc w:val="both"/>
        <w:rPr>
          <w:rFonts w:ascii="Times New Roman" w:hAnsi="Times New Roman"/>
          <w:noProof/>
          <w:sz w:val="24"/>
        </w:rPr>
      </w:pPr>
    </w:p>
    <w:p w14:paraId="4A53115E" w14:textId="77777777" w:rsidR="000A6469" w:rsidRPr="004D11C9" w:rsidRDefault="000A6469" w:rsidP="004E2512">
      <w:pPr>
        <w:pStyle w:val="BodyText"/>
        <w:numPr>
          <w:ilvl w:val="0"/>
          <w:numId w:val="8"/>
        </w:numPr>
        <w:ind w:left="426" w:hanging="426"/>
        <w:jc w:val="both"/>
        <w:rPr>
          <w:rFonts w:ascii="Times New Roman" w:hAnsi="Times New Roman"/>
          <w:noProof/>
          <w:sz w:val="24"/>
        </w:rPr>
      </w:pPr>
      <w:r>
        <w:rPr>
          <w:rFonts w:ascii="Times New Roman" w:hAnsi="Times New Roman"/>
          <w:sz w:val="24"/>
        </w:rPr>
        <w:t>Kas tiek mērīts?</w:t>
      </w:r>
    </w:p>
    <w:p w14:paraId="6FCE25E7" w14:textId="77777777" w:rsidR="000A6469" w:rsidRPr="004D11C9" w:rsidRDefault="000A6469" w:rsidP="004E2512">
      <w:pPr>
        <w:pStyle w:val="BodyText"/>
        <w:numPr>
          <w:ilvl w:val="0"/>
          <w:numId w:val="8"/>
        </w:numPr>
        <w:ind w:left="426" w:hanging="426"/>
        <w:jc w:val="both"/>
        <w:rPr>
          <w:rFonts w:ascii="Times New Roman" w:hAnsi="Times New Roman"/>
          <w:noProof/>
          <w:sz w:val="24"/>
        </w:rPr>
      </w:pPr>
      <w:r>
        <w:rPr>
          <w:rFonts w:ascii="Times New Roman" w:hAnsi="Times New Roman"/>
          <w:sz w:val="24"/>
        </w:rPr>
        <w:t>Kā tiek savākta informācija?</w:t>
      </w:r>
    </w:p>
    <w:p w14:paraId="5290F831" w14:textId="77777777" w:rsidR="000A6469" w:rsidRPr="004D11C9" w:rsidRDefault="000A6469" w:rsidP="004D11C9">
      <w:pPr>
        <w:jc w:val="both"/>
        <w:rPr>
          <w:rFonts w:ascii="Times New Roman" w:eastAsia="Arial" w:hAnsi="Times New Roman" w:cs="Arial"/>
          <w:noProof/>
          <w:sz w:val="24"/>
          <w:szCs w:val="20"/>
        </w:rPr>
      </w:pPr>
    </w:p>
    <w:p w14:paraId="1E8E5196"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Lai atbildētu uz šiem jautājumiem, nāksies veikt ar konkrēto regulējumu vai izskatāmo nozari saistīto faktu izpēti. Tas, kādi dati ir nepieciešami, būs atkarīgs no tā, kādas hipotēzes tiks pārbaudītas ar šiem datiem. Pieejamie (vai potenciāli pieejamie) dati var ierobežot pārbaudāmo hipotēžu kopumu. Dažās nozarēs, piemēram, veselības aizsardzības un transporta nozarē, ir pieejams ievērojams iepriekš sagatavotu datu apjoms. Tomēr konfidencialitātes noteikumu dēļ politikas analītiķim var nebūt pieejami noteikti specifiski dati par veselības aprūpes izmantošanu. Šādos gadījumos var tikt pieprasīti atbrīvojumi vai izraudzītajām iestādēm iesniegti pieteikumi par datu izmantošanu tādā veidā, kas neatklāj personas identificējošu informāciju.</w:t>
      </w:r>
    </w:p>
    <w:p w14:paraId="54DC9C8A" w14:textId="77777777" w:rsidR="000A6469" w:rsidRPr="004D11C9" w:rsidRDefault="000A6469" w:rsidP="004D11C9">
      <w:pPr>
        <w:jc w:val="both"/>
        <w:rPr>
          <w:rFonts w:ascii="Times New Roman" w:eastAsia="Arial" w:hAnsi="Times New Roman" w:cs="Arial"/>
          <w:noProof/>
          <w:sz w:val="24"/>
          <w:szCs w:val="21"/>
        </w:rPr>
      </w:pPr>
    </w:p>
    <w:p w14:paraId="2E6E4B0D" w14:textId="42AAB8C9" w:rsidR="000A6469" w:rsidRPr="004D11C9" w:rsidRDefault="004E2512" w:rsidP="004E2512">
      <w:pPr>
        <w:pStyle w:val="Heading4"/>
        <w:tabs>
          <w:tab w:val="left" w:pos="583"/>
        </w:tabs>
        <w:ind w:left="0"/>
        <w:rPr>
          <w:rFonts w:ascii="Times New Roman" w:hAnsi="Times New Roman"/>
          <w:noProof/>
          <w:sz w:val="24"/>
        </w:rPr>
      </w:pPr>
      <w:r>
        <w:rPr>
          <w:rFonts w:ascii="Times New Roman" w:hAnsi="Times New Roman"/>
          <w:sz w:val="24"/>
        </w:rPr>
        <w:t>4.1. Kas tiek mērīts?</w:t>
      </w:r>
    </w:p>
    <w:p w14:paraId="5842014C" w14:textId="77777777" w:rsidR="000A6469" w:rsidRPr="004D11C9" w:rsidRDefault="000A6469" w:rsidP="004D11C9">
      <w:pPr>
        <w:jc w:val="both"/>
        <w:rPr>
          <w:rFonts w:ascii="Times New Roman" w:eastAsia="Arial" w:hAnsi="Times New Roman" w:cs="Arial"/>
          <w:b/>
          <w:bCs/>
          <w:i/>
          <w:noProof/>
          <w:sz w:val="24"/>
          <w:szCs w:val="21"/>
        </w:rPr>
      </w:pPr>
    </w:p>
    <w:p w14:paraId="773896B3" w14:textId="70BF6BB2"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Parasti mērījumos tiek izmantoti dati par tādiem mainīgajiem lielumiem kā patērētāju ieguvumi, izmaksas, nodarbinātība, produkcija, produktivitāte, laiks un rentabilitāte. Daži no šiem mainīgajiem lielumiem pēc būtības ir monetāri, (piemēram, izmaksas), citus var pārvērst monetārā izteiksmē, piemēram, patērētāju ieguvumus, un citi ir galvenokārt nemonetāri, piemēram, nodarbinātība.</w:t>
      </w:r>
    </w:p>
    <w:p w14:paraId="50FA45EA" w14:textId="77777777" w:rsidR="000A6469" w:rsidRPr="004D11C9" w:rsidRDefault="000A6469" w:rsidP="004D11C9">
      <w:pPr>
        <w:jc w:val="both"/>
        <w:rPr>
          <w:rFonts w:ascii="Times New Roman" w:eastAsia="Arial" w:hAnsi="Times New Roman" w:cs="Arial"/>
          <w:noProof/>
          <w:sz w:val="24"/>
          <w:szCs w:val="20"/>
        </w:rPr>
      </w:pPr>
    </w:p>
    <w:p w14:paraId="2C5909A3"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Monetārā izteiksmē izteikti mainīgie lielumi ir vērtīgi, jo tie nodrošina vienotu skalu ietekmes uz dažādiem produktiem mērīšanai un salīdzināšanai ar jebkādām identificējamām politikas izmaksām. Faktiski daudzus dažādus mainīgos lielumus var izteikt naudā pat tad, ja to veic tikai izpētes vajadzībām.</w:t>
      </w:r>
    </w:p>
    <w:p w14:paraId="6ED36DB5" w14:textId="77777777" w:rsidR="000A6469" w:rsidRPr="004D11C9" w:rsidRDefault="000A6469" w:rsidP="004D11C9">
      <w:pPr>
        <w:jc w:val="both"/>
        <w:rPr>
          <w:rFonts w:ascii="Times New Roman" w:eastAsia="Arial" w:hAnsi="Times New Roman" w:cs="Arial"/>
          <w:noProof/>
          <w:sz w:val="24"/>
          <w:szCs w:val="20"/>
        </w:rPr>
      </w:pPr>
    </w:p>
    <w:p w14:paraId="75AEF995" w14:textId="23C83CB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Nemonetāriem mainīgajiem lielumiem var būt augsta vērtība. Statistika par nodarbinātību var būt ļoti svarīga dažādām auditorijām, tostarp sabiedrībai un politiķiem.</w:t>
      </w:r>
      <w:r w:rsidR="004E2512">
        <w:rPr>
          <w:rStyle w:val="FootnoteReference"/>
          <w:rFonts w:ascii="Times New Roman" w:hAnsi="Times New Roman"/>
          <w:noProof/>
          <w:sz w:val="24"/>
        </w:rPr>
        <w:footnoteReference w:id="8"/>
      </w:r>
      <w:r>
        <w:rPr>
          <w:rFonts w:ascii="Times New Roman" w:hAnsi="Times New Roman"/>
          <w:sz w:val="24"/>
        </w:rPr>
        <w:t xml:space="preserve"> Piemēram, izskatot importa kvotas ietekmi, var aprēķināt, cik patērētājiem izmaksā saglabāt vienu darba vietu autorūpniecības nozarē uz vienu gadu. Citi mainīgie lielumi, ko ir iespējams aprēķināt, ir samazināts gaidīšanas laiks (piemēram, taksometriem), darbaspēka pieejamības palielināšana transportam un </w:t>
      </w:r>
      <w:r>
        <w:rPr>
          <w:rFonts w:ascii="Times New Roman" w:hAnsi="Times New Roman"/>
          <w:i/>
          <w:sz w:val="24"/>
        </w:rPr>
        <w:t>QALY</w:t>
      </w:r>
      <w:r>
        <w:rPr>
          <w:rFonts w:ascii="Times New Roman" w:hAnsi="Times New Roman"/>
          <w:sz w:val="24"/>
        </w:rPr>
        <w:t xml:space="preserve"> (kvalitātes koriģēti dzīves gadi, ko dažkārt izmanto veselības aprūpes darbā).</w:t>
      </w:r>
    </w:p>
    <w:p w14:paraId="54A9C313" w14:textId="53CDFCBD" w:rsidR="000A6469" w:rsidRDefault="000A6469" w:rsidP="004D11C9">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2E74BF" w14:paraId="4A53F6A4" w14:textId="77777777" w:rsidTr="002E74BF">
        <w:tc>
          <w:tcPr>
            <w:tcW w:w="9062" w:type="dxa"/>
          </w:tcPr>
          <w:p w14:paraId="61B07A62" w14:textId="51BA6A4A" w:rsidR="002E74BF" w:rsidRDefault="002E74BF" w:rsidP="000F3534">
            <w:pPr>
              <w:jc w:val="center"/>
              <w:rPr>
                <w:rFonts w:ascii="Times New Roman" w:eastAsia="Arial" w:hAnsi="Times New Roman" w:cs="Arial"/>
                <w:noProof/>
                <w:sz w:val="24"/>
                <w:szCs w:val="20"/>
              </w:rPr>
            </w:pPr>
            <w:r>
              <w:rPr>
                <w:rFonts w:ascii="Times New Roman" w:hAnsi="Times New Roman"/>
                <w:b/>
                <w:sz w:val="24"/>
              </w:rPr>
              <w:t>52. ierāmējums. Nemonetāro mainīgo lielumu pārvēršana naudas izteiksmē</w:t>
            </w:r>
          </w:p>
        </w:tc>
      </w:tr>
      <w:tr w:rsidR="002E74BF" w14:paraId="66D56BE8" w14:textId="77777777" w:rsidTr="002E74BF">
        <w:tc>
          <w:tcPr>
            <w:tcW w:w="9062" w:type="dxa"/>
          </w:tcPr>
          <w:p w14:paraId="1229C0C8" w14:textId="3A1FF7E9" w:rsidR="002E74BF" w:rsidRPr="002E74BF" w:rsidRDefault="002E74BF" w:rsidP="004D11C9">
            <w:pPr>
              <w:jc w:val="both"/>
              <w:rPr>
                <w:rFonts w:ascii="Times New Roman" w:eastAsia="Arial" w:hAnsi="Times New Roman" w:cs="Arial"/>
                <w:noProof/>
                <w:sz w:val="24"/>
                <w:szCs w:val="18"/>
              </w:rPr>
            </w:pPr>
            <w:r>
              <w:rPr>
                <w:rFonts w:ascii="Times New Roman" w:hAnsi="Times New Roman"/>
                <w:sz w:val="24"/>
              </w:rPr>
              <w:t>Dažkārt nemonetāros mainīgos lielumus (piemēram, taksometru gaidīšanas laiku) ir iespējams pārvērst naudas izteiksmē. Pieņemsim, ka pēc reformas taksometru gaidīšanas maksimālais laiks samazināsies no 40 minūtēm līdz 10 minūtēm. Pieņemsim, ka pirms reformas 10 000 cilvēku katru dienu brauc ar taksometru. Gaidīšanas laikam samazinoties par 30 minūtēm, tipisks sastrēgumu laika taksometra pasažieris iegūst 30 minūtes dienā. Ja vienas personas brīvā laika stundas vidējā vērtība ir 8 eiro, tad viena lietotāja ieguvums no reformas, proti, 4 eiro dienā, rēķinot uz 10 000 cilvēku, sasniegtu 40 000 eiro dienā vai 14,6 miljonus eiro gadā. Jāņem vērā, ka šajā aprēķinā nav ņemti vērā jaunie taksometru pakalpojumu lietotāji, ko var piesaistīt gaidīšanas laika samazināšanās.</w:t>
            </w:r>
          </w:p>
        </w:tc>
      </w:tr>
    </w:tbl>
    <w:p w14:paraId="103C47AE" w14:textId="77777777" w:rsidR="000A6469" w:rsidRPr="004D11C9" w:rsidRDefault="000A6469" w:rsidP="004D11C9">
      <w:pPr>
        <w:jc w:val="both"/>
        <w:rPr>
          <w:rFonts w:ascii="Times New Roman" w:eastAsia="Arial" w:hAnsi="Times New Roman" w:cs="Arial"/>
          <w:noProof/>
          <w:sz w:val="24"/>
          <w:szCs w:val="14"/>
        </w:rPr>
      </w:pPr>
    </w:p>
    <w:p w14:paraId="73969E46"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Patērētāja ieguvumu nemateriālā vērtība var būt svarīga un grūti nosakāma. Piemēram, norma, kas paaugstina dzirdes aparātu cenu vai ierobežo to pieejamību, ietekmēs daudzu cilvēku dzirdi; tiks ietekmēta viņu sociālā, ģimenes un profesionālā dzīve. Var būt sarežģīti novērtēt zaudējumus, ko rada ierobežota kontaktēšanās, bet to ir iespējams izdarīt, piemēram, veicot aptauju par gatavību maksāt par sarunām ar ģimeni vai pētot zaudēto peļņu, ko rada ierobežota saziņa darba vietā. Dažos gadījumos, zinot, kā preces cenas izmaiņas ietekmē nopirkto preču daudzumu, vērtētājs var novērtēt patērētāja ieguvumu vai aprēķināt minimālo līmeni.</w:t>
      </w:r>
    </w:p>
    <w:p w14:paraId="7442C8E1" w14:textId="77777777" w:rsidR="000A6469" w:rsidRPr="004D11C9" w:rsidRDefault="000A6469" w:rsidP="004D11C9">
      <w:pPr>
        <w:jc w:val="both"/>
        <w:rPr>
          <w:rFonts w:ascii="Times New Roman" w:eastAsia="Arial" w:hAnsi="Times New Roman" w:cs="Arial"/>
          <w:noProof/>
          <w:sz w:val="24"/>
          <w:szCs w:val="20"/>
        </w:rPr>
      </w:pPr>
    </w:p>
    <w:p w14:paraId="41215DD8"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Jāvāc tāda informācija, kas ir būtiska izskatāmajam jautājumam. Ja pieejamā nozares informācija nav būtiska izskatāmo jautājumu novērtēšanai, ir svarīgi meklēt citus informācijas avotus.</w:t>
      </w:r>
    </w:p>
    <w:p w14:paraId="3819F5EB" w14:textId="77777777" w:rsidR="000A6469" w:rsidRPr="004D11C9" w:rsidRDefault="000A6469" w:rsidP="004D11C9">
      <w:pPr>
        <w:jc w:val="both"/>
        <w:rPr>
          <w:rFonts w:ascii="Times New Roman" w:eastAsia="Arial" w:hAnsi="Times New Roman" w:cs="Arial"/>
          <w:noProof/>
          <w:sz w:val="24"/>
          <w:szCs w:val="21"/>
        </w:rPr>
      </w:pPr>
    </w:p>
    <w:p w14:paraId="56FC1907" w14:textId="253A214E" w:rsidR="000A6469" w:rsidRPr="004D11C9" w:rsidRDefault="002E74BF" w:rsidP="002E74BF">
      <w:pPr>
        <w:pStyle w:val="Heading4"/>
        <w:tabs>
          <w:tab w:val="left" w:pos="743"/>
        </w:tabs>
        <w:ind w:left="0"/>
        <w:rPr>
          <w:rFonts w:ascii="Times New Roman" w:hAnsi="Times New Roman"/>
          <w:noProof/>
          <w:sz w:val="24"/>
        </w:rPr>
      </w:pPr>
      <w:bookmarkStart w:id="160" w:name="4.2._How_to_gather_data"/>
      <w:bookmarkEnd w:id="160"/>
      <w:r>
        <w:rPr>
          <w:rFonts w:ascii="Times New Roman" w:hAnsi="Times New Roman"/>
          <w:sz w:val="24"/>
        </w:rPr>
        <w:t>4.2. Kā savākt datus?</w:t>
      </w:r>
    </w:p>
    <w:p w14:paraId="20590786" w14:textId="77777777" w:rsidR="000A6469" w:rsidRPr="004D11C9" w:rsidRDefault="000A6469" w:rsidP="004D11C9">
      <w:pPr>
        <w:jc w:val="both"/>
        <w:rPr>
          <w:rFonts w:ascii="Times New Roman" w:eastAsia="Arial" w:hAnsi="Times New Roman" w:cs="Arial"/>
          <w:b/>
          <w:bCs/>
          <w:i/>
          <w:noProof/>
          <w:sz w:val="24"/>
          <w:szCs w:val="21"/>
        </w:rPr>
      </w:pPr>
    </w:p>
    <w:p w14:paraId="5526417B" w14:textId="1CEDF514"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Būtiskas informācijas vākšanai ir svarīgs vērtētāja uzdevums. Valsts statistikas biroji apkopo ļoti daudzveidīgu informāciju, un dažkārt tā var būt noderīga valsts norīkotiem pārbaudes veicējiem un pieejama bez maksas. Dažkārt savāktie dati nav paredzēti izplatīšanai, bet tiek glabāti viegli lietojamās formās. Piemēram, inflācijas rādītāju novērtēšanai savāktie dati par cenām var būt samērā detalizēti un specifiski attiecībā uz konkrētu produktu. Lai arī dati var nebūt publiskoti, datu turētāji var darīt tos pieejamus izmantošanai valsts pārvaldes vajadzībām. Taču bieži vien vislabākie dati par kādu noteiktu tematu ir konfidenciāli un atrodas fizisku personu rīcībā vai ir iekļauti komerciālās datubāzēs, kam ir noteikta augsta piekļuves maksa. Valstij var nākties pirkt šos datus, lai iegūtu savā rīcībā šādu informāciju. Tā kā valsts parasti nav paredzējusi izmantot datus komerciāliem mērķiem, tā bieži var vienoties par atlaidēm no pilnās tirgus cenas. Dažās valstīs konkurences novērtējumu veicošās struktūras var būt tiesīgas pieprasīt datu sniegšanu. Taču pagaidām šī nav standarta prakse. Līdz ar to pārbaudes veicēji var lūgt regulējumā ieinteresētajām personām sniegt datus brīvprātīgi.</w:t>
      </w:r>
    </w:p>
    <w:p w14:paraId="37AAFD93" w14:textId="77777777" w:rsidR="000A6469" w:rsidRPr="004D11C9" w:rsidRDefault="000A6469" w:rsidP="004D11C9">
      <w:pPr>
        <w:jc w:val="both"/>
        <w:rPr>
          <w:rFonts w:ascii="Times New Roman" w:eastAsia="Arial" w:hAnsi="Times New Roman" w:cs="Arial"/>
          <w:noProof/>
          <w:sz w:val="24"/>
          <w:szCs w:val="20"/>
        </w:rPr>
      </w:pPr>
    </w:p>
    <w:p w14:paraId="35CECDD7"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Bieži vien būtisku informāciju glabās ne tikai ieinteresētās personas, bet arī citas personas. Izplatītākie informācijas avoti ir šādi:</w:t>
      </w:r>
    </w:p>
    <w:p w14:paraId="59BB77FD" w14:textId="77777777" w:rsidR="000A6469" w:rsidRPr="004D11C9" w:rsidRDefault="000A6469" w:rsidP="004D11C9">
      <w:pPr>
        <w:jc w:val="both"/>
        <w:rPr>
          <w:rFonts w:ascii="Times New Roman" w:eastAsia="Arial" w:hAnsi="Times New Roman" w:cs="Arial"/>
          <w:noProof/>
          <w:sz w:val="24"/>
          <w:szCs w:val="20"/>
        </w:rPr>
      </w:pPr>
    </w:p>
    <w:p w14:paraId="07F6F84F" w14:textId="77777777" w:rsidR="000A6469" w:rsidRPr="004D11C9" w:rsidRDefault="000A6469" w:rsidP="002E74BF">
      <w:pPr>
        <w:pStyle w:val="BodyText"/>
        <w:numPr>
          <w:ilvl w:val="2"/>
          <w:numId w:val="12"/>
        </w:numPr>
        <w:ind w:left="426" w:hanging="426"/>
        <w:jc w:val="both"/>
        <w:rPr>
          <w:rFonts w:ascii="Times New Roman" w:hAnsi="Times New Roman"/>
          <w:noProof/>
          <w:sz w:val="24"/>
        </w:rPr>
      </w:pPr>
      <w:r>
        <w:rPr>
          <w:rFonts w:ascii="Times New Roman" w:hAnsi="Times New Roman"/>
          <w:sz w:val="24"/>
        </w:rPr>
        <w:t>valsts datu avoti (piemēram, statistikas biroji, nozares ministrijas);</w:t>
      </w:r>
    </w:p>
    <w:p w14:paraId="28A0A88C" w14:textId="77777777" w:rsidR="000A6469" w:rsidRPr="004D11C9" w:rsidRDefault="000A6469" w:rsidP="002E74BF">
      <w:pPr>
        <w:pStyle w:val="BodyText"/>
        <w:numPr>
          <w:ilvl w:val="2"/>
          <w:numId w:val="12"/>
        </w:numPr>
        <w:ind w:left="426" w:hanging="426"/>
        <w:jc w:val="both"/>
        <w:rPr>
          <w:rFonts w:ascii="Times New Roman" w:hAnsi="Times New Roman"/>
          <w:noProof/>
          <w:sz w:val="24"/>
        </w:rPr>
      </w:pPr>
      <w:r>
        <w:rPr>
          <w:rFonts w:ascii="Times New Roman" w:hAnsi="Times New Roman"/>
          <w:sz w:val="24"/>
        </w:rPr>
        <w:t>privātie apsekojumi (piemēram, apsekojumu uzņēmumi, kas sagatavo ziņojumus par tirgus apstākļiem, patērētāju ieradumiem un vēlmēm, kā arī par citiem jautājumiem);</w:t>
      </w:r>
    </w:p>
    <w:p w14:paraId="366EBF07" w14:textId="77777777" w:rsidR="000A6469" w:rsidRPr="004D11C9" w:rsidRDefault="000A6469" w:rsidP="002E74BF">
      <w:pPr>
        <w:pStyle w:val="BodyText"/>
        <w:numPr>
          <w:ilvl w:val="2"/>
          <w:numId w:val="12"/>
        </w:numPr>
        <w:ind w:left="426" w:hanging="426"/>
        <w:jc w:val="both"/>
        <w:rPr>
          <w:rFonts w:ascii="Times New Roman" w:hAnsi="Times New Roman"/>
          <w:noProof/>
          <w:sz w:val="24"/>
        </w:rPr>
      </w:pPr>
      <w:r>
        <w:rPr>
          <w:rFonts w:ascii="Times New Roman" w:hAnsi="Times New Roman"/>
          <w:sz w:val="24"/>
        </w:rPr>
        <w:t>nozares apvienības (nozares apvienības parasti vāc, apkopo un izplata nozarei svarīgu informāciju, tostarp skaitlisku informāciju par produkciju, jaudas izmantojumu un cenām);</w:t>
      </w:r>
    </w:p>
    <w:p w14:paraId="51A343E9" w14:textId="77777777" w:rsidR="000A6469" w:rsidRPr="004D11C9" w:rsidRDefault="000A6469" w:rsidP="002E74BF">
      <w:pPr>
        <w:pStyle w:val="BodyText"/>
        <w:numPr>
          <w:ilvl w:val="2"/>
          <w:numId w:val="12"/>
        </w:numPr>
        <w:ind w:left="426" w:hanging="426"/>
        <w:jc w:val="both"/>
        <w:rPr>
          <w:rFonts w:ascii="Times New Roman" w:hAnsi="Times New Roman"/>
          <w:noProof/>
          <w:sz w:val="24"/>
        </w:rPr>
      </w:pPr>
      <w:r>
        <w:rPr>
          <w:rFonts w:ascii="Times New Roman" w:hAnsi="Times New Roman"/>
          <w:sz w:val="24"/>
        </w:rPr>
        <w:t xml:space="preserve">uzņēmumu gada pārskati (gada pārskatos var būt sniegta ne tikai finanšu informācija bilanču un peļņas vai zaudējumu aprēķinu formā, bet arī vispārīgāka informācija par tirgus </w:t>
      </w:r>
      <w:r>
        <w:rPr>
          <w:rFonts w:ascii="Times New Roman" w:hAnsi="Times New Roman"/>
          <w:sz w:val="24"/>
        </w:rPr>
        <w:lastRenderedPageBreak/>
        <w:t>apstākļiem, tehnoloģiju attīstību un uzņēmumu stratēģiju);</w:t>
      </w:r>
    </w:p>
    <w:p w14:paraId="7F712FB6" w14:textId="77777777" w:rsidR="000A6469" w:rsidRPr="004D11C9" w:rsidRDefault="000A6469" w:rsidP="002E74BF">
      <w:pPr>
        <w:pStyle w:val="BodyText"/>
        <w:numPr>
          <w:ilvl w:val="2"/>
          <w:numId w:val="12"/>
        </w:numPr>
        <w:ind w:left="426" w:hanging="426"/>
        <w:jc w:val="both"/>
        <w:rPr>
          <w:rFonts w:ascii="Times New Roman" w:hAnsi="Times New Roman"/>
          <w:noProof/>
          <w:sz w:val="24"/>
        </w:rPr>
      </w:pPr>
      <w:r>
        <w:rPr>
          <w:rFonts w:ascii="Times New Roman" w:hAnsi="Times New Roman"/>
          <w:sz w:val="24"/>
        </w:rPr>
        <w:t>analītiķu ziņojumi (vērtspapīru analītiķu ziņojumos vai nozares analītiķu ziņojumos var būt sniegta ļoti vērtīga informācija par nozares attīstības tendencēm, tehnoloģijas izmaiņām un tirgus apstākļiem);</w:t>
      </w:r>
    </w:p>
    <w:p w14:paraId="344052CD" w14:textId="77777777" w:rsidR="000A6469" w:rsidRPr="004D11C9" w:rsidRDefault="000A6469" w:rsidP="002E74BF">
      <w:pPr>
        <w:pStyle w:val="BodyText"/>
        <w:numPr>
          <w:ilvl w:val="2"/>
          <w:numId w:val="12"/>
        </w:numPr>
        <w:ind w:left="426" w:hanging="426"/>
        <w:jc w:val="both"/>
        <w:rPr>
          <w:rFonts w:ascii="Times New Roman" w:hAnsi="Times New Roman"/>
          <w:noProof/>
          <w:sz w:val="24"/>
        </w:rPr>
      </w:pPr>
      <w:r>
        <w:rPr>
          <w:rFonts w:ascii="Times New Roman" w:hAnsi="Times New Roman"/>
          <w:sz w:val="24"/>
        </w:rPr>
        <w:t>komerciālu datu vākšanas organizācijas (komerciālu datu vākšanas organizācijas var apkopot dažādu informāciju, ko uzņēmumi var izmantot savu produktu un tirgu novērtēšanai, piemēram, datus par pārdošanu un cenām noteiktā tirdzniecības vietā);</w:t>
      </w:r>
    </w:p>
    <w:p w14:paraId="22B55BB7" w14:textId="77777777" w:rsidR="000A6469" w:rsidRPr="004D11C9" w:rsidRDefault="000A6469" w:rsidP="002E74BF">
      <w:pPr>
        <w:pStyle w:val="BodyText"/>
        <w:numPr>
          <w:ilvl w:val="2"/>
          <w:numId w:val="12"/>
        </w:numPr>
        <w:ind w:left="426" w:hanging="426"/>
        <w:jc w:val="both"/>
        <w:rPr>
          <w:rFonts w:ascii="Times New Roman" w:hAnsi="Times New Roman"/>
          <w:noProof/>
          <w:sz w:val="24"/>
        </w:rPr>
      </w:pPr>
      <w:r>
        <w:rPr>
          <w:rFonts w:ascii="Times New Roman" w:hAnsi="Times New Roman"/>
          <w:sz w:val="24"/>
        </w:rPr>
        <w:t>konkurences lietas (no atklātības viedokļa konkurences lietas var būt īpaši noderīgi datu avoti, ko var izmantot tirgus izpētei. Kopumā noderīgu informāciju var sniegt arī regulatīvās lietas un tiesas prāvas privāttiesību lietās) un</w:t>
      </w:r>
    </w:p>
    <w:p w14:paraId="228C3BC5" w14:textId="77777777" w:rsidR="000A6469" w:rsidRPr="004D11C9" w:rsidRDefault="000A6469" w:rsidP="002E74BF">
      <w:pPr>
        <w:pStyle w:val="BodyText"/>
        <w:numPr>
          <w:ilvl w:val="2"/>
          <w:numId w:val="12"/>
        </w:numPr>
        <w:ind w:left="426" w:hanging="426"/>
        <w:jc w:val="both"/>
        <w:rPr>
          <w:rFonts w:ascii="Times New Roman" w:hAnsi="Times New Roman"/>
          <w:noProof/>
          <w:sz w:val="24"/>
        </w:rPr>
      </w:pPr>
      <w:r>
        <w:rPr>
          <w:rFonts w:ascii="Times New Roman" w:hAnsi="Times New Roman"/>
          <w:sz w:val="24"/>
        </w:rPr>
        <w:t>nozares eksperti (nozares eksperti mēdz vākt vērtīgus datus savām vajadzībām).</w:t>
      </w:r>
    </w:p>
    <w:p w14:paraId="78DDC88F" w14:textId="77777777" w:rsidR="000A6469" w:rsidRPr="004D11C9" w:rsidRDefault="000A6469" w:rsidP="004D11C9">
      <w:pPr>
        <w:jc w:val="both"/>
        <w:rPr>
          <w:rFonts w:ascii="Times New Roman" w:eastAsia="Arial" w:hAnsi="Times New Roman" w:cs="Arial"/>
          <w:noProof/>
          <w:sz w:val="24"/>
          <w:szCs w:val="17"/>
        </w:rPr>
      </w:pPr>
    </w:p>
    <w:p w14:paraId="4776EAC5" w14:textId="63A2DE3B"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Dažkārt attiecībā uz īpaši svarīgiem noteikumiem informācija var būt savākta ar īpašu nolūku pieņemt lēmumu par to, kā strukturēt regulējumu. Informācijas vākšana ne vienmēr ir grūts uzdevums. Piemēram, tai var būt nepieciešama viena diena aptaujas veikšanai pa tālruni.</w:t>
      </w:r>
    </w:p>
    <w:p w14:paraId="3819526C" w14:textId="77777777" w:rsidR="000A6469" w:rsidRPr="004D11C9" w:rsidRDefault="000A6469" w:rsidP="004D11C9">
      <w:pPr>
        <w:jc w:val="both"/>
        <w:rPr>
          <w:rFonts w:ascii="Times New Roman" w:eastAsia="Arial" w:hAnsi="Times New Roman" w:cs="Arial"/>
          <w:noProof/>
          <w:sz w:val="24"/>
          <w:szCs w:val="17"/>
        </w:rPr>
      </w:pPr>
    </w:p>
    <w:p w14:paraId="3E7BBE52"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Dažkārt attiecīgo hipotēžu pārbaudīšanai nepieciešamie dati var būt pieejami citās valstīs. Ar šādiem datiem var aizstāt vietējos datus, ja tie nav pieejami un ja starp abām valstīm pastāv salīdzināmi patēriņa apstākļi un regulatīvie nosacījumi.</w:t>
      </w:r>
    </w:p>
    <w:p w14:paraId="2C411566" w14:textId="77777777" w:rsidR="000A6469" w:rsidRPr="004D11C9" w:rsidRDefault="000A6469" w:rsidP="004D11C9">
      <w:pPr>
        <w:jc w:val="both"/>
        <w:rPr>
          <w:rFonts w:ascii="Times New Roman" w:eastAsia="Arial" w:hAnsi="Times New Roman" w:cs="Arial"/>
          <w:noProof/>
          <w:sz w:val="24"/>
          <w:szCs w:val="18"/>
        </w:rPr>
      </w:pPr>
    </w:p>
    <w:p w14:paraId="57DEBA14" w14:textId="09A1AE85" w:rsidR="000A6469" w:rsidRPr="004D11C9" w:rsidRDefault="002E74BF" w:rsidP="002E74BF">
      <w:pPr>
        <w:pStyle w:val="Heading4"/>
        <w:tabs>
          <w:tab w:val="left" w:pos="583"/>
        </w:tabs>
        <w:ind w:left="0"/>
        <w:rPr>
          <w:rFonts w:ascii="Times New Roman" w:hAnsi="Times New Roman"/>
          <w:noProof/>
          <w:sz w:val="24"/>
        </w:rPr>
      </w:pPr>
      <w:bookmarkStart w:id="161" w:name="4.3._Simple_methods"/>
      <w:bookmarkEnd w:id="161"/>
      <w:r>
        <w:rPr>
          <w:rFonts w:ascii="Times New Roman" w:hAnsi="Times New Roman"/>
          <w:sz w:val="24"/>
        </w:rPr>
        <w:t>4.3. Vienkāršas metodes</w:t>
      </w:r>
    </w:p>
    <w:p w14:paraId="16956ACF" w14:textId="77777777" w:rsidR="000A6469" w:rsidRPr="004D11C9" w:rsidRDefault="000A6469" w:rsidP="004D11C9">
      <w:pPr>
        <w:jc w:val="both"/>
        <w:rPr>
          <w:rFonts w:ascii="Times New Roman" w:eastAsia="Arial" w:hAnsi="Times New Roman" w:cs="Arial"/>
          <w:b/>
          <w:bCs/>
          <w:i/>
          <w:noProof/>
          <w:sz w:val="24"/>
          <w:szCs w:val="17"/>
        </w:rPr>
      </w:pPr>
    </w:p>
    <w:p w14:paraId="7D2F3CFF"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Lai gan sarežģītāka analīze var būt balstīta uz sarežģītām ekonometrijas metodēm, kas ļauj aprēķināt, piemēram, izmaksu un pieprasījuma savstarpējo saistību, vienkāršas metodes kvantitatīvu aplēšu veikšanai bieži nodrošina saprotamus, pārbaudāmus un pārskatāmus rezultātus. Viena no vienkāršu metožu priekšrocībām ir tā, ka tās parasti ir viegli izskaidrojamas un līdz ar to pārliecinošākas lēmumu pieņēmējiem nekā sarežģītas metodes, kuru pamatā ir ekonometrija vai neintuitīvi ekonomiskie modeļi. Ja vienkāršas metodes nav pieejamas, kvantitatīvas aplēses bieži vien netiek veiktas vispār.</w:t>
      </w:r>
    </w:p>
    <w:p w14:paraId="1843EC83" w14:textId="77777777" w:rsidR="000A6469" w:rsidRPr="004D11C9" w:rsidRDefault="000A6469" w:rsidP="004D11C9">
      <w:pPr>
        <w:jc w:val="both"/>
        <w:rPr>
          <w:rFonts w:ascii="Times New Roman" w:eastAsia="Arial" w:hAnsi="Times New Roman" w:cs="Arial"/>
          <w:noProof/>
          <w:sz w:val="24"/>
          <w:szCs w:val="17"/>
        </w:rPr>
      </w:pPr>
    </w:p>
    <w:p w14:paraId="00D52A65" w14:textId="77777777" w:rsidR="000A6469" w:rsidRPr="004D11C9" w:rsidRDefault="000A6469" w:rsidP="004D11C9">
      <w:pPr>
        <w:jc w:val="both"/>
        <w:rPr>
          <w:rFonts w:ascii="Times New Roman" w:hAnsi="Times New Roman"/>
          <w:i/>
          <w:noProof/>
          <w:sz w:val="24"/>
        </w:rPr>
      </w:pPr>
      <w:bookmarkStart w:id="162" w:name="Price_comparisons"/>
      <w:bookmarkEnd w:id="162"/>
      <w:r>
        <w:rPr>
          <w:rFonts w:ascii="Times New Roman" w:hAnsi="Times New Roman"/>
          <w:i/>
          <w:sz w:val="24"/>
        </w:rPr>
        <w:t>Cenu salīdzinājums</w:t>
      </w:r>
    </w:p>
    <w:p w14:paraId="0CC81F24" w14:textId="77777777" w:rsidR="000A6469" w:rsidRPr="004D11C9" w:rsidRDefault="000A6469" w:rsidP="004D11C9">
      <w:pPr>
        <w:jc w:val="both"/>
        <w:rPr>
          <w:rFonts w:ascii="Times New Roman" w:eastAsia="Arial" w:hAnsi="Times New Roman" w:cs="Arial"/>
          <w:i/>
          <w:noProof/>
          <w:sz w:val="24"/>
          <w:szCs w:val="17"/>
        </w:rPr>
      </w:pPr>
    </w:p>
    <w:p w14:paraId="745F4F44"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Viens no vienkāršākajiem konkurenci veicinošu reformu ietekmes testiem ir cenu salīdzinājums starp piegādātāju grupu, kurā pastāv konkurence, un piegādātāju grupu, kurā nepastāv konkurence. Ja cenas neatšķiras, varētu secināt, ka konkurencei ir minimāla ietekme. No otras puses, tad, ja ir liela cenu atšķirība (pārējiem apstākļiem nemainoties), paredzams, ka konkurences palielināšanai būs liela ietekme.</w:t>
      </w:r>
    </w:p>
    <w:p w14:paraId="0770C8F9" w14:textId="77777777" w:rsidR="000A6469" w:rsidRPr="004D11C9" w:rsidRDefault="000A6469" w:rsidP="004D11C9">
      <w:pPr>
        <w:jc w:val="both"/>
        <w:rPr>
          <w:rFonts w:ascii="Times New Roman" w:eastAsia="Arial" w:hAnsi="Times New Roman" w:cs="Arial"/>
          <w:noProof/>
          <w:sz w:val="24"/>
          <w:szCs w:val="17"/>
        </w:rPr>
      </w:pPr>
    </w:p>
    <w:p w14:paraId="42F86E0D" w14:textId="76398D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Cenas var salīdzināt ne tikai vietējā līmenī (piemēram, starp pavalstīm vai pilsētām). Dažkārt vietējās cenas var salīdzināt ar cenām citās valstīs. Tas kļūst arvien vairāk iespējams, pateicoties privātu un valsts struktūru centieniem apkopot salīdzināmus cenu datus starptautiskā līmenī. Starptautisku salīdzinājumu veikšanu var apgrūtināt tādi faktori kā nepieciešamība pielāgoties valūtas kursa izmaiņām un salīdzināmības nepieciešamība. Tūlītēja cenu salīdzināmība var nebūt iespējama tādu faktoru dēļ kā atšķirīgas izmaksu struktūras, kas var pastāvēt dažādās valstīs, un atšķirīgas produkta definīcijas. Piemēram, pasta sūtījumu izmaksas blīvi apdzīvotās vietās (piemēram, Nīderlandē) var būtiski atšķirties no šādām izmaksām valstīs, kas sastāv galvenokārt no lauku rajoniem (piemēram, Austrālijā), tāpēc paredzams, ka atšķirsies arī vēstuļu piegādes galīgās cenas. Dažādās valstīs var būt izmantotas atšķirīgas produkta “svaigs piens” definīcijas, un dažkārt cenu atšķirības ir skaidrojamas arī ar šādām atšķirībām. Ja dažādu jurisdikciju produkti un izmaksu struktūras ir savstarpēji salīdzināmas, pastāv augstāka iespējamība, ka cenu atšķirības būs skaidrojamas ar konkurences apstākļu atšķirībām.</w:t>
      </w:r>
    </w:p>
    <w:p w14:paraId="4FA2C99B" w14:textId="77777777" w:rsidR="000A6469" w:rsidRPr="004D11C9" w:rsidRDefault="000A6469" w:rsidP="004D11C9">
      <w:pPr>
        <w:jc w:val="both"/>
        <w:rPr>
          <w:rFonts w:ascii="Times New Roman" w:eastAsia="Arial" w:hAnsi="Times New Roman" w:cs="Arial"/>
          <w:noProof/>
          <w:sz w:val="24"/>
          <w:szCs w:val="20"/>
        </w:rPr>
      </w:pPr>
    </w:p>
    <w:p w14:paraId="331D13D4"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Cenu salīdzinājumiem var būt ierobežota lietderība, ja cena nemainās, bet tā vietā mainās kvantitāte. Piemēram, noteikumi par taksometriem var saglabāt nemainīgas cenas, izmantojot skaitītājus, vienlaikus ierobežojot taksometru kopējo piedāvājumu. Ja šādā gadījumā uzmanība tiek pievērsta tikai cenai, nevis kvantitātei, pienācīga uzmanība netiek pievērsta regulējuma galvenajai ietekmei uz patērētājiem.</w:t>
      </w:r>
    </w:p>
    <w:p w14:paraId="7D8E81A8" w14:textId="79AC1B1D" w:rsidR="000A6469" w:rsidRPr="004D11C9" w:rsidRDefault="000A6469" w:rsidP="004D11C9">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0F3534" w14:paraId="70FCC9F2" w14:textId="77777777" w:rsidTr="000F3534">
        <w:tc>
          <w:tcPr>
            <w:tcW w:w="9062" w:type="dxa"/>
          </w:tcPr>
          <w:p w14:paraId="38A36F97" w14:textId="4108221D" w:rsidR="000F3534" w:rsidRDefault="000F3534" w:rsidP="000F3534">
            <w:pPr>
              <w:jc w:val="center"/>
              <w:rPr>
                <w:rFonts w:ascii="Times New Roman" w:eastAsia="Arial" w:hAnsi="Times New Roman" w:cs="Arial"/>
                <w:noProof/>
                <w:sz w:val="24"/>
                <w:szCs w:val="20"/>
              </w:rPr>
            </w:pPr>
            <w:r>
              <w:rPr>
                <w:rFonts w:ascii="Times New Roman" w:hAnsi="Times New Roman"/>
                <w:b/>
                <w:sz w:val="24"/>
              </w:rPr>
              <w:t>53. ierāmējums. Cenu salīdzinājums bezrecepšu zālēm</w:t>
            </w:r>
          </w:p>
        </w:tc>
      </w:tr>
      <w:tr w:rsidR="000F3534" w14:paraId="183BC91A" w14:textId="77777777" w:rsidTr="000F3534">
        <w:tc>
          <w:tcPr>
            <w:tcW w:w="9062" w:type="dxa"/>
          </w:tcPr>
          <w:p w14:paraId="2CDC3DCE" w14:textId="4638144F" w:rsidR="000F3534" w:rsidRPr="000F3534" w:rsidRDefault="000F3534" w:rsidP="004D11C9">
            <w:pPr>
              <w:jc w:val="both"/>
              <w:rPr>
                <w:rFonts w:ascii="Times New Roman" w:eastAsia="Arial" w:hAnsi="Times New Roman" w:cs="Arial"/>
                <w:noProof/>
                <w:sz w:val="24"/>
                <w:szCs w:val="18"/>
              </w:rPr>
            </w:pPr>
            <w:r>
              <w:rPr>
                <w:rFonts w:ascii="Times New Roman" w:hAnsi="Times New Roman"/>
                <w:sz w:val="24"/>
              </w:rPr>
              <w:t>Apvienotās Karalistes Godīgas tirdzniecības biroja 2003. gada pētījumā par mazumtirdzniecības aptiekām tika konstatētas būtiskas bezrecepšu zāļu cenu atšķirības starp dažādām aptiekām Apvienotajā Karalistē. Tika pieņemts, ka ierobežojumu atcelšana liks aptiekām kopumā noteikt cenas šīs izplatīšanas zemākajā ceturtdaļā.</w:t>
            </w:r>
          </w:p>
        </w:tc>
      </w:tr>
    </w:tbl>
    <w:p w14:paraId="5A992676" w14:textId="406571AE" w:rsidR="008B0B53" w:rsidRPr="004D11C9" w:rsidRDefault="008B0B53" w:rsidP="004D11C9">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0F3534" w14:paraId="06130B31" w14:textId="77777777" w:rsidTr="000F3534">
        <w:tc>
          <w:tcPr>
            <w:tcW w:w="9062" w:type="dxa"/>
          </w:tcPr>
          <w:p w14:paraId="106176B1" w14:textId="1AE94D02" w:rsidR="000F3534" w:rsidRDefault="000F3534" w:rsidP="000F3534">
            <w:pPr>
              <w:jc w:val="center"/>
              <w:rPr>
                <w:rFonts w:ascii="Times New Roman" w:eastAsia="Arial" w:hAnsi="Times New Roman" w:cs="Arial"/>
                <w:noProof/>
                <w:sz w:val="24"/>
                <w:szCs w:val="20"/>
              </w:rPr>
            </w:pPr>
            <w:r>
              <w:rPr>
                <w:rFonts w:ascii="Times New Roman" w:hAnsi="Times New Roman"/>
                <w:b/>
                <w:sz w:val="24"/>
              </w:rPr>
              <w:t>54. ierāmējums. Pakalpojumu sniegšana nelielām kopienām</w:t>
            </w:r>
          </w:p>
        </w:tc>
      </w:tr>
      <w:tr w:rsidR="000F3534" w14:paraId="75A3A57C" w14:textId="77777777" w:rsidTr="000F3534">
        <w:tc>
          <w:tcPr>
            <w:tcW w:w="9062" w:type="dxa"/>
          </w:tcPr>
          <w:p w14:paraId="358859E4" w14:textId="77777777" w:rsidR="000F3534" w:rsidRPr="004D11C9" w:rsidRDefault="000F3534" w:rsidP="000F3534">
            <w:pPr>
              <w:jc w:val="both"/>
              <w:rPr>
                <w:rFonts w:ascii="Times New Roman" w:eastAsia="Arial" w:hAnsi="Times New Roman" w:cs="Arial"/>
                <w:noProof/>
                <w:sz w:val="24"/>
                <w:szCs w:val="18"/>
              </w:rPr>
            </w:pPr>
            <w:r>
              <w:rPr>
                <w:rFonts w:ascii="Times New Roman" w:hAnsi="Times New Roman"/>
                <w:sz w:val="24"/>
              </w:rPr>
              <w:t>Lielākās bažas par ierobežojumu atcelšanu attiecībā uz pakalpojumu sniedzēju ienākšanu Kanādas/ASV pārrobežu lidojumu maršrutos 1994. gadā bija tās, ka pārrobežu lidojumu pakalpojumu pārnešana uz lielajām apdzīvotajām vietām kaitētu pasažieriem un uzņēmumiem mazākās kopienās. Tomēr nākamo 10 gadu laikā, pakalpojumu sniedzējiem tirgus apstākļos ienākot pārrobežu maršrutos un pametot tos, Kanādā tādu apdzīvotu vietu skaits, kurās bija pieejami regulāri beznosēšanās pārrobežu gaisa satiksmes pārvadājumi, pieauga no 14 līdz 24 apdzīvotām vietām, kopējam maršrutu skaitam pieaugot no 58 līdz 148 maršrutiem.</w:t>
            </w:r>
          </w:p>
          <w:p w14:paraId="4AED55B2" w14:textId="77777777" w:rsidR="000F3534" w:rsidRDefault="000F3534" w:rsidP="000F3534">
            <w:pPr>
              <w:jc w:val="both"/>
              <w:rPr>
                <w:rFonts w:ascii="Times New Roman" w:hAnsi="Times New Roman"/>
                <w:i/>
                <w:noProof/>
                <w:sz w:val="24"/>
              </w:rPr>
            </w:pPr>
          </w:p>
          <w:p w14:paraId="23A114B2" w14:textId="4E6446EE" w:rsidR="000F3534" w:rsidRPr="000F3534" w:rsidRDefault="000F3534" w:rsidP="004D11C9">
            <w:pPr>
              <w:jc w:val="both"/>
              <w:rPr>
                <w:rFonts w:ascii="Times New Roman" w:eastAsia="Arial" w:hAnsi="Times New Roman" w:cs="Arial"/>
                <w:noProof/>
                <w:sz w:val="24"/>
                <w:szCs w:val="18"/>
              </w:rPr>
            </w:pPr>
            <w:r>
              <w:rPr>
                <w:rFonts w:ascii="Times New Roman" w:hAnsi="Times New Roman"/>
                <w:i/>
                <w:sz w:val="24"/>
              </w:rPr>
              <w:t>Avots</w:t>
            </w:r>
            <w:r>
              <w:rPr>
                <w:rFonts w:ascii="Times New Roman" w:hAnsi="Times New Roman"/>
                <w:sz w:val="24"/>
              </w:rPr>
              <w:t>: House of Commons Canada (2005).</w:t>
            </w:r>
          </w:p>
        </w:tc>
      </w:tr>
    </w:tbl>
    <w:p w14:paraId="0EC700DF" w14:textId="18F5031F" w:rsidR="008B0B53" w:rsidRDefault="008B0B53" w:rsidP="004D11C9">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0F3534" w14:paraId="68FFB26B" w14:textId="77777777" w:rsidTr="000F3534">
        <w:tc>
          <w:tcPr>
            <w:tcW w:w="9062" w:type="dxa"/>
          </w:tcPr>
          <w:p w14:paraId="7EC1B9BE" w14:textId="7FC77A73" w:rsidR="000F3534" w:rsidRDefault="002F6CD5" w:rsidP="002F6CD5">
            <w:pPr>
              <w:jc w:val="center"/>
              <w:rPr>
                <w:rFonts w:ascii="Times New Roman" w:eastAsia="Arial" w:hAnsi="Times New Roman" w:cs="Arial"/>
                <w:noProof/>
                <w:sz w:val="24"/>
                <w:szCs w:val="20"/>
              </w:rPr>
            </w:pPr>
            <w:r>
              <w:rPr>
                <w:rFonts w:ascii="Times New Roman" w:hAnsi="Times New Roman"/>
                <w:b/>
                <w:sz w:val="24"/>
              </w:rPr>
              <w:t>55. ierāmējums. Ekskluzīvu līgumu slēgšana paaugstina cenas beznodokļu veikalos</w:t>
            </w:r>
          </w:p>
        </w:tc>
      </w:tr>
      <w:tr w:rsidR="000F3534" w14:paraId="48E53429" w14:textId="77777777" w:rsidTr="000F3534">
        <w:tc>
          <w:tcPr>
            <w:tcW w:w="9062" w:type="dxa"/>
          </w:tcPr>
          <w:p w14:paraId="346CB193" w14:textId="3B3C16BE" w:rsidR="000F3534" w:rsidRPr="002F6CD5" w:rsidRDefault="002F6CD5" w:rsidP="004D11C9">
            <w:pPr>
              <w:jc w:val="both"/>
              <w:rPr>
                <w:rFonts w:ascii="Times New Roman" w:eastAsia="Arial" w:hAnsi="Times New Roman" w:cs="Arial"/>
                <w:noProof/>
                <w:sz w:val="24"/>
                <w:szCs w:val="18"/>
              </w:rPr>
            </w:pPr>
            <w:r>
              <w:rPr>
                <w:rFonts w:ascii="Times New Roman" w:hAnsi="Times New Roman"/>
                <w:sz w:val="24"/>
              </w:rPr>
              <w:t>Korejas konkurences iestādes (</w:t>
            </w:r>
            <w:r>
              <w:rPr>
                <w:rFonts w:ascii="Times New Roman" w:hAnsi="Times New Roman"/>
                <w:i/>
                <w:sz w:val="24"/>
              </w:rPr>
              <w:t>KFTC</w:t>
            </w:r>
            <w:r>
              <w:rPr>
                <w:rFonts w:ascii="Times New Roman" w:hAnsi="Times New Roman"/>
                <w:sz w:val="24"/>
              </w:rPr>
              <w:t xml:space="preserve">) tirgus pētījumā par beznodokļu veikaliem Inčhonas starptautiskajā lidostā 2012. gadā tika konstatēts straujš alkoholisko dzērienu un tabakas izstrādājumu cenu pieaugums tieši pēc tam, kad “ICN” (valstij piederošs uzņēmums, kas izīrē mazumtirdzniecības telpas lidostā) bija konsolidējis savu līgumu slēgšanu, lai noslēgtu ekskluzīvu līgumu uz 5 gadiem (no 2008. gada marta līdz 2013. gada februārim) ar vienu uzņēmumu par beznodokļu alkohola un tabakas tirdzniecību lidostā. Salīdzinot cenas pirms pārejas uz monopola līgumu par alkoholisko dzērienu un tabakas izstrādājumu tirdzniecību ar cenām pēc pārejas uz šādu līgumu, tika konstatēts, ka 30 dažādu alkoholisko dzērienu un tabakas izstrādājumu cenas viena gada laikā (2008.–2009. gads) bija pieaugušas vidēji par 9,8 %. </w:t>
            </w:r>
            <w:r>
              <w:rPr>
                <w:rFonts w:ascii="Times New Roman" w:hAnsi="Times New Roman"/>
                <w:i/>
                <w:sz w:val="24"/>
              </w:rPr>
              <w:t>KFTC</w:t>
            </w:r>
            <w:r>
              <w:rPr>
                <w:rFonts w:ascii="Times New Roman" w:hAnsi="Times New Roman"/>
                <w:sz w:val="24"/>
              </w:rPr>
              <w:t xml:space="preserve"> ieteica “ICN” mainīt iepirkuma regulējumu, lai ļautu lielākam skaitam uzņēmumu lidostā vadīt beznodokļu alkoholisko dzērienu un tabakas izstrādājumu veikalus, kā tas ir atļauts kosmētikas vai elektronikas preču tirdzniecības jomā. “ICN” noslēdza līgumus ar diviem uzņēmumiem par alkoholisko dzērienu un tabakas izstrādājumu beznodokļa pārdošanu no 2013. gada marta.</w:t>
            </w:r>
          </w:p>
        </w:tc>
      </w:tr>
    </w:tbl>
    <w:p w14:paraId="4987ABA3" w14:textId="77777777" w:rsidR="000A6469" w:rsidRPr="004D11C9" w:rsidRDefault="000A6469" w:rsidP="004D11C9">
      <w:pPr>
        <w:jc w:val="both"/>
        <w:rPr>
          <w:rFonts w:ascii="Times New Roman" w:eastAsia="Arial" w:hAnsi="Times New Roman" w:cs="Arial"/>
          <w:noProof/>
          <w:sz w:val="24"/>
          <w:szCs w:val="18"/>
        </w:rPr>
      </w:pPr>
    </w:p>
    <w:p w14:paraId="74D07509" w14:textId="77777777" w:rsidR="000A6469" w:rsidRPr="004D11C9" w:rsidRDefault="000A6469" w:rsidP="004D11C9">
      <w:pPr>
        <w:jc w:val="both"/>
        <w:rPr>
          <w:rFonts w:ascii="Times New Roman" w:hAnsi="Times New Roman"/>
          <w:i/>
          <w:noProof/>
          <w:sz w:val="24"/>
        </w:rPr>
      </w:pPr>
      <w:bookmarkStart w:id="163" w:name="Outcome_effects_in_cross-regulation_stud"/>
      <w:bookmarkEnd w:id="163"/>
      <w:r>
        <w:rPr>
          <w:rFonts w:ascii="Times New Roman" w:hAnsi="Times New Roman"/>
          <w:i/>
          <w:sz w:val="24"/>
        </w:rPr>
        <w:t>Ietekme uz iznākumu regulējuma savstarpējās saistības pētījumos</w:t>
      </w:r>
    </w:p>
    <w:p w14:paraId="7C26DEE4" w14:textId="77777777" w:rsidR="000A6469" w:rsidRPr="004D11C9" w:rsidRDefault="000A6469" w:rsidP="004D11C9">
      <w:pPr>
        <w:jc w:val="both"/>
        <w:rPr>
          <w:rFonts w:ascii="Times New Roman" w:eastAsia="Arial" w:hAnsi="Times New Roman" w:cs="Arial"/>
          <w:i/>
          <w:noProof/>
          <w:sz w:val="24"/>
          <w:szCs w:val="21"/>
        </w:rPr>
      </w:pPr>
    </w:p>
    <w:p w14:paraId="7A41BE25"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Salīdzināmas regulatīvas reformas bieži tiek veiktas attiecībā uz dažādiem produktiem. Informācija par regulatīvas reformas ietekmi vai regulējuma atšķirībām attiecībā uz vienu produktu bieži var kalpot kā mācība par iespējamām reformām attiecībā uz citiem produktiem. Piemēram, var tikt izveidota konkurētspējīga emisijas tirdzniecības programma attiecībā uz piesārņojošo SOx, kurā tiesības uz piesārņošanu ar SOx tiek piešķirtas kādā noteiktā veidā (piemēram, esošajiem piesārņotājiem) un pēc tam tirgotas, katru gadu samazinot ikgadējo kopējo atļauju skaitu. Pēc kāda laika var rasties interese izveidot emisijas tirdzniecības </w:t>
      </w:r>
      <w:r>
        <w:rPr>
          <w:rFonts w:ascii="Times New Roman" w:hAnsi="Times New Roman"/>
          <w:sz w:val="24"/>
        </w:rPr>
        <w:lastRenderedPageBreak/>
        <w:t>programmu attiecībā uz citiem piesārņotājiem, piemēram, attiecībā uz NOx, benzolu vai mikrodaļiņām. Pieredze emisiju tirdzniecības jomā un par to, kā šāda tirdzniecība ir darbojusies attiecībā uz SOx, var sniegt vērtīgu informāciju par to, kā panākt, lai emisiju tirdzniecību varētu īstenot attiecībā uz citiem piesārņotājiem, piemēram, NOx. Tomēr šādi salīdzinājumi var nebūt precīzi. Piemēram, SOx piesārņojuma avotiem parasti var būt stabili punktveida avoti, piemēram, konkrētas rūpnīcas un elektroenerģijas ražošanas stacijas, bet atmosfēras benzola avoti papildus rūpnieciskām ražotnēm var būt arī automašīnas un smēķēšana. Tāpēc benzola emisiju tirdzniecības programmas īstenošanā var rasties ievērojami atšķirīgi sarežģījumi (un šāda programmas īstenošana nebūtu praktiski lietderīga) salīdzinājumā ar SOx emisiju tirdzniecību.</w:t>
      </w:r>
    </w:p>
    <w:p w14:paraId="4728923E" w14:textId="77777777" w:rsidR="000A6469" w:rsidRPr="004D11C9" w:rsidRDefault="000A6469" w:rsidP="004D11C9">
      <w:pPr>
        <w:jc w:val="both"/>
        <w:rPr>
          <w:rFonts w:ascii="Times New Roman" w:eastAsia="Arial" w:hAnsi="Times New Roman" w:cs="Arial"/>
          <w:noProof/>
          <w:sz w:val="24"/>
          <w:szCs w:val="20"/>
        </w:rPr>
      </w:pPr>
    </w:p>
    <w:p w14:paraId="7A7F37A6" w14:textId="77777777" w:rsidR="000A6469" w:rsidRPr="004D11C9" w:rsidRDefault="000A6469" w:rsidP="004D11C9">
      <w:pPr>
        <w:jc w:val="both"/>
        <w:rPr>
          <w:rFonts w:ascii="Times New Roman" w:hAnsi="Times New Roman"/>
          <w:i/>
          <w:noProof/>
          <w:sz w:val="24"/>
        </w:rPr>
      </w:pPr>
      <w:bookmarkStart w:id="164" w:name="Outcome_effect_in_regulatory_reform_else"/>
      <w:bookmarkEnd w:id="164"/>
      <w:r>
        <w:rPr>
          <w:rFonts w:ascii="Times New Roman" w:hAnsi="Times New Roman"/>
          <w:i/>
          <w:sz w:val="24"/>
        </w:rPr>
        <w:t>Citviet veiktas regulatīvas reformas ietekme uz iznākumu</w:t>
      </w:r>
    </w:p>
    <w:p w14:paraId="7D86E76B" w14:textId="77777777" w:rsidR="000A6469" w:rsidRPr="004D11C9" w:rsidRDefault="000A6469" w:rsidP="004D11C9">
      <w:pPr>
        <w:jc w:val="both"/>
        <w:rPr>
          <w:rFonts w:ascii="Times New Roman" w:eastAsia="Arial" w:hAnsi="Times New Roman" w:cs="Arial"/>
          <w:i/>
          <w:noProof/>
          <w:sz w:val="24"/>
          <w:szCs w:val="21"/>
        </w:rPr>
      </w:pPr>
    </w:p>
    <w:p w14:paraId="3B68E77C"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Dažkārt vienā jurisdikcijā tiek īstenotas regulatīvas reformas, kas var līdzināties tām, kuras tiek apsvērtas vietējā jurisdikcijā. Vienkāršā reformu izpētē var tikt atklāti svarīgi un atbilstoši potenciālo ieguvumu piemēri. Jurisdikcijas var būt gan valsts jurisdikcijas, gan reģionālās un vietējās jurisdikcijas.</w:t>
      </w:r>
    </w:p>
    <w:p w14:paraId="42856460" w14:textId="77777777" w:rsidR="000A6469" w:rsidRPr="004D11C9" w:rsidRDefault="000A6469" w:rsidP="004D11C9">
      <w:pPr>
        <w:jc w:val="both"/>
        <w:rPr>
          <w:rFonts w:ascii="Times New Roman" w:eastAsia="Arial" w:hAnsi="Times New Roman" w:cs="Arial"/>
          <w:noProof/>
          <w:sz w:val="24"/>
          <w:szCs w:val="20"/>
        </w:rPr>
      </w:pPr>
    </w:p>
    <w:p w14:paraId="12689909" w14:textId="5FBA6F4E"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Informāciju par citās jurisdikcijās īstenotu reformu rezultātiem var sniegt amatpersonas, kas atbild par reformu attiecīgajā jurisdikcijā, akadēmisko aprindu pārstāvji vai starptautiskās organizācijas. Atbilstošus materiālus vai ekspertus ir iespējams uziet, meklējot internetā akadēmiskos pētījumus par šādām reformām. ESAO ir sagatavojusi empīrisku pētījumu datubāzi par konkurenci veicinošu reformu ietekmi, kurā iekļauti pētījumi par reformām ne tikai angļu un franču valodā, bet arī citās valodās ar mērķi nodrošināt vispilnīgāko informācijas apkopojumu par reformu ietekmi. Šī datubāze būs pieejama elektroniski ESAO tīmekļa vietnē, un tajā būs iespējams veikt meklēšanu, lai </w:t>
      </w:r>
      <w:bookmarkStart w:id="165" w:name="_bookmark90"/>
      <w:bookmarkEnd w:id="165"/>
      <w:r>
        <w:rPr>
          <w:rFonts w:ascii="Times New Roman" w:hAnsi="Times New Roman"/>
          <w:sz w:val="24"/>
        </w:rPr>
        <w:t>noskaidrotu pētījumus par noteiktās nozarēs veiktām reformām.</w:t>
      </w:r>
    </w:p>
    <w:p w14:paraId="51C39FCC" w14:textId="77777777" w:rsidR="000A6469" w:rsidRPr="004D11C9" w:rsidRDefault="000A6469" w:rsidP="004D11C9">
      <w:pPr>
        <w:jc w:val="both"/>
        <w:rPr>
          <w:rFonts w:ascii="Times New Roman" w:eastAsia="Arial" w:hAnsi="Times New Roman" w:cs="Arial"/>
          <w:noProof/>
          <w:sz w:val="24"/>
          <w:szCs w:val="20"/>
        </w:rPr>
      </w:pPr>
    </w:p>
    <w:p w14:paraId="58D6316B"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Reformu ietekme lielākoties nav pētīta. Tāpēc šādu pētījumu saraksts ir ievērojami mazāks par to konkurenci veicinošo reformu faktisko skaitu, ko valdības ir īstenojušas.</w:t>
      </w:r>
    </w:p>
    <w:p w14:paraId="3409770F" w14:textId="77777777" w:rsidR="000A6469" w:rsidRPr="004D11C9" w:rsidRDefault="000A6469" w:rsidP="004D11C9">
      <w:pPr>
        <w:jc w:val="both"/>
        <w:rPr>
          <w:rFonts w:ascii="Times New Roman" w:eastAsia="Arial" w:hAnsi="Times New Roman" w:cs="Arial"/>
          <w:noProof/>
          <w:sz w:val="24"/>
          <w:szCs w:val="15"/>
        </w:rPr>
      </w:pPr>
    </w:p>
    <w:p w14:paraId="6A295509" w14:textId="77777777" w:rsidR="000A6469" w:rsidRPr="004D11C9" w:rsidRDefault="000A6469" w:rsidP="004D11C9">
      <w:pPr>
        <w:jc w:val="both"/>
        <w:rPr>
          <w:rFonts w:ascii="Times New Roman" w:hAnsi="Times New Roman"/>
          <w:i/>
          <w:noProof/>
          <w:sz w:val="24"/>
        </w:rPr>
      </w:pPr>
      <w:bookmarkStart w:id="166" w:name="Experiments"/>
      <w:bookmarkEnd w:id="166"/>
      <w:r>
        <w:rPr>
          <w:rFonts w:ascii="Times New Roman" w:hAnsi="Times New Roman"/>
          <w:i/>
          <w:sz w:val="24"/>
        </w:rPr>
        <w:t>Eksperimenti</w:t>
      </w:r>
    </w:p>
    <w:p w14:paraId="4EB02B43" w14:textId="77777777" w:rsidR="000A6469" w:rsidRPr="004D11C9" w:rsidRDefault="000A6469" w:rsidP="004D11C9">
      <w:pPr>
        <w:jc w:val="both"/>
        <w:rPr>
          <w:rFonts w:ascii="Times New Roman" w:eastAsia="Arial" w:hAnsi="Times New Roman" w:cs="Arial"/>
          <w:i/>
          <w:noProof/>
          <w:sz w:val="24"/>
          <w:szCs w:val="21"/>
        </w:rPr>
      </w:pPr>
    </w:p>
    <w:p w14:paraId="57787FE2"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Arvien biežāk tiek atzīts, ka eksperimenti ir avots, kas nodrošina informāciju par mikroekonomisko uzvedību. Eksperimenti ar noteikumiem var būt īpaši noderīgi, lai noskaidrotu, kā ziņojumu sniegšanas prasības ietekmē patērētāju uzvedību un kā sakari ietekmē rezultātus.</w:t>
      </w:r>
    </w:p>
    <w:p w14:paraId="44CED313" w14:textId="77777777" w:rsidR="000A6469" w:rsidRPr="004D11C9" w:rsidRDefault="000A6469" w:rsidP="004D11C9">
      <w:pPr>
        <w:jc w:val="both"/>
        <w:rPr>
          <w:rFonts w:ascii="Times New Roman" w:eastAsia="Arial" w:hAnsi="Times New Roman" w:cs="Arial"/>
          <w:noProof/>
          <w:sz w:val="24"/>
          <w:szCs w:val="20"/>
        </w:rPr>
      </w:pPr>
    </w:p>
    <w:p w14:paraId="4D844ECD"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Eksperimentālo pētījumu metodoloģija paredz izvirzīt hipotēzi par to, kā uzvedība mainīsies atkarībā no attiecīgo dalībnieku vides pārmaiņām, un pēc tam pārbaudīt šo hipotēzi, novērojot kontroles grupas (kas ir pamatgrupa bez reformas) un apstrādes grupas (kas ir piedzīvojusi ierosināto reformu) darbības. Abu grupu uzvedību var salīdzināt, izmantojot statistikas metodes, un ar paredzamo izmaiņu ticamības līmeņa aplēsēm. Daudzos eksperimentālajos pētījumos tiek izmantoti studenti, bet ideāla izpētes grupa ir cilvēki, kas līdzinās tiem, kuri būtu konkurenci veicinošās reformas mērķgrupa Piemēram, mazumtirdzniecības reklāmas likumu reforma varētu tikt pārbaudīta attiecībā uz mazumtirdzniecības patērētājiem.</w:t>
      </w:r>
    </w:p>
    <w:p w14:paraId="67CFF293" w14:textId="5E086C6C" w:rsidR="000A6469" w:rsidRPr="004D11C9" w:rsidRDefault="000A6469" w:rsidP="004D11C9">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2F6CD5" w14:paraId="1D085B0A" w14:textId="77777777" w:rsidTr="002F6CD5">
        <w:tc>
          <w:tcPr>
            <w:tcW w:w="9062" w:type="dxa"/>
          </w:tcPr>
          <w:p w14:paraId="601EEA1E" w14:textId="794BC29D" w:rsidR="002F6CD5" w:rsidRDefault="002F6CD5" w:rsidP="002F6CD5">
            <w:pPr>
              <w:jc w:val="center"/>
              <w:rPr>
                <w:rFonts w:ascii="Times New Roman" w:eastAsia="Arial" w:hAnsi="Times New Roman" w:cs="Arial"/>
                <w:noProof/>
                <w:sz w:val="24"/>
                <w:szCs w:val="20"/>
              </w:rPr>
            </w:pPr>
            <w:r>
              <w:rPr>
                <w:rFonts w:ascii="Times New Roman" w:hAnsi="Times New Roman"/>
                <w:b/>
                <w:sz w:val="24"/>
              </w:rPr>
              <w:t>56. ierāmējums. Eksperimentālie pētījumi par informācijas izpaušanu</w:t>
            </w:r>
          </w:p>
        </w:tc>
      </w:tr>
      <w:tr w:rsidR="002F6CD5" w14:paraId="697DFBD4" w14:textId="77777777" w:rsidTr="002F6CD5">
        <w:tc>
          <w:tcPr>
            <w:tcW w:w="9062" w:type="dxa"/>
          </w:tcPr>
          <w:p w14:paraId="36778B4B" w14:textId="77777777" w:rsidR="002F6CD5" w:rsidRPr="004D11C9" w:rsidRDefault="002F6CD5" w:rsidP="002F6CD5">
            <w:pPr>
              <w:jc w:val="both"/>
              <w:rPr>
                <w:rFonts w:ascii="Times New Roman" w:eastAsia="Arial" w:hAnsi="Times New Roman" w:cs="Arial"/>
                <w:noProof/>
                <w:sz w:val="24"/>
                <w:szCs w:val="18"/>
              </w:rPr>
            </w:pPr>
            <w:r>
              <w:rPr>
                <w:rFonts w:ascii="Times New Roman" w:hAnsi="Times New Roman"/>
                <w:sz w:val="24"/>
              </w:rPr>
              <w:t xml:space="preserve">Eksperimentālā pētījumā par hipotekārās informācijas veidlapām, ko veica ASV Federālā tirdzniecības komisija, tika konstatēts, ka izmēģinājuma veidlapām, kurās sniegta informācija </w:t>
            </w:r>
            <w:r>
              <w:rPr>
                <w:rFonts w:ascii="Times New Roman" w:hAnsi="Times New Roman"/>
                <w:sz w:val="24"/>
              </w:rPr>
              <w:lastRenderedPageBreak/>
              <w:t>mājokļu pircējiem, būtu bijusi neparedzēta ietekme un ka tās būtu apmulsinājušas hipotēku pircējus, kas nereti novestu pie neizdevīgu finanšu darījumu izvēlēšanās izdevīgāku darījumu vietā. Šā pētījuma metode paredzēja pārbaudīt informācijas ietekmi uz patērētāju lēmumu pieņemšanu, izmantojot eksperimentālas grupas, nevis faktiski ieviešot veidlapas. Kā apliecināts salīdzināmos eksperimentālajos pētījumos, alternatīvai, pārstrādātai veidlapai piemīt ievērojami augstāka informatīva vērtība patērētājiem.</w:t>
            </w:r>
          </w:p>
          <w:p w14:paraId="2327865A" w14:textId="77777777" w:rsidR="002F6CD5" w:rsidRDefault="002F6CD5" w:rsidP="002F6CD5">
            <w:pPr>
              <w:jc w:val="both"/>
              <w:rPr>
                <w:rFonts w:ascii="Times New Roman" w:hAnsi="Times New Roman"/>
                <w:i/>
                <w:noProof/>
                <w:sz w:val="24"/>
              </w:rPr>
            </w:pPr>
          </w:p>
          <w:p w14:paraId="649955D0" w14:textId="1C5EC51C" w:rsidR="002F6CD5" w:rsidRPr="002F6CD5" w:rsidRDefault="002F6CD5" w:rsidP="004D11C9">
            <w:pPr>
              <w:jc w:val="both"/>
              <w:rPr>
                <w:rFonts w:ascii="Times New Roman" w:eastAsia="Arial" w:hAnsi="Times New Roman" w:cs="Arial"/>
                <w:noProof/>
                <w:sz w:val="24"/>
                <w:szCs w:val="17"/>
              </w:rPr>
            </w:pPr>
            <w:r>
              <w:rPr>
                <w:rFonts w:ascii="Times New Roman" w:hAnsi="Times New Roman"/>
                <w:i/>
                <w:sz w:val="24"/>
              </w:rPr>
              <w:t>Avots</w:t>
            </w:r>
            <w:r>
              <w:rPr>
                <w:rFonts w:ascii="Times New Roman" w:hAnsi="Times New Roman"/>
                <w:sz w:val="24"/>
              </w:rPr>
              <w:t>: Lacko, J. un J. Pappalardo, (2004).</w:t>
            </w:r>
          </w:p>
        </w:tc>
      </w:tr>
    </w:tbl>
    <w:p w14:paraId="3DF3AEB5" w14:textId="77777777" w:rsidR="000A6469" w:rsidRPr="004D11C9" w:rsidRDefault="000A6469" w:rsidP="004D11C9">
      <w:pPr>
        <w:jc w:val="both"/>
        <w:rPr>
          <w:rFonts w:ascii="Times New Roman" w:eastAsia="Arial" w:hAnsi="Times New Roman" w:cs="Arial"/>
          <w:noProof/>
          <w:sz w:val="24"/>
          <w:szCs w:val="14"/>
        </w:rPr>
      </w:pPr>
      <w:bookmarkStart w:id="167" w:name="_bookmark91"/>
      <w:bookmarkEnd w:id="167"/>
    </w:p>
    <w:p w14:paraId="488230F1" w14:textId="77777777" w:rsidR="000A6469" w:rsidRPr="004D11C9" w:rsidRDefault="000A6469" w:rsidP="004D11C9">
      <w:pPr>
        <w:jc w:val="both"/>
        <w:rPr>
          <w:rFonts w:ascii="Times New Roman" w:hAnsi="Times New Roman"/>
          <w:i/>
          <w:noProof/>
          <w:sz w:val="24"/>
        </w:rPr>
      </w:pPr>
      <w:bookmarkStart w:id="168" w:name="Demonstration_projects"/>
      <w:bookmarkEnd w:id="168"/>
      <w:r>
        <w:rPr>
          <w:rFonts w:ascii="Times New Roman" w:hAnsi="Times New Roman"/>
          <w:i/>
          <w:sz w:val="24"/>
        </w:rPr>
        <w:t>Demonstrējumu projekti</w:t>
      </w:r>
    </w:p>
    <w:p w14:paraId="459C6990" w14:textId="77777777" w:rsidR="000A6469" w:rsidRPr="004D11C9" w:rsidRDefault="000A6469" w:rsidP="004D11C9">
      <w:pPr>
        <w:jc w:val="both"/>
        <w:rPr>
          <w:rFonts w:ascii="Times New Roman" w:eastAsia="Arial" w:hAnsi="Times New Roman" w:cs="Arial"/>
          <w:i/>
          <w:noProof/>
          <w:sz w:val="24"/>
          <w:szCs w:val="21"/>
        </w:rPr>
      </w:pPr>
    </w:p>
    <w:p w14:paraId="2156590B" w14:textId="2ED8052C"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Demonstrējumu projekti sniedz vienus no pārliecinošākajiem pierādījumiem par ieguvumiem no regulatīvām izmaiņām. Šādi projekti ir eksperimenta paveids, kurā tiek pētīta ierosinātu regulatīvu izmaiņu piemērošanas ietekme, bet kuram nav nepieciešama šādu izmaiņu vienlaicīga īstenošana visas valsts mērogā. Tā vietā tajos tiek izskatīta izmaiņu ietekme uz attiecīgo iedzīvotāju grupu vai ģeogrāfisko apgabalu. Ja demonstrējumu projektā tiek konstatēts, ka izmaiņas ir veiksmīgas, tās var piemērot plašākā mērogā. Demonstrējumu projektu priekšrocība ir tā, ka ar tiem var pārliecināties, vai ierosinātajām reformām būs prognozētā ietekme, un kvantitatīvi novērtēt šādu ietekmi. Ja demonstrējumu projektiem nav prognozējamas ietekmes, tie galu galā var ietaupīt ievērojamus valdības līdzekļus, novēršot tēriņus, kas rastos, izvēršot izmaiņu ieviešanu plašā mērogā.</w:t>
      </w:r>
    </w:p>
    <w:p w14:paraId="08A2B0E0" w14:textId="77777777" w:rsidR="000A6469" w:rsidRPr="004D11C9" w:rsidRDefault="000A6469" w:rsidP="004D11C9">
      <w:pPr>
        <w:jc w:val="both"/>
        <w:rPr>
          <w:rFonts w:ascii="Times New Roman" w:eastAsia="Arial" w:hAnsi="Times New Roman" w:cs="Arial"/>
          <w:noProof/>
          <w:sz w:val="24"/>
          <w:szCs w:val="20"/>
        </w:rPr>
      </w:pPr>
    </w:p>
    <w:p w14:paraId="6468257D"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Demonstrējumu projekti ir politikas eksperimenti. Dažkārt politikas eksperimenti var notikt bez oficiāla demonstrējuma projekta statusa piešķiršanas. Piemēram, federālās valdības var izskatīt dažādus pavalstu noteikumus un salīdzināt to ietekmi.</w:t>
      </w:r>
    </w:p>
    <w:p w14:paraId="0A731B62" w14:textId="304B2D18" w:rsidR="000A6469" w:rsidRDefault="000A6469" w:rsidP="004D11C9">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2F6CD5" w14:paraId="7CE081E6" w14:textId="77777777" w:rsidTr="002F6CD5">
        <w:tc>
          <w:tcPr>
            <w:tcW w:w="9062" w:type="dxa"/>
          </w:tcPr>
          <w:p w14:paraId="3679E204" w14:textId="3AFFE89C" w:rsidR="002F6CD5" w:rsidRDefault="002F6CD5" w:rsidP="002F6CD5">
            <w:pPr>
              <w:jc w:val="center"/>
              <w:rPr>
                <w:rFonts w:ascii="Times New Roman" w:eastAsia="Arial" w:hAnsi="Times New Roman" w:cs="Arial"/>
                <w:noProof/>
                <w:sz w:val="24"/>
                <w:szCs w:val="20"/>
              </w:rPr>
            </w:pPr>
            <w:r>
              <w:rPr>
                <w:rFonts w:ascii="Times New Roman" w:hAnsi="Times New Roman"/>
                <w:b/>
                <w:sz w:val="24"/>
              </w:rPr>
              <w:t>57. ierāmējums. Federālo lidojumu cenu salīdzināšana ar štatu regulēto lidojumu cenām</w:t>
            </w:r>
          </w:p>
        </w:tc>
      </w:tr>
      <w:tr w:rsidR="002F6CD5" w14:paraId="1299FC88" w14:textId="77777777" w:rsidTr="002F6CD5">
        <w:tc>
          <w:tcPr>
            <w:tcW w:w="9062" w:type="dxa"/>
          </w:tcPr>
          <w:p w14:paraId="42C261CF" w14:textId="77777777" w:rsidR="002F6CD5" w:rsidRPr="004D11C9" w:rsidRDefault="002F6CD5" w:rsidP="002F6CD5">
            <w:pPr>
              <w:jc w:val="both"/>
              <w:rPr>
                <w:rFonts w:ascii="Times New Roman" w:eastAsia="Arial" w:hAnsi="Times New Roman" w:cs="Arial"/>
                <w:noProof/>
                <w:sz w:val="24"/>
                <w:szCs w:val="18"/>
              </w:rPr>
            </w:pPr>
            <w:r>
              <w:rPr>
                <w:rFonts w:ascii="Times New Roman" w:hAnsi="Times New Roman"/>
                <w:sz w:val="24"/>
              </w:rPr>
              <w:t>Viens no sākotnējiem iemesliem aviosabiedrībām noteikto ierobežojumu atcelšanai Amerikas Savienotajās Valstīs radās, salīdzinot štata (Kalifornijas) iekšējo lidojumu cenas ar salīdzināmiem lidojumiem, kurus reglamentē federālais regulējums, kas attiecās uz aviosabiedrību starpštatu lidojumiem. Liberālais štata iekšējais regulējums faktiski bija demonstrējumu projekts plašākai liberalizācijai visas valsts mērogā.</w:t>
            </w:r>
          </w:p>
          <w:p w14:paraId="362F0AE1" w14:textId="77777777" w:rsidR="002F6CD5" w:rsidRDefault="002F6CD5" w:rsidP="002F6CD5">
            <w:pPr>
              <w:jc w:val="both"/>
              <w:rPr>
                <w:rFonts w:ascii="Times New Roman" w:eastAsia="Arial" w:hAnsi="Times New Roman" w:cs="Arial"/>
                <w:noProof/>
                <w:sz w:val="24"/>
                <w:szCs w:val="18"/>
              </w:rPr>
            </w:pPr>
          </w:p>
          <w:p w14:paraId="45C13AEC" w14:textId="77777777" w:rsidR="002F6CD5" w:rsidRPr="004D11C9" w:rsidRDefault="002F6CD5" w:rsidP="002F6CD5">
            <w:pPr>
              <w:jc w:val="both"/>
              <w:rPr>
                <w:rFonts w:ascii="Times New Roman" w:eastAsia="Arial" w:hAnsi="Times New Roman" w:cs="Arial"/>
                <w:noProof/>
                <w:sz w:val="24"/>
                <w:szCs w:val="18"/>
              </w:rPr>
            </w:pPr>
            <w:r>
              <w:rPr>
                <w:rFonts w:ascii="Times New Roman" w:hAnsi="Times New Roman"/>
                <w:sz w:val="24"/>
              </w:rPr>
              <w:t>Mazāk regulētajā Kalifornijas tirgū (īpaši Sanfrancisko–Losandželosas maršrutā) bija ievērojami zemākas lidojumu cenas uz vienu pasažierjūdzi nekā salīdzināmos maršrutos, kurus reglamentēja federālais regulējums (piemēram, Vašingtona, Kolumbijas distrikts–Ņujorka).</w:t>
            </w:r>
          </w:p>
          <w:p w14:paraId="20FE39C4" w14:textId="77777777" w:rsidR="002F6CD5" w:rsidRDefault="002F6CD5" w:rsidP="002F6CD5">
            <w:pPr>
              <w:jc w:val="both"/>
              <w:rPr>
                <w:rFonts w:ascii="Times New Roman" w:hAnsi="Times New Roman"/>
                <w:i/>
                <w:noProof/>
                <w:sz w:val="24"/>
              </w:rPr>
            </w:pPr>
          </w:p>
          <w:p w14:paraId="4BE45B93" w14:textId="5971915C" w:rsidR="002F6CD5" w:rsidRPr="002F6CD5" w:rsidRDefault="002F6CD5" w:rsidP="004D11C9">
            <w:pPr>
              <w:jc w:val="both"/>
              <w:rPr>
                <w:rFonts w:ascii="Times New Roman" w:eastAsia="Arial" w:hAnsi="Times New Roman" w:cs="Arial"/>
                <w:noProof/>
                <w:sz w:val="24"/>
                <w:szCs w:val="17"/>
              </w:rPr>
            </w:pPr>
            <w:r>
              <w:rPr>
                <w:rFonts w:ascii="Times New Roman" w:hAnsi="Times New Roman"/>
                <w:i/>
                <w:sz w:val="24"/>
              </w:rPr>
              <w:t>Avots</w:t>
            </w:r>
            <w:r>
              <w:rPr>
                <w:rFonts w:ascii="Times New Roman" w:hAnsi="Times New Roman"/>
                <w:sz w:val="24"/>
              </w:rPr>
              <w:t>: Keeler, T. (1972).</w:t>
            </w:r>
          </w:p>
        </w:tc>
      </w:tr>
    </w:tbl>
    <w:p w14:paraId="59125A4A" w14:textId="77777777" w:rsidR="000A6469" w:rsidRPr="004D11C9" w:rsidRDefault="000A6469" w:rsidP="004D11C9">
      <w:pPr>
        <w:jc w:val="both"/>
        <w:rPr>
          <w:rFonts w:ascii="Times New Roman" w:eastAsia="Arial" w:hAnsi="Times New Roman" w:cs="Arial"/>
          <w:noProof/>
          <w:sz w:val="24"/>
          <w:szCs w:val="14"/>
        </w:rPr>
      </w:pPr>
      <w:bookmarkStart w:id="169" w:name="_bookmark92"/>
      <w:bookmarkEnd w:id="169"/>
    </w:p>
    <w:p w14:paraId="301EB41B" w14:textId="5358F1EE" w:rsidR="000A6469" w:rsidRPr="004D11C9" w:rsidRDefault="00BF0474" w:rsidP="00BF0474">
      <w:pPr>
        <w:pStyle w:val="Heading4"/>
        <w:tabs>
          <w:tab w:val="left" w:pos="743"/>
        </w:tabs>
        <w:ind w:left="0"/>
        <w:rPr>
          <w:rFonts w:ascii="Times New Roman" w:hAnsi="Times New Roman"/>
          <w:noProof/>
          <w:sz w:val="24"/>
        </w:rPr>
      </w:pPr>
      <w:bookmarkStart w:id="170" w:name="4.4._Value_estimates"/>
      <w:bookmarkEnd w:id="170"/>
      <w:r>
        <w:rPr>
          <w:rFonts w:ascii="Times New Roman" w:hAnsi="Times New Roman"/>
          <w:sz w:val="24"/>
        </w:rPr>
        <w:t>4.4. Vērtības aplēses</w:t>
      </w:r>
    </w:p>
    <w:p w14:paraId="24F046E1" w14:textId="77777777" w:rsidR="000A6469" w:rsidRPr="004D11C9" w:rsidRDefault="000A6469" w:rsidP="004D11C9">
      <w:pPr>
        <w:jc w:val="both"/>
        <w:rPr>
          <w:rFonts w:ascii="Times New Roman" w:eastAsia="Arial" w:hAnsi="Times New Roman" w:cs="Arial"/>
          <w:b/>
          <w:bCs/>
          <w:i/>
          <w:noProof/>
          <w:sz w:val="24"/>
          <w:szCs w:val="21"/>
        </w:rPr>
      </w:pPr>
    </w:p>
    <w:p w14:paraId="30DBDBC3" w14:textId="1C0094B9" w:rsidR="000A6469" w:rsidRPr="004D11C9" w:rsidRDefault="00BF0474" w:rsidP="00BF0474">
      <w:pPr>
        <w:tabs>
          <w:tab w:val="left" w:pos="897"/>
        </w:tabs>
        <w:jc w:val="both"/>
        <w:rPr>
          <w:rFonts w:ascii="Times New Roman" w:hAnsi="Times New Roman"/>
          <w:i/>
          <w:noProof/>
          <w:sz w:val="24"/>
        </w:rPr>
      </w:pPr>
      <w:bookmarkStart w:id="171" w:name="4.4.1._Consumer_benefits"/>
      <w:bookmarkEnd w:id="171"/>
      <w:r>
        <w:rPr>
          <w:rFonts w:ascii="Times New Roman" w:hAnsi="Times New Roman"/>
          <w:i/>
          <w:sz w:val="24"/>
        </w:rPr>
        <w:t>4.4.1. Labums patērētājiem</w:t>
      </w:r>
    </w:p>
    <w:p w14:paraId="7D8AA040" w14:textId="77777777" w:rsidR="000A6469" w:rsidRPr="004D11C9" w:rsidRDefault="000A6469" w:rsidP="004D11C9">
      <w:pPr>
        <w:jc w:val="both"/>
        <w:rPr>
          <w:rFonts w:ascii="Times New Roman" w:eastAsia="Arial" w:hAnsi="Times New Roman" w:cs="Arial"/>
          <w:i/>
          <w:noProof/>
          <w:sz w:val="24"/>
          <w:szCs w:val="21"/>
        </w:rPr>
      </w:pPr>
    </w:p>
    <w:p w14:paraId="4A32C457"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Regulējuma ietekmi uz konkurenci bieži var izskatīt kā pāreju no viena pieprasījuma līknes punkta uz citu punktu. To var uzskatīt par līdzsvara maiņas pieeju. Daudziem noteikumiem, kas ierobežo piedāvājumu vai paaugstina cenu, patērētāju ieguvumus vai kaitējumu, ko rada pāreja no viena līdzsvara uz citu līdzsvaru, var salīdzinoši viegli aprēķināt attiecībā uz lineārā pieprasījuma un nemainīgā aizvietošanas elastīguma (</w:t>
      </w:r>
      <w:r>
        <w:rPr>
          <w:rFonts w:ascii="Times New Roman" w:hAnsi="Times New Roman"/>
          <w:i/>
          <w:sz w:val="24"/>
        </w:rPr>
        <w:t>CES</w:t>
      </w:r>
      <w:r>
        <w:rPr>
          <w:rFonts w:ascii="Times New Roman" w:hAnsi="Times New Roman"/>
          <w:sz w:val="24"/>
        </w:rPr>
        <w:t xml:space="preserve">) pieprasījuma gadījumiem. Lineārā pieprasījuma gadījums parasti nodrošinās zemāku reformas ieguvumu aplēsi nekā </w:t>
      </w:r>
      <w:r>
        <w:rPr>
          <w:rFonts w:ascii="Times New Roman" w:hAnsi="Times New Roman"/>
          <w:i/>
          <w:sz w:val="24"/>
        </w:rPr>
        <w:t>CES</w:t>
      </w:r>
      <w:r>
        <w:rPr>
          <w:rFonts w:ascii="Times New Roman" w:hAnsi="Times New Roman"/>
          <w:sz w:val="24"/>
        </w:rPr>
        <w:t xml:space="preserve"> </w:t>
      </w:r>
      <w:r>
        <w:rPr>
          <w:rFonts w:ascii="Times New Roman" w:hAnsi="Times New Roman"/>
          <w:sz w:val="24"/>
        </w:rPr>
        <w:lastRenderedPageBreak/>
        <w:t xml:space="preserve">pieprasījuma gadījums. Šos divus gadījumus var uzskatīt par aplēses robežām, lineārajam pieprasījumam nosakot apakšējo robežu un </w:t>
      </w:r>
      <w:r>
        <w:rPr>
          <w:rFonts w:ascii="Times New Roman" w:hAnsi="Times New Roman"/>
          <w:i/>
          <w:sz w:val="24"/>
        </w:rPr>
        <w:t>CES</w:t>
      </w:r>
      <w:r>
        <w:rPr>
          <w:rFonts w:ascii="Times New Roman" w:hAnsi="Times New Roman"/>
          <w:sz w:val="24"/>
        </w:rPr>
        <w:t xml:space="preserve"> pieprasījumam nosakot augšējo robežu.</w:t>
      </w:r>
    </w:p>
    <w:p w14:paraId="09670FDB" w14:textId="77777777" w:rsidR="00867DDD" w:rsidRPr="004D11C9" w:rsidRDefault="00867DDD" w:rsidP="004D11C9">
      <w:pPr>
        <w:jc w:val="both"/>
        <w:rPr>
          <w:rFonts w:ascii="Times New Roman" w:eastAsia="Arial" w:hAnsi="Times New Roman" w:cs="Arial"/>
          <w:noProof/>
          <w:sz w:val="24"/>
          <w:szCs w:val="15"/>
        </w:rPr>
      </w:pPr>
    </w:p>
    <w:p w14:paraId="6567BCD6" w14:textId="77777777" w:rsidR="00BF0474" w:rsidRPr="004D11C9" w:rsidRDefault="00BF0474" w:rsidP="00BF0474">
      <w:pPr>
        <w:pStyle w:val="Heading6"/>
        <w:ind w:left="0"/>
        <w:jc w:val="center"/>
        <w:rPr>
          <w:rFonts w:ascii="Times New Roman" w:hAnsi="Times New Roman"/>
          <w:noProof/>
          <w:sz w:val="24"/>
        </w:rPr>
      </w:pPr>
      <w:r>
        <w:rPr>
          <w:rFonts w:ascii="Times New Roman" w:hAnsi="Times New Roman"/>
          <w:sz w:val="24"/>
        </w:rPr>
        <w:t>4. attēls. Kaitējums patērētājiem</w:t>
      </w:r>
    </w:p>
    <w:p w14:paraId="1B68C413" w14:textId="77777777" w:rsidR="000A6469" w:rsidRPr="004D11C9" w:rsidRDefault="000A6469" w:rsidP="004D11C9">
      <w:pPr>
        <w:jc w:val="both"/>
        <w:rPr>
          <w:rFonts w:ascii="Times New Roman" w:eastAsia="Arial" w:hAnsi="Times New Roman" w:cs="Arial"/>
          <w:noProof/>
          <w:sz w:val="24"/>
          <w:szCs w:val="20"/>
        </w:rPr>
      </w:pPr>
    </w:p>
    <w:p w14:paraId="1D36C6AD" w14:textId="6704A0FF" w:rsidR="000A6469" w:rsidRPr="004D11C9" w:rsidRDefault="00BF0474" w:rsidP="00BF0474">
      <w:pPr>
        <w:jc w:val="center"/>
        <w:rPr>
          <w:rFonts w:ascii="Times New Roman" w:eastAsia="Arial" w:hAnsi="Times New Roman" w:cs="Arial"/>
          <w:noProof/>
          <w:sz w:val="24"/>
          <w:szCs w:val="20"/>
        </w:rPr>
      </w:pPr>
      <w:r>
        <w:rPr>
          <w:rFonts w:ascii="Times New Roman" w:hAnsi="Times New Roman"/>
          <w:noProof/>
          <w:sz w:val="24"/>
          <w:szCs w:val="20"/>
        </w:rPr>
        <w:drawing>
          <wp:inline distT="0" distB="0" distL="0" distR="0" wp14:anchorId="278FB883" wp14:editId="7EA78401">
            <wp:extent cx="3296093" cy="275487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01666" cy="2759534"/>
                    </a:xfrm>
                    <a:prstGeom prst="rect">
                      <a:avLst/>
                    </a:prstGeom>
                    <a:noFill/>
                    <a:ln>
                      <a:noFill/>
                    </a:ln>
                  </pic:spPr>
                </pic:pic>
              </a:graphicData>
            </a:graphic>
          </wp:inline>
        </w:drawing>
      </w:r>
    </w:p>
    <w:p w14:paraId="04705AD7" w14:textId="77777777" w:rsidR="000A6469" w:rsidRPr="004D11C9" w:rsidRDefault="000A6469" w:rsidP="004D11C9">
      <w:pPr>
        <w:jc w:val="both"/>
        <w:rPr>
          <w:rFonts w:ascii="Times New Roman" w:eastAsia="Arial" w:hAnsi="Times New Roman" w:cs="Arial"/>
          <w:noProof/>
          <w:sz w:val="24"/>
          <w:szCs w:val="27"/>
        </w:rPr>
      </w:pPr>
    </w:p>
    <w:p w14:paraId="65598E38" w14:textId="59A0C685" w:rsidR="000A6469" w:rsidRPr="004D11C9" w:rsidRDefault="000A6469" w:rsidP="004D11C9">
      <w:pPr>
        <w:jc w:val="both"/>
        <w:rPr>
          <w:rFonts w:ascii="Times New Roman" w:hAnsi="Times New Roman"/>
          <w:i/>
          <w:noProof/>
          <w:sz w:val="24"/>
        </w:rPr>
      </w:pPr>
      <w:r>
        <w:rPr>
          <w:rFonts w:ascii="Times New Roman" w:hAnsi="Times New Roman"/>
          <w:i/>
          <w:sz w:val="24"/>
        </w:rPr>
        <w:t>Standarta rādītājs</w:t>
      </w:r>
      <w:bookmarkStart w:id="172" w:name="Standard_Measure"/>
      <w:bookmarkEnd w:id="172"/>
    </w:p>
    <w:p w14:paraId="0DBC7DF2" w14:textId="77777777" w:rsidR="000A6469" w:rsidRPr="004D11C9" w:rsidRDefault="000A6469" w:rsidP="004D11C9">
      <w:pPr>
        <w:jc w:val="both"/>
        <w:rPr>
          <w:rFonts w:ascii="Times New Roman" w:eastAsia="Arial" w:hAnsi="Times New Roman" w:cs="Arial"/>
          <w:b/>
          <w:bCs/>
          <w:noProof/>
          <w:sz w:val="24"/>
          <w:szCs w:val="14"/>
        </w:rPr>
      </w:pPr>
    </w:p>
    <w:p w14:paraId="47C04B0C" w14:textId="1D09EB74"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Daudzās nozarēs ir pieejama minimāla informācija par cenām, uzņēmumu apgrozījumu un citiem tehniskākiem ekonomiskajiem rādītājiem.</w:t>
      </w:r>
      <w:r w:rsidR="00BF0474">
        <w:rPr>
          <w:rStyle w:val="FootnoteReference"/>
          <w:rFonts w:ascii="Times New Roman" w:hAnsi="Times New Roman"/>
          <w:noProof/>
          <w:sz w:val="24"/>
        </w:rPr>
        <w:footnoteReference w:id="9"/>
      </w:r>
      <w:r>
        <w:rPr>
          <w:rFonts w:ascii="Times New Roman" w:hAnsi="Times New Roman"/>
          <w:sz w:val="24"/>
        </w:rPr>
        <w:t xml:space="preserve"> Šādu datu ierobežojumu dēļ ieguvumus var nebūt iespējams aprēķināt ar līdzsvara maiņas pieeju. Tādēļ var būt noderīga vienkāršota metode, lai arī tā nav tik laba kā līdzsvara maiņas pieeja. Šajā sadaļā ir sniegta informācija par standarta rādītāju, kas paredzēts izmantošanai apstākļos, kad labāka informācija nav pieejama.</w:t>
      </w:r>
      <w:r w:rsidR="00BF0474">
        <w:rPr>
          <w:rStyle w:val="FootnoteReference"/>
          <w:rFonts w:ascii="Times New Roman" w:hAnsi="Times New Roman"/>
          <w:noProof/>
          <w:sz w:val="24"/>
        </w:rPr>
        <w:footnoteReference w:id="10"/>
      </w:r>
      <w:r>
        <w:rPr>
          <w:rFonts w:ascii="Times New Roman" w:hAnsi="Times New Roman"/>
          <w:sz w:val="24"/>
        </w:rPr>
        <w:t xml:space="preserve"> Šādu standarta rādītāju priekšrocība ir tā, ka tie palīdz raksturot iespējamo ieguvumu līmeni un nodrošināt pamatotu un salīdzināmu konkurenci veicinošu </w:t>
      </w:r>
      <w:r w:rsidR="003141DC">
        <w:rPr>
          <w:rFonts w:ascii="Times New Roman" w:hAnsi="Times New Roman"/>
          <w:sz w:val="24"/>
        </w:rPr>
        <w:t>regulatīvu</w:t>
      </w:r>
      <w:r>
        <w:rPr>
          <w:rFonts w:ascii="Times New Roman" w:hAnsi="Times New Roman"/>
          <w:sz w:val="24"/>
        </w:rPr>
        <w:t xml:space="preserve"> izmaiņu vērtības rādītāju. Galvenie ievaddati šādam rādītājam – nozares ieņēmumi, pieprasījuma elastīgums un atklātā ierobežojuma veida vidējā ietekme uz cenu.</w:t>
      </w:r>
    </w:p>
    <w:p w14:paraId="370BF5FC" w14:textId="77777777" w:rsidR="000A6469" w:rsidRPr="004D11C9" w:rsidRDefault="000A6469" w:rsidP="004D11C9">
      <w:pPr>
        <w:jc w:val="both"/>
        <w:rPr>
          <w:rFonts w:ascii="Times New Roman" w:eastAsia="Arial" w:hAnsi="Times New Roman" w:cs="Arial"/>
          <w:noProof/>
          <w:sz w:val="24"/>
          <w:szCs w:val="20"/>
        </w:rPr>
      </w:pPr>
    </w:p>
    <w:p w14:paraId="60E88A3A" w14:textId="1C14F7B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Ja ir iespējams prognozēt cenu izmaiņas atkarībā no atceļamā ierobežojuma veida, no ierobežojuma atcelšanas izrietošo patērētāju ieguvumu aprēķina, izmantojot šādu formulu</w:t>
      </w:r>
      <w:r w:rsidR="00BF0474">
        <w:rPr>
          <w:rStyle w:val="FootnoteReference"/>
          <w:rFonts w:ascii="Times New Roman" w:hAnsi="Times New Roman"/>
          <w:noProof/>
          <w:sz w:val="24"/>
        </w:rPr>
        <w:footnoteReference w:id="11"/>
      </w:r>
      <w:r>
        <w:rPr>
          <w:rFonts w:ascii="Times New Roman" w:hAnsi="Times New Roman"/>
          <w:sz w:val="24"/>
        </w:rPr>
        <w:t>:</w:t>
      </w:r>
    </w:p>
    <w:p w14:paraId="540BD06D" w14:textId="77777777" w:rsidR="000A6469" w:rsidRPr="004D11C9" w:rsidRDefault="000A6469" w:rsidP="004D11C9">
      <w:pPr>
        <w:jc w:val="both"/>
        <w:rPr>
          <w:rFonts w:ascii="Times New Roman" w:eastAsia="Arial" w:hAnsi="Times New Roman" w:cs="Arial"/>
          <w:noProof/>
          <w:sz w:val="24"/>
          <w:szCs w:val="12"/>
        </w:rPr>
      </w:pPr>
    </w:p>
    <w:p w14:paraId="26B5A9F5" w14:textId="0564212A" w:rsidR="00867DDD" w:rsidRPr="004D11C9" w:rsidRDefault="00BF0474" w:rsidP="009D678F">
      <w:pPr>
        <w:keepNext/>
        <w:jc w:val="center"/>
        <w:rPr>
          <w:rFonts w:ascii="Times New Roman" w:eastAsia="Arial" w:hAnsi="Times New Roman" w:cs="Arial"/>
          <w:noProof/>
          <w:sz w:val="24"/>
          <w:szCs w:val="12"/>
        </w:rPr>
      </w:pPr>
      <w:r>
        <w:rPr>
          <w:rFonts w:ascii="Times New Roman" w:hAnsi="Times New Roman"/>
          <w:noProof/>
          <w:sz w:val="24"/>
          <w:szCs w:val="12"/>
        </w:rPr>
        <w:lastRenderedPageBreak/>
        <w:drawing>
          <wp:inline distT="0" distB="0" distL="0" distR="0" wp14:anchorId="013ADBF0" wp14:editId="6FEA2A42">
            <wp:extent cx="1510030" cy="5105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10030" cy="510540"/>
                    </a:xfrm>
                    <a:prstGeom prst="rect">
                      <a:avLst/>
                    </a:prstGeom>
                    <a:noFill/>
                    <a:ln>
                      <a:noFill/>
                    </a:ln>
                  </pic:spPr>
                </pic:pic>
              </a:graphicData>
            </a:graphic>
          </wp:inline>
        </w:drawing>
      </w:r>
    </w:p>
    <w:p w14:paraId="2245ED9A" w14:textId="77777777" w:rsidR="00867DDD" w:rsidRPr="004D11C9" w:rsidRDefault="00867DDD" w:rsidP="009D678F">
      <w:pPr>
        <w:keepNext/>
        <w:jc w:val="both"/>
        <w:rPr>
          <w:rFonts w:ascii="Times New Roman" w:eastAsia="Cambria Math" w:hAnsi="Times New Roman" w:cs="Cambria Math"/>
          <w:noProof/>
          <w:sz w:val="24"/>
        </w:rPr>
      </w:pPr>
    </w:p>
    <w:p w14:paraId="19C77126" w14:textId="77777777" w:rsidR="000A6469" w:rsidRPr="004D11C9" w:rsidRDefault="000A6469" w:rsidP="009D678F">
      <w:pPr>
        <w:pStyle w:val="BodyText"/>
        <w:keepNext/>
        <w:ind w:left="0" w:firstLine="0"/>
        <w:jc w:val="both"/>
        <w:rPr>
          <w:rFonts w:ascii="Times New Roman" w:hAnsi="Times New Roman"/>
          <w:noProof/>
          <w:sz w:val="24"/>
        </w:rPr>
      </w:pPr>
      <w:r>
        <w:rPr>
          <w:rFonts w:ascii="Times New Roman" w:hAnsi="Times New Roman"/>
          <w:sz w:val="24"/>
        </w:rPr>
        <w:t>, kur</w:t>
      </w:r>
    </w:p>
    <w:p w14:paraId="134C7701" w14:textId="77777777" w:rsidR="000A6469" w:rsidRPr="004D11C9" w:rsidRDefault="000A6469" w:rsidP="009D678F">
      <w:pPr>
        <w:keepNext/>
        <w:jc w:val="both"/>
        <w:rPr>
          <w:rFonts w:ascii="Times New Roman" w:eastAsia="Arial" w:hAnsi="Times New Roman" w:cs="Arial"/>
          <w:noProof/>
          <w:sz w:val="24"/>
          <w:szCs w:val="20"/>
        </w:rPr>
      </w:pPr>
    </w:p>
    <w:p w14:paraId="3C457E84" w14:textId="5FB63889" w:rsidR="000A6469" w:rsidRPr="00BF0474" w:rsidRDefault="000A6469" w:rsidP="009D678F">
      <w:pPr>
        <w:pStyle w:val="BodyText"/>
        <w:keepNext/>
        <w:numPr>
          <w:ilvl w:val="3"/>
          <w:numId w:val="7"/>
        </w:numPr>
        <w:ind w:left="426" w:hanging="426"/>
        <w:jc w:val="both"/>
        <w:rPr>
          <w:rFonts w:ascii="Times New Roman" w:hAnsi="Times New Roman"/>
          <w:noProof/>
          <w:sz w:val="24"/>
        </w:rPr>
      </w:pPr>
      <w:r>
        <w:rPr>
          <w:rFonts w:ascii="Times New Roman" w:hAnsi="Times New Roman"/>
          <w:i/>
          <w:sz w:val="24"/>
        </w:rPr>
        <w:t>CBs</w:t>
      </w:r>
      <w:r>
        <w:rPr>
          <w:rFonts w:ascii="Times New Roman" w:hAnsi="Times New Roman"/>
          <w:sz w:val="24"/>
        </w:rPr>
        <w:t xml:space="preserve"> – patērētājiem nodarītā kaitējuma standarta rādītājs</w:t>
      </w:r>
    </w:p>
    <w:p w14:paraId="724D93B9" w14:textId="249B405B" w:rsidR="000A6469" w:rsidRPr="00BF0474" w:rsidRDefault="000A6469" w:rsidP="00BF0474">
      <w:pPr>
        <w:pStyle w:val="BodyText"/>
        <w:numPr>
          <w:ilvl w:val="3"/>
          <w:numId w:val="7"/>
        </w:numPr>
        <w:ind w:left="426" w:hanging="426"/>
        <w:jc w:val="both"/>
        <w:rPr>
          <w:rFonts w:ascii="Times New Roman" w:hAnsi="Times New Roman"/>
          <w:noProof/>
          <w:sz w:val="24"/>
        </w:rPr>
      </w:pPr>
      <w:r>
        <w:rPr>
          <w:rFonts w:ascii="Times New Roman" w:hAnsi="Times New Roman"/>
          <w:i/>
          <w:sz w:val="24"/>
        </w:rPr>
        <w:t>ρ</w:t>
      </w:r>
      <w:r>
        <w:rPr>
          <w:rFonts w:ascii="Times New Roman" w:hAnsi="Times New Roman"/>
          <w:sz w:val="24"/>
        </w:rPr>
        <w:t xml:space="preserve"> – ar ierobežojumu saistītās cenas procentuālās izmaiņas</w:t>
      </w:r>
    </w:p>
    <w:p w14:paraId="34A7FB15" w14:textId="3252918D" w:rsidR="000A6469" w:rsidRPr="00BF0474" w:rsidRDefault="000A6469" w:rsidP="00BF0474">
      <w:pPr>
        <w:numPr>
          <w:ilvl w:val="3"/>
          <w:numId w:val="7"/>
        </w:numPr>
        <w:ind w:left="426" w:hanging="426"/>
        <w:jc w:val="both"/>
        <w:rPr>
          <w:rFonts w:ascii="Times New Roman" w:eastAsia="Arial" w:hAnsi="Times New Roman" w:cs="Arial"/>
          <w:noProof/>
          <w:sz w:val="24"/>
          <w:szCs w:val="21"/>
        </w:rPr>
      </w:pPr>
      <w:r>
        <w:rPr>
          <w:rFonts w:ascii="Times New Roman" w:hAnsi="Times New Roman"/>
          <w:i/>
          <w:sz w:val="24"/>
        </w:rPr>
        <w:t>R</w:t>
      </w:r>
      <w:r>
        <w:rPr>
          <w:rFonts w:ascii="Times New Roman" w:hAnsi="Times New Roman"/>
          <w:sz w:val="24"/>
        </w:rPr>
        <w:t xml:space="preserve"> – nozares ieņēmumi</w:t>
      </w:r>
    </w:p>
    <w:p w14:paraId="2B583357" w14:textId="77777777" w:rsidR="000A6469" w:rsidRPr="004D11C9" w:rsidRDefault="000A6469" w:rsidP="00BF0474">
      <w:pPr>
        <w:pStyle w:val="BodyText"/>
        <w:numPr>
          <w:ilvl w:val="3"/>
          <w:numId w:val="7"/>
        </w:numPr>
        <w:ind w:left="426" w:hanging="426"/>
        <w:jc w:val="both"/>
        <w:rPr>
          <w:rFonts w:ascii="Times New Roman" w:hAnsi="Times New Roman"/>
          <w:noProof/>
          <w:sz w:val="24"/>
        </w:rPr>
      </w:pPr>
      <w:r>
        <w:rPr>
          <w:rFonts w:ascii="Times New Roman" w:hAnsi="Times New Roman"/>
          <w:sz w:val="24"/>
        </w:rPr>
        <w:t>|ε| – pieprasījuma elastīguma absolūtā vērtība</w:t>
      </w:r>
    </w:p>
    <w:p w14:paraId="71B65ADB" w14:textId="77777777" w:rsidR="000A6469" w:rsidRPr="004D11C9" w:rsidRDefault="000A6469" w:rsidP="004D11C9">
      <w:pPr>
        <w:jc w:val="both"/>
        <w:rPr>
          <w:rFonts w:ascii="Times New Roman" w:eastAsia="Arial" w:hAnsi="Times New Roman" w:cs="Arial"/>
          <w:noProof/>
          <w:sz w:val="24"/>
          <w:szCs w:val="21"/>
        </w:rPr>
      </w:pPr>
    </w:p>
    <w:p w14:paraId="7BC883FB"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Ja nav zināms elastīgums nozarē, var pieņemt, ka |ε|=2 relatīvi tipiskam tirgum ar konkurentiem, dažiem patērētājiem, kas vēlas pārtraukt iepirkšanos, reaģējot uz augstākām cenām, un bez cenu regulēšanas, lai aprēķinātu ieguvumu no ierobežojuma atcelšanas:</w:t>
      </w:r>
    </w:p>
    <w:p w14:paraId="418C352C" w14:textId="77777777" w:rsidR="00BF0474" w:rsidRDefault="00BF0474" w:rsidP="004D11C9">
      <w:pPr>
        <w:pStyle w:val="BodyText"/>
        <w:ind w:left="0" w:firstLine="0"/>
        <w:jc w:val="both"/>
        <w:rPr>
          <w:rFonts w:ascii="Times New Roman" w:hAnsi="Times New Roman"/>
          <w:noProof/>
          <w:sz w:val="24"/>
          <w:u w:val="single" w:color="000000"/>
        </w:rPr>
      </w:pPr>
      <w:bookmarkStart w:id="173" w:name="Revenues"/>
      <w:bookmarkEnd w:id="173"/>
    </w:p>
    <w:p w14:paraId="561CDE25" w14:textId="74F54DAD" w:rsidR="00BF0474" w:rsidRDefault="00BF0474" w:rsidP="00BF0474">
      <w:pPr>
        <w:pStyle w:val="BodyText"/>
        <w:ind w:left="0" w:firstLine="0"/>
        <w:jc w:val="center"/>
        <w:rPr>
          <w:rFonts w:ascii="Times New Roman" w:hAnsi="Times New Roman"/>
          <w:noProof/>
          <w:sz w:val="24"/>
          <w:u w:val="single" w:color="000000"/>
        </w:rPr>
      </w:pPr>
      <w:r>
        <w:rPr>
          <w:rFonts w:ascii="Times New Roman" w:hAnsi="Times New Roman"/>
          <w:noProof/>
          <w:sz w:val="24"/>
        </w:rPr>
        <w:drawing>
          <wp:inline distT="0" distB="0" distL="0" distR="0" wp14:anchorId="021AB9E4" wp14:editId="3DC9775F">
            <wp:extent cx="1169670" cy="2978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69670" cy="297815"/>
                    </a:xfrm>
                    <a:prstGeom prst="rect">
                      <a:avLst/>
                    </a:prstGeom>
                    <a:noFill/>
                    <a:ln>
                      <a:noFill/>
                    </a:ln>
                  </pic:spPr>
                </pic:pic>
              </a:graphicData>
            </a:graphic>
          </wp:inline>
        </w:drawing>
      </w:r>
    </w:p>
    <w:p w14:paraId="3E9BC98E" w14:textId="77777777" w:rsidR="00BF0474" w:rsidRDefault="00BF0474" w:rsidP="004D11C9">
      <w:pPr>
        <w:pStyle w:val="BodyText"/>
        <w:ind w:left="0" w:firstLine="0"/>
        <w:jc w:val="both"/>
        <w:rPr>
          <w:rFonts w:ascii="Times New Roman" w:hAnsi="Times New Roman"/>
          <w:noProof/>
          <w:sz w:val="24"/>
          <w:u w:val="single" w:color="000000"/>
        </w:rPr>
      </w:pPr>
    </w:p>
    <w:p w14:paraId="0C35CAAC" w14:textId="2C8327D4" w:rsidR="000A6469" w:rsidRPr="004D11C9" w:rsidRDefault="000A6469" w:rsidP="004D11C9">
      <w:pPr>
        <w:pStyle w:val="BodyText"/>
        <w:ind w:left="0" w:firstLine="0"/>
        <w:jc w:val="both"/>
        <w:rPr>
          <w:rFonts w:ascii="Times New Roman" w:hAnsi="Times New Roman"/>
          <w:noProof/>
          <w:sz w:val="24"/>
          <w:u w:val="single" w:color="000000"/>
        </w:rPr>
      </w:pPr>
      <w:r>
        <w:rPr>
          <w:rFonts w:ascii="Times New Roman" w:hAnsi="Times New Roman"/>
          <w:sz w:val="24"/>
          <w:u w:val="single" w:color="000000"/>
        </w:rPr>
        <w:t>Ieņēmumi</w:t>
      </w:r>
    </w:p>
    <w:p w14:paraId="06ACE674" w14:textId="77777777" w:rsidR="000A6469" w:rsidRPr="004D11C9" w:rsidRDefault="000A6469" w:rsidP="004D11C9">
      <w:pPr>
        <w:jc w:val="both"/>
        <w:rPr>
          <w:rFonts w:ascii="Times New Roman" w:eastAsia="Arial" w:hAnsi="Times New Roman" w:cs="Arial"/>
          <w:noProof/>
          <w:sz w:val="24"/>
          <w:szCs w:val="14"/>
        </w:rPr>
      </w:pPr>
    </w:p>
    <w:p w14:paraId="3211ABEF"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Ieņēmumi ir vērtīgs rādītājs, jo tie bieži vien ir viegli pieejami un, pat ja tie nav viegli pieejami, tie nav tik konfidenciāli kā divi tos veidojošie elementi, proti, cena un daudzums.</w:t>
      </w:r>
    </w:p>
    <w:p w14:paraId="6AFDC7B6" w14:textId="77777777" w:rsidR="000A6469" w:rsidRPr="004D11C9" w:rsidRDefault="000A6469" w:rsidP="004D11C9">
      <w:pPr>
        <w:jc w:val="both"/>
        <w:rPr>
          <w:rFonts w:ascii="Times New Roman" w:eastAsia="Arial" w:hAnsi="Times New Roman" w:cs="Arial"/>
          <w:noProof/>
          <w:sz w:val="24"/>
          <w:szCs w:val="20"/>
        </w:rPr>
      </w:pPr>
    </w:p>
    <w:p w14:paraId="24E393CB"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Ieņēmumiem jābūt iegūtiem tirgū, kuru tieši ietekmē attiecīgais regulējums. Ieņēmumu rādītājā parasti neietilpst ieņēmumi, kas gūti attālākos, taču saistītos tirgos. Lai novērtētu ieņēmumus, ir jānosaka attiecīgā tirgus robežas.</w:t>
      </w:r>
    </w:p>
    <w:p w14:paraId="61659E59" w14:textId="77777777" w:rsidR="000A6469" w:rsidRPr="004D11C9" w:rsidRDefault="000A6469" w:rsidP="004D11C9">
      <w:pPr>
        <w:jc w:val="both"/>
        <w:rPr>
          <w:rFonts w:ascii="Times New Roman" w:eastAsia="Arial" w:hAnsi="Times New Roman" w:cs="Arial"/>
          <w:noProof/>
          <w:sz w:val="24"/>
          <w:szCs w:val="15"/>
        </w:rPr>
      </w:pPr>
    </w:p>
    <w:p w14:paraId="1278B199"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u w:val="single" w:color="000000"/>
        </w:rPr>
        <w:t>Piemērs</w:t>
      </w:r>
      <w:r>
        <w:rPr>
          <w:rFonts w:ascii="Times New Roman" w:hAnsi="Times New Roman"/>
          <w:sz w:val="24"/>
        </w:rPr>
        <w:t>. Pieņemsim, ka ir zināmi valsts tirgū gūtie ieņēmumi, bet regulējums ietekmē tikai vietējo līmeni. Vietējos ieņēmumus ir iespējams aprēķināt no valsts līmenī gūtajiem ieņēmumiem, piemēram, aprēķinot ieņēmumus uz vienu iedzīvotāju, uz vienu preču tirgu vai uz vienu ģeogrāfisko vienību.</w:t>
      </w:r>
    </w:p>
    <w:p w14:paraId="3B41F853" w14:textId="77777777" w:rsidR="000A6469" w:rsidRPr="004D11C9" w:rsidRDefault="000A6469" w:rsidP="004D11C9">
      <w:pPr>
        <w:jc w:val="both"/>
        <w:rPr>
          <w:rFonts w:ascii="Times New Roman" w:hAnsi="Times New Roman"/>
          <w:noProof/>
          <w:sz w:val="24"/>
        </w:rPr>
      </w:pPr>
    </w:p>
    <w:p w14:paraId="6CE05567"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Ieņēmumus izsaka naudas vienībās, tādējādi ļaujot aprēķināt ieguvumus no konkurences veicināšanas, kas arī tiek izteikti naudas vienībās.</w:t>
      </w:r>
    </w:p>
    <w:p w14:paraId="753934AB" w14:textId="77777777" w:rsidR="000A6469" w:rsidRPr="004D11C9" w:rsidRDefault="000A6469" w:rsidP="004D11C9">
      <w:pPr>
        <w:jc w:val="both"/>
        <w:rPr>
          <w:rFonts w:ascii="Times New Roman" w:eastAsia="Arial" w:hAnsi="Times New Roman" w:cs="Arial"/>
          <w:noProof/>
          <w:sz w:val="24"/>
          <w:szCs w:val="20"/>
        </w:rPr>
      </w:pPr>
    </w:p>
    <w:p w14:paraId="2EA685D3" w14:textId="77777777" w:rsidR="000A6469" w:rsidRPr="004D11C9" w:rsidRDefault="000A6469" w:rsidP="004D11C9">
      <w:pPr>
        <w:pStyle w:val="BodyText"/>
        <w:ind w:left="0" w:firstLine="0"/>
        <w:jc w:val="both"/>
        <w:rPr>
          <w:rFonts w:ascii="Times New Roman" w:hAnsi="Times New Roman"/>
          <w:noProof/>
          <w:sz w:val="24"/>
          <w:u w:val="single" w:color="000000"/>
        </w:rPr>
      </w:pPr>
      <w:bookmarkStart w:id="174" w:name="Percentage_change_in_price"/>
      <w:bookmarkEnd w:id="174"/>
      <w:r>
        <w:rPr>
          <w:rFonts w:ascii="Times New Roman" w:hAnsi="Times New Roman"/>
          <w:sz w:val="24"/>
          <w:u w:val="single" w:color="000000"/>
        </w:rPr>
        <w:t>Cenas procentuālās izmaiņas</w:t>
      </w:r>
    </w:p>
    <w:p w14:paraId="4568B350" w14:textId="77777777" w:rsidR="000A6469" w:rsidRPr="004D11C9" w:rsidRDefault="000A6469" w:rsidP="004D11C9">
      <w:pPr>
        <w:jc w:val="both"/>
        <w:rPr>
          <w:rFonts w:ascii="Times New Roman" w:eastAsia="Arial" w:hAnsi="Times New Roman" w:cs="Arial"/>
          <w:noProof/>
          <w:sz w:val="24"/>
          <w:szCs w:val="14"/>
        </w:rPr>
      </w:pPr>
    </w:p>
    <w:p w14:paraId="5CB3DEB9"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Dažādu konkurenci veicinošu regulējuma izmaiņu veidu ietekme uz cenām ir pētīta daudzos pētījumos. Izmantojot tabulu 2. pielikumā, šie pētījumi ir apkopoti sliekšņa rādītājos ierobežojumu vērtības aprēķināšanai dažādās jomās. Minētie sliekšņi ir uzskaitīti 2. tabulā.</w:t>
      </w:r>
    </w:p>
    <w:p w14:paraId="7B74572A" w14:textId="77777777" w:rsidR="000A6469" w:rsidRPr="004D11C9" w:rsidRDefault="000A6469" w:rsidP="004D11C9">
      <w:pPr>
        <w:jc w:val="both"/>
        <w:rPr>
          <w:rFonts w:ascii="Times New Roman" w:eastAsia="Arial" w:hAnsi="Times New Roman" w:cs="Arial"/>
          <w:noProof/>
          <w:sz w:val="24"/>
          <w:szCs w:val="20"/>
        </w:rPr>
      </w:pPr>
    </w:p>
    <w:p w14:paraId="3940DF0B"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Lai atrastu piemērotu slieksni, nosakiet identificētā ierobežojuma veidu. Tabulā katram ierobežojumam ir noteikts ietekmes slieksnis. Ja ir zināmi precīzāki radītāji, piemēram, no konkrētu nozaru pētījumiem, tie var būt piemērotāki nekā vispārējais slieksnis. Ja nav veikti atbilstoši pētījumi, minēto slieksni var izmantot kā pirmo tuvinājumu.</w:t>
      </w:r>
    </w:p>
    <w:p w14:paraId="08B97B59" w14:textId="77777777" w:rsidR="000A6469" w:rsidRPr="004D11C9" w:rsidRDefault="000A6469" w:rsidP="004D11C9">
      <w:pPr>
        <w:jc w:val="both"/>
        <w:rPr>
          <w:rFonts w:ascii="Times New Roman" w:eastAsia="Arial" w:hAnsi="Times New Roman" w:cs="Arial"/>
          <w:noProof/>
          <w:sz w:val="24"/>
          <w:szCs w:val="20"/>
        </w:rPr>
      </w:pPr>
    </w:p>
    <w:p w14:paraId="4EBDAA59"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Ja tiek identificēti vairāki ierobežojumi, piesardzīga pieeja ir izvēlēties to ierobežojumu, kam ir vislielākā cenu starpība, un izmantot to kā pamatu cenu procentuālajām izmaiņām.</w:t>
      </w:r>
    </w:p>
    <w:p w14:paraId="5D3CE7D4" w14:textId="77777777" w:rsidR="000A6469" w:rsidRPr="004D11C9" w:rsidRDefault="000A6469" w:rsidP="004D11C9">
      <w:pPr>
        <w:jc w:val="both"/>
        <w:rPr>
          <w:rFonts w:ascii="Times New Roman" w:eastAsia="Arial" w:hAnsi="Times New Roman" w:cs="Arial"/>
          <w:noProof/>
          <w:sz w:val="24"/>
          <w:szCs w:val="20"/>
        </w:rPr>
      </w:pPr>
    </w:p>
    <w:p w14:paraId="0496A582" w14:textId="77777777" w:rsidR="000A6469" w:rsidRPr="004D11C9" w:rsidRDefault="000A6469" w:rsidP="009D678F">
      <w:pPr>
        <w:pStyle w:val="BodyText"/>
        <w:keepNext/>
        <w:ind w:left="0" w:firstLine="0"/>
        <w:jc w:val="both"/>
        <w:rPr>
          <w:rFonts w:ascii="Times New Roman" w:hAnsi="Times New Roman"/>
          <w:noProof/>
          <w:sz w:val="24"/>
          <w:u w:val="single" w:color="000000"/>
        </w:rPr>
      </w:pPr>
      <w:r>
        <w:rPr>
          <w:rFonts w:ascii="Times New Roman" w:hAnsi="Times New Roman"/>
          <w:sz w:val="24"/>
          <w:u w:val="single" w:color="000000"/>
        </w:rPr>
        <w:lastRenderedPageBreak/>
        <w:t>Atcelta konkurences ierobežojuma veids</w:t>
      </w:r>
      <w:bookmarkStart w:id="175" w:name="Type_of_competitive_restriction_eliminat"/>
      <w:bookmarkEnd w:id="175"/>
    </w:p>
    <w:p w14:paraId="22581883" w14:textId="77777777" w:rsidR="000A6469" w:rsidRPr="004D11C9" w:rsidRDefault="000A6469" w:rsidP="009D678F">
      <w:pPr>
        <w:keepNext/>
        <w:jc w:val="both"/>
        <w:rPr>
          <w:rFonts w:ascii="Times New Roman" w:eastAsia="Arial" w:hAnsi="Times New Roman" w:cs="Arial"/>
          <w:noProof/>
          <w:sz w:val="24"/>
          <w:szCs w:val="14"/>
        </w:rPr>
      </w:pPr>
    </w:p>
    <w:p w14:paraId="28B11A7B" w14:textId="77777777" w:rsidR="000A6469" w:rsidRPr="004D11C9" w:rsidRDefault="000A6469" w:rsidP="009D678F">
      <w:pPr>
        <w:pStyle w:val="BodyText"/>
        <w:keepNext/>
        <w:ind w:left="0" w:firstLine="0"/>
        <w:jc w:val="both"/>
        <w:rPr>
          <w:rFonts w:ascii="Times New Roman" w:hAnsi="Times New Roman"/>
          <w:noProof/>
          <w:sz w:val="24"/>
        </w:rPr>
      </w:pPr>
      <w:r>
        <w:rPr>
          <w:rFonts w:ascii="Times New Roman" w:hAnsi="Times New Roman"/>
          <w:sz w:val="24"/>
        </w:rPr>
        <w:t xml:space="preserve">Atceļot saistošu konkurences ierobežojumu, bieži vien mainās cena. Iespējams arī izmērīt ietekmi uz produkciju un darba vietām. Turpmāk 2. tabulā parādīta konkurenci veicinošu regulatīvu risinājumu vidējā ietekme uz cenām. Šo skaitļu pamatā ir apsekojums par </w:t>
      </w:r>
      <w:r>
        <w:rPr>
          <w:rFonts w:ascii="Times New Roman" w:hAnsi="Times New Roman"/>
          <w:i/>
          <w:sz w:val="24"/>
        </w:rPr>
        <w:t>ex-post</w:t>
      </w:r>
      <w:r>
        <w:rPr>
          <w:rFonts w:ascii="Times New Roman" w:hAnsi="Times New Roman"/>
          <w:sz w:val="24"/>
        </w:rPr>
        <w:t xml:space="preserve"> pētījumiem par izmaiņām valsts politikā.</w:t>
      </w:r>
    </w:p>
    <w:p w14:paraId="2F6866A7" w14:textId="77777777" w:rsidR="000A6469" w:rsidRPr="004D11C9" w:rsidRDefault="000A6469" w:rsidP="004D11C9">
      <w:pPr>
        <w:jc w:val="both"/>
        <w:rPr>
          <w:rFonts w:ascii="Times New Roman" w:eastAsia="Arial" w:hAnsi="Times New Roman" w:cs="Arial"/>
          <w:noProof/>
          <w:sz w:val="24"/>
          <w:szCs w:val="19"/>
        </w:rPr>
      </w:pPr>
    </w:p>
    <w:p w14:paraId="5336D93A" w14:textId="77777777" w:rsidR="000A6469" w:rsidRPr="004D11C9" w:rsidRDefault="000A6469" w:rsidP="004D11C9">
      <w:pPr>
        <w:pStyle w:val="Heading3"/>
        <w:ind w:left="0"/>
        <w:jc w:val="both"/>
        <w:rPr>
          <w:rFonts w:ascii="Times New Roman" w:hAnsi="Times New Roman"/>
          <w:noProof/>
          <w:sz w:val="24"/>
        </w:rPr>
      </w:pPr>
      <w:bookmarkStart w:id="176" w:name="_Toc62650491"/>
      <w:r>
        <w:rPr>
          <w:rFonts w:ascii="Times New Roman" w:hAnsi="Times New Roman"/>
          <w:sz w:val="24"/>
        </w:rPr>
        <w:t>2. tabula. Konkurenci veicinoša regulatīva risinājuma īstenošanas vidējā ietekme uz cenām</w:t>
      </w:r>
      <w:bookmarkEnd w:id="176"/>
    </w:p>
    <w:p w14:paraId="7A3867A0" w14:textId="77777777" w:rsidR="000A6469" w:rsidRPr="004D11C9" w:rsidRDefault="000A6469" w:rsidP="004D11C9">
      <w:pPr>
        <w:jc w:val="both"/>
        <w:rPr>
          <w:rFonts w:ascii="Times New Roman" w:eastAsia="Arial" w:hAnsi="Times New Roman" w:cs="Arial"/>
          <w:b/>
          <w:bCs/>
          <w:noProof/>
          <w:sz w:val="24"/>
        </w:rPr>
      </w:pPr>
    </w:p>
    <w:tbl>
      <w:tblPr>
        <w:tblW w:w="0" w:type="auto"/>
        <w:tblCellMar>
          <w:top w:w="28" w:type="dxa"/>
          <w:left w:w="28" w:type="dxa"/>
          <w:bottom w:w="28" w:type="dxa"/>
          <w:right w:w="28" w:type="dxa"/>
        </w:tblCellMar>
        <w:tblLook w:val="01E0" w:firstRow="1" w:lastRow="1" w:firstColumn="1" w:lastColumn="1" w:noHBand="0" w:noVBand="0"/>
      </w:tblPr>
      <w:tblGrid>
        <w:gridCol w:w="2346"/>
        <w:gridCol w:w="6726"/>
      </w:tblGrid>
      <w:tr w:rsidR="000A6469" w:rsidRPr="004D11C9" w14:paraId="798E6BD1" w14:textId="77777777" w:rsidTr="00BF0474">
        <w:tc>
          <w:tcPr>
            <w:tcW w:w="1293" w:type="pct"/>
            <w:tcBorders>
              <w:top w:val="single" w:sz="18" w:space="0" w:color="F4791F"/>
              <w:left w:val="nil"/>
              <w:bottom w:val="single" w:sz="5" w:space="0" w:color="000000"/>
              <w:right w:val="nil"/>
            </w:tcBorders>
            <w:vAlign w:val="center"/>
          </w:tcPr>
          <w:p w14:paraId="60EC51FE" w14:textId="77777777" w:rsidR="000A6469" w:rsidRPr="004D11C9" w:rsidRDefault="000A6469" w:rsidP="00BF0474">
            <w:pPr>
              <w:pStyle w:val="TableParagraph"/>
              <w:jc w:val="center"/>
              <w:rPr>
                <w:rFonts w:ascii="Times New Roman" w:hAnsi="Times New Roman"/>
                <w:b/>
                <w:noProof/>
                <w:sz w:val="24"/>
              </w:rPr>
            </w:pPr>
            <w:r>
              <w:rPr>
                <w:rFonts w:ascii="Times New Roman" w:hAnsi="Times New Roman"/>
                <w:b/>
                <w:sz w:val="24"/>
              </w:rPr>
              <w:t>Cenas izmaiņu slieksnis (cenas izmaiņu attiecība pret konkurētnespējīgāko cenu)</w:t>
            </w:r>
          </w:p>
        </w:tc>
        <w:tc>
          <w:tcPr>
            <w:tcW w:w="3707" w:type="pct"/>
            <w:tcBorders>
              <w:top w:val="single" w:sz="18" w:space="0" w:color="F4791F"/>
              <w:left w:val="nil"/>
              <w:bottom w:val="single" w:sz="5" w:space="0" w:color="000000"/>
              <w:right w:val="nil"/>
            </w:tcBorders>
            <w:vAlign w:val="center"/>
          </w:tcPr>
          <w:p w14:paraId="10F747E9" w14:textId="59BB962A" w:rsidR="000A6469" w:rsidRPr="004D11C9" w:rsidRDefault="004D7318" w:rsidP="00BF0474">
            <w:pPr>
              <w:pStyle w:val="TableParagraph"/>
              <w:jc w:val="center"/>
              <w:rPr>
                <w:rFonts w:ascii="Times New Roman" w:hAnsi="Times New Roman"/>
                <w:b/>
                <w:noProof/>
                <w:sz w:val="24"/>
              </w:rPr>
            </w:pPr>
            <w:r>
              <w:rPr>
                <w:rFonts w:ascii="Times New Roman" w:hAnsi="Times New Roman"/>
                <w:b/>
                <w:sz w:val="24"/>
              </w:rPr>
              <w:t>Regul</w:t>
            </w:r>
            <w:r w:rsidR="000A6469">
              <w:rPr>
                <w:rFonts w:ascii="Times New Roman" w:hAnsi="Times New Roman"/>
                <w:b/>
                <w:sz w:val="24"/>
              </w:rPr>
              <w:t>atīva ierobežojuma kategorija un apakškategorija</w:t>
            </w:r>
          </w:p>
        </w:tc>
      </w:tr>
      <w:tr w:rsidR="000A6469" w:rsidRPr="004D11C9" w14:paraId="07638840" w14:textId="77777777" w:rsidTr="00BF0474">
        <w:tc>
          <w:tcPr>
            <w:tcW w:w="1293" w:type="pct"/>
            <w:tcBorders>
              <w:top w:val="single" w:sz="5" w:space="0" w:color="000000"/>
              <w:left w:val="nil"/>
              <w:bottom w:val="nil"/>
              <w:right w:val="nil"/>
            </w:tcBorders>
            <w:shd w:val="clear" w:color="auto" w:fill="FAD3B4"/>
          </w:tcPr>
          <w:p w14:paraId="67CB1747" w14:textId="77777777" w:rsidR="000A6469" w:rsidRPr="004D11C9" w:rsidRDefault="000A6469" w:rsidP="00922A96">
            <w:pPr>
              <w:pStyle w:val="TableParagraph"/>
              <w:jc w:val="center"/>
              <w:rPr>
                <w:rFonts w:ascii="Times New Roman" w:hAnsi="Times New Roman"/>
                <w:b/>
                <w:noProof/>
                <w:sz w:val="24"/>
              </w:rPr>
            </w:pPr>
            <w:r>
              <w:rPr>
                <w:rFonts w:ascii="Times New Roman" w:hAnsi="Times New Roman"/>
                <w:b/>
                <w:sz w:val="24"/>
              </w:rPr>
              <w:t>–0,20</w:t>
            </w:r>
          </w:p>
        </w:tc>
        <w:tc>
          <w:tcPr>
            <w:tcW w:w="3707" w:type="pct"/>
            <w:tcBorders>
              <w:top w:val="single" w:sz="5" w:space="0" w:color="000000"/>
              <w:left w:val="nil"/>
              <w:bottom w:val="nil"/>
              <w:right w:val="nil"/>
            </w:tcBorders>
            <w:shd w:val="clear" w:color="auto" w:fill="FAD3B4"/>
          </w:tcPr>
          <w:p w14:paraId="7548DD6D" w14:textId="77777777" w:rsidR="000A6469" w:rsidRPr="004D11C9" w:rsidRDefault="000A6469" w:rsidP="004D11C9">
            <w:pPr>
              <w:pStyle w:val="TableParagraph"/>
              <w:jc w:val="both"/>
              <w:rPr>
                <w:rFonts w:ascii="Times New Roman" w:hAnsi="Times New Roman"/>
                <w:b/>
                <w:noProof/>
                <w:sz w:val="24"/>
              </w:rPr>
            </w:pPr>
            <w:r>
              <w:rPr>
                <w:rFonts w:ascii="Times New Roman" w:hAnsi="Times New Roman"/>
                <w:b/>
                <w:sz w:val="24"/>
              </w:rPr>
              <w:t>A) Ierobežo piegādātāju skaitu vai loku</w:t>
            </w:r>
          </w:p>
        </w:tc>
      </w:tr>
      <w:tr w:rsidR="000A6469" w:rsidRPr="004D11C9" w14:paraId="49F9045A" w14:textId="77777777" w:rsidTr="00BF0474">
        <w:tc>
          <w:tcPr>
            <w:tcW w:w="1293" w:type="pct"/>
            <w:tcBorders>
              <w:top w:val="nil"/>
              <w:left w:val="nil"/>
              <w:bottom w:val="nil"/>
              <w:right w:val="nil"/>
            </w:tcBorders>
          </w:tcPr>
          <w:p w14:paraId="106EB73A" w14:textId="77777777" w:rsidR="000A6469" w:rsidRPr="004D11C9" w:rsidRDefault="000A6469" w:rsidP="00922A96">
            <w:pPr>
              <w:pStyle w:val="TableParagraph"/>
              <w:jc w:val="center"/>
              <w:rPr>
                <w:rFonts w:ascii="Times New Roman" w:hAnsi="Times New Roman"/>
                <w:noProof/>
                <w:sz w:val="24"/>
              </w:rPr>
            </w:pPr>
            <w:r>
              <w:rPr>
                <w:rFonts w:ascii="Times New Roman" w:hAnsi="Times New Roman"/>
                <w:sz w:val="24"/>
              </w:rPr>
              <w:t>–0,19</w:t>
            </w:r>
          </w:p>
        </w:tc>
        <w:tc>
          <w:tcPr>
            <w:tcW w:w="3707" w:type="pct"/>
            <w:tcBorders>
              <w:top w:val="nil"/>
              <w:left w:val="nil"/>
              <w:bottom w:val="nil"/>
              <w:right w:val="nil"/>
            </w:tcBorders>
          </w:tcPr>
          <w:p w14:paraId="0277D37D" w14:textId="77777777" w:rsidR="000A6469" w:rsidRPr="004D11C9" w:rsidRDefault="000A6469" w:rsidP="004D11C9">
            <w:pPr>
              <w:pStyle w:val="TableParagraph"/>
              <w:jc w:val="both"/>
              <w:rPr>
                <w:rFonts w:ascii="Times New Roman" w:hAnsi="Times New Roman"/>
                <w:noProof/>
                <w:sz w:val="24"/>
              </w:rPr>
            </w:pPr>
            <w:r>
              <w:rPr>
                <w:rFonts w:ascii="Times New Roman" w:hAnsi="Times New Roman"/>
                <w:sz w:val="24"/>
              </w:rPr>
              <w:t>1. Piešķir piegādātājam ekskluzīvas tiesības piegādāt preces vai sniegt pakalpojumus</w:t>
            </w:r>
          </w:p>
        </w:tc>
      </w:tr>
      <w:tr w:rsidR="000A6469" w:rsidRPr="004D11C9" w14:paraId="0EEE2A09" w14:textId="77777777" w:rsidTr="00BF0474">
        <w:tc>
          <w:tcPr>
            <w:tcW w:w="1293" w:type="pct"/>
            <w:tcBorders>
              <w:top w:val="nil"/>
              <w:left w:val="nil"/>
              <w:bottom w:val="nil"/>
              <w:right w:val="nil"/>
            </w:tcBorders>
            <w:shd w:val="clear" w:color="auto" w:fill="FAD3B4"/>
          </w:tcPr>
          <w:p w14:paraId="7128D566" w14:textId="77777777" w:rsidR="000A6469" w:rsidRPr="004D11C9" w:rsidRDefault="000A6469" w:rsidP="00922A96">
            <w:pPr>
              <w:pStyle w:val="TableParagraph"/>
              <w:jc w:val="center"/>
              <w:rPr>
                <w:rFonts w:ascii="Times New Roman" w:hAnsi="Times New Roman"/>
                <w:noProof/>
                <w:sz w:val="24"/>
              </w:rPr>
            </w:pPr>
            <w:r>
              <w:rPr>
                <w:rFonts w:ascii="Times New Roman" w:hAnsi="Times New Roman"/>
                <w:sz w:val="24"/>
              </w:rPr>
              <w:t>–0,23</w:t>
            </w:r>
          </w:p>
        </w:tc>
        <w:tc>
          <w:tcPr>
            <w:tcW w:w="3707" w:type="pct"/>
            <w:tcBorders>
              <w:top w:val="nil"/>
              <w:left w:val="nil"/>
              <w:bottom w:val="nil"/>
              <w:right w:val="nil"/>
            </w:tcBorders>
            <w:shd w:val="clear" w:color="auto" w:fill="FAD3B4"/>
          </w:tcPr>
          <w:p w14:paraId="468F9FB1" w14:textId="77777777" w:rsidR="000A6469" w:rsidRPr="004D11C9" w:rsidRDefault="000A6469" w:rsidP="004D11C9">
            <w:pPr>
              <w:pStyle w:val="TableParagraph"/>
              <w:jc w:val="both"/>
              <w:rPr>
                <w:rFonts w:ascii="Times New Roman" w:hAnsi="Times New Roman"/>
                <w:noProof/>
                <w:sz w:val="24"/>
              </w:rPr>
            </w:pPr>
            <w:r>
              <w:rPr>
                <w:rFonts w:ascii="Times New Roman" w:hAnsi="Times New Roman"/>
                <w:sz w:val="24"/>
              </w:rPr>
              <w:t>2. Kā darbības priekšnoteikumu ievieš licences, atļaujas vai autorizācijas procesu</w:t>
            </w:r>
          </w:p>
        </w:tc>
      </w:tr>
      <w:tr w:rsidR="000A6469" w:rsidRPr="004D11C9" w14:paraId="0260DDF6" w14:textId="77777777" w:rsidTr="00BF0474">
        <w:tc>
          <w:tcPr>
            <w:tcW w:w="1293" w:type="pct"/>
            <w:tcBorders>
              <w:top w:val="nil"/>
              <w:left w:val="nil"/>
              <w:bottom w:val="nil"/>
              <w:right w:val="nil"/>
            </w:tcBorders>
          </w:tcPr>
          <w:p w14:paraId="61CF61DA" w14:textId="77777777" w:rsidR="000A6469" w:rsidRPr="004D11C9" w:rsidRDefault="000A6469" w:rsidP="00922A96">
            <w:pPr>
              <w:pStyle w:val="TableParagraph"/>
              <w:jc w:val="center"/>
              <w:rPr>
                <w:rFonts w:ascii="Times New Roman" w:hAnsi="Times New Roman"/>
                <w:noProof/>
                <w:sz w:val="24"/>
              </w:rPr>
            </w:pPr>
            <w:r>
              <w:rPr>
                <w:rFonts w:ascii="Times New Roman" w:hAnsi="Times New Roman"/>
                <w:sz w:val="24"/>
              </w:rPr>
              <w:t>–0,15</w:t>
            </w:r>
          </w:p>
        </w:tc>
        <w:tc>
          <w:tcPr>
            <w:tcW w:w="3707" w:type="pct"/>
            <w:tcBorders>
              <w:top w:val="nil"/>
              <w:left w:val="nil"/>
              <w:bottom w:val="nil"/>
              <w:right w:val="nil"/>
            </w:tcBorders>
          </w:tcPr>
          <w:p w14:paraId="6BE9C614" w14:textId="77777777" w:rsidR="000A6469" w:rsidRPr="004D11C9" w:rsidRDefault="000A6469" w:rsidP="004D11C9">
            <w:pPr>
              <w:pStyle w:val="TableParagraph"/>
              <w:jc w:val="both"/>
              <w:rPr>
                <w:rFonts w:ascii="Times New Roman" w:hAnsi="Times New Roman"/>
                <w:noProof/>
                <w:sz w:val="24"/>
              </w:rPr>
            </w:pPr>
            <w:r>
              <w:rPr>
                <w:rFonts w:ascii="Times New Roman" w:hAnsi="Times New Roman"/>
                <w:sz w:val="24"/>
              </w:rPr>
              <w:t>3. Ierobežo dažu veidu piegādātāju iespējas piegādāt preces vai sniegt pakalpojumus</w:t>
            </w:r>
          </w:p>
        </w:tc>
      </w:tr>
      <w:tr w:rsidR="000A6469" w:rsidRPr="004D11C9" w14:paraId="4ACADBF9" w14:textId="77777777" w:rsidTr="00BF0474">
        <w:tc>
          <w:tcPr>
            <w:tcW w:w="1293" w:type="pct"/>
            <w:tcBorders>
              <w:top w:val="nil"/>
              <w:left w:val="nil"/>
              <w:bottom w:val="nil"/>
              <w:right w:val="nil"/>
            </w:tcBorders>
            <w:shd w:val="clear" w:color="auto" w:fill="FAD3B4"/>
          </w:tcPr>
          <w:p w14:paraId="592FE109" w14:textId="77777777" w:rsidR="000A6469" w:rsidRPr="004D11C9" w:rsidRDefault="000A6469" w:rsidP="00922A96">
            <w:pPr>
              <w:pStyle w:val="TableParagraph"/>
              <w:jc w:val="center"/>
              <w:rPr>
                <w:rFonts w:ascii="Times New Roman" w:hAnsi="Times New Roman"/>
                <w:noProof/>
                <w:sz w:val="24"/>
              </w:rPr>
            </w:pPr>
            <w:r>
              <w:rPr>
                <w:rFonts w:ascii="Times New Roman" w:hAnsi="Times New Roman"/>
                <w:sz w:val="24"/>
              </w:rPr>
              <w:t>–0,19</w:t>
            </w:r>
          </w:p>
        </w:tc>
        <w:tc>
          <w:tcPr>
            <w:tcW w:w="3707" w:type="pct"/>
            <w:tcBorders>
              <w:top w:val="nil"/>
              <w:left w:val="nil"/>
              <w:bottom w:val="nil"/>
              <w:right w:val="nil"/>
            </w:tcBorders>
            <w:shd w:val="clear" w:color="auto" w:fill="FAD3B4"/>
          </w:tcPr>
          <w:p w14:paraId="1CD8F8BB" w14:textId="77777777" w:rsidR="000A6469" w:rsidRPr="004D11C9" w:rsidRDefault="000A6469" w:rsidP="004D11C9">
            <w:pPr>
              <w:pStyle w:val="TableParagraph"/>
              <w:jc w:val="both"/>
              <w:rPr>
                <w:rFonts w:ascii="Times New Roman" w:hAnsi="Times New Roman"/>
                <w:noProof/>
                <w:sz w:val="24"/>
              </w:rPr>
            </w:pPr>
            <w:r>
              <w:rPr>
                <w:rFonts w:ascii="Times New Roman" w:hAnsi="Times New Roman"/>
                <w:sz w:val="24"/>
              </w:rPr>
              <w:t>4. Būtiski paaugstina piegādātāja ieiešanas tirgū vai iziešanas no tā izmaksas</w:t>
            </w:r>
          </w:p>
        </w:tc>
      </w:tr>
      <w:tr w:rsidR="000A6469" w:rsidRPr="004D11C9" w14:paraId="1650873E" w14:textId="77777777" w:rsidTr="00BF0474">
        <w:tc>
          <w:tcPr>
            <w:tcW w:w="1293" w:type="pct"/>
            <w:tcBorders>
              <w:top w:val="nil"/>
              <w:left w:val="nil"/>
              <w:bottom w:val="nil"/>
              <w:right w:val="nil"/>
            </w:tcBorders>
          </w:tcPr>
          <w:p w14:paraId="6365C894" w14:textId="77777777" w:rsidR="000A6469" w:rsidRPr="004D11C9" w:rsidRDefault="000A6469" w:rsidP="00922A96">
            <w:pPr>
              <w:pStyle w:val="TableParagraph"/>
              <w:jc w:val="center"/>
              <w:rPr>
                <w:rFonts w:ascii="Times New Roman" w:hAnsi="Times New Roman"/>
                <w:noProof/>
                <w:sz w:val="24"/>
              </w:rPr>
            </w:pPr>
            <w:r>
              <w:rPr>
                <w:rFonts w:ascii="Times New Roman" w:hAnsi="Times New Roman"/>
                <w:sz w:val="24"/>
              </w:rPr>
              <w:t>–0,12</w:t>
            </w:r>
          </w:p>
        </w:tc>
        <w:tc>
          <w:tcPr>
            <w:tcW w:w="3707" w:type="pct"/>
            <w:tcBorders>
              <w:top w:val="nil"/>
              <w:left w:val="nil"/>
              <w:bottom w:val="nil"/>
              <w:right w:val="nil"/>
            </w:tcBorders>
          </w:tcPr>
          <w:p w14:paraId="52CCCFE6" w14:textId="77777777" w:rsidR="000A6469" w:rsidRPr="004D11C9" w:rsidRDefault="000A6469" w:rsidP="004D11C9">
            <w:pPr>
              <w:pStyle w:val="TableParagraph"/>
              <w:jc w:val="both"/>
              <w:rPr>
                <w:rFonts w:ascii="Times New Roman" w:hAnsi="Times New Roman"/>
                <w:noProof/>
                <w:sz w:val="24"/>
              </w:rPr>
            </w:pPr>
            <w:r>
              <w:rPr>
                <w:rFonts w:ascii="Times New Roman" w:hAnsi="Times New Roman"/>
                <w:sz w:val="24"/>
              </w:rPr>
              <w:t>5. Rada ģeogrāfisku šķērsli uzņēmumiem piegādāt preces un darbaspēku vai sniegt pakalpojumus, vai investēt kapitālu</w:t>
            </w:r>
          </w:p>
        </w:tc>
      </w:tr>
      <w:tr w:rsidR="000A6469" w:rsidRPr="004D11C9" w14:paraId="05C1A148" w14:textId="77777777" w:rsidTr="00BF0474">
        <w:tc>
          <w:tcPr>
            <w:tcW w:w="1293" w:type="pct"/>
            <w:tcBorders>
              <w:top w:val="nil"/>
              <w:left w:val="nil"/>
              <w:bottom w:val="nil"/>
              <w:right w:val="nil"/>
            </w:tcBorders>
            <w:shd w:val="clear" w:color="auto" w:fill="FAD3B4"/>
          </w:tcPr>
          <w:p w14:paraId="2A612373" w14:textId="77777777" w:rsidR="000A6469" w:rsidRPr="004D11C9" w:rsidRDefault="000A6469" w:rsidP="00922A96">
            <w:pPr>
              <w:pStyle w:val="TableParagraph"/>
              <w:jc w:val="center"/>
              <w:rPr>
                <w:rFonts w:ascii="Times New Roman" w:hAnsi="Times New Roman"/>
                <w:b/>
                <w:noProof/>
                <w:sz w:val="24"/>
              </w:rPr>
            </w:pPr>
            <w:r>
              <w:rPr>
                <w:rFonts w:ascii="Times New Roman" w:hAnsi="Times New Roman"/>
                <w:b/>
                <w:sz w:val="24"/>
              </w:rPr>
              <w:t>–0,18</w:t>
            </w:r>
          </w:p>
        </w:tc>
        <w:tc>
          <w:tcPr>
            <w:tcW w:w="3707" w:type="pct"/>
            <w:tcBorders>
              <w:top w:val="nil"/>
              <w:left w:val="nil"/>
              <w:bottom w:val="nil"/>
              <w:right w:val="nil"/>
            </w:tcBorders>
            <w:shd w:val="clear" w:color="auto" w:fill="FAD3B4"/>
          </w:tcPr>
          <w:p w14:paraId="6B99C904" w14:textId="77777777" w:rsidR="000A6469" w:rsidRPr="004D11C9" w:rsidRDefault="000A6469" w:rsidP="004D11C9">
            <w:pPr>
              <w:pStyle w:val="TableParagraph"/>
              <w:jc w:val="both"/>
              <w:rPr>
                <w:rFonts w:ascii="Times New Roman" w:hAnsi="Times New Roman"/>
                <w:b/>
                <w:noProof/>
                <w:sz w:val="24"/>
              </w:rPr>
            </w:pPr>
            <w:r>
              <w:rPr>
                <w:rFonts w:ascii="Times New Roman" w:hAnsi="Times New Roman"/>
                <w:b/>
                <w:sz w:val="24"/>
              </w:rPr>
              <w:t>B) Ierobežo piegādātāju iespējas konkurēt</w:t>
            </w:r>
          </w:p>
        </w:tc>
      </w:tr>
      <w:tr w:rsidR="000A6469" w:rsidRPr="004D11C9" w14:paraId="2B5C5FE9" w14:textId="77777777" w:rsidTr="00BF0474">
        <w:tc>
          <w:tcPr>
            <w:tcW w:w="1293" w:type="pct"/>
            <w:tcBorders>
              <w:top w:val="nil"/>
              <w:left w:val="nil"/>
              <w:bottom w:val="nil"/>
              <w:right w:val="nil"/>
            </w:tcBorders>
          </w:tcPr>
          <w:p w14:paraId="70550053" w14:textId="77777777" w:rsidR="000A6469" w:rsidRPr="004D11C9" w:rsidRDefault="000A6469" w:rsidP="00922A96">
            <w:pPr>
              <w:pStyle w:val="TableParagraph"/>
              <w:jc w:val="center"/>
              <w:rPr>
                <w:rFonts w:ascii="Times New Roman" w:hAnsi="Times New Roman"/>
                <w:noProof/>
                <w:sz w:val="24"/>
              </w:rPr>
            </w:pPr>
            <w:r>
              <w:rPr>
                <w:rFonts w:ascii="Times New Roman" w:hAnsi="Times New Roman"/>
                <w:sz w:val="24"/>
              </w:rPr>
              <w:t>–0,19</w:t>
            </w:r>
          </w:p>
        </w:tc>
        <w:tc>
          <w:tcPr>
            <w:tcW w:w="3707" w:type="pct"/>
            <w:tcBorders>
              <w:top w:val="nil"/>
              <w:left w:val="nil"/>
              <w:bottom w:val="nil"/>
              <w:right w:val="nil"/>
            </w:tcBorders>
          </w:tcPr>
          <w:p w14:paraId="07FA60B3" w14:textId="77777777" w:rsidR="000A6469" w:rsidRPr="004D11C9" w:rsidRDefault="000A6469" w:rsidP="004D11C9">
            <w:pPr>
              <w:pStyle w:val="TableParagraph"/>
              <w:jc w:val="both"/>
              <w:rPr>
                <w:rFonts w:ascii="Times New Roman" w:eastAsia="Arial" w:hAnsi="Times New Roman" w:cs="Arial"/>
                <w:noProof/>
                <w:sz w:val="24"/>
                <w:szCs w:val="18"/>
              </w:rPr>
            </w:pPr>
            <w:r>
              <w:rPr>
                <w:rFonts w:ascii="Times New Roman" w:hAnsi="Times New Roman"/>
                <w:sz w:val="24"/>
              </w:rPr>
              <w:t>1. Ierobežo pārdevēju iespējas noteikt preču vai pakalpojumu cenas</w:t>
            </w:r>
          </w:p>
        </w:tc>
      </w:tr>
      <w:tr w:rsidR="000A6469" w:rsidRPr="004D11C9" w14:paraId="45277247" w14:textId="77777777" w:rsidTr="00BF0474">
        <w:tc>
          <w:tcPr>
            <w:tcW w:w="1293" w:type="pct"/>
            <w:tcBorders>
              <w:top w:val="nil"/>
              <w:left w:val="nil"/>
              <w:bottom w:val="nil"/>
              <w:right w:val="nil"/>
            </w:tcBorders>
            <w:shd w:val="clear" w:color="auto" w:fill="FAD3B4"/>
          </w:tcPr>
          <w:p w14:paraId="11D83FEB" w14:textId="77777777" w:rsidR="000A6469" w:rsidRPr="004D11C9" w:rsidRDefault="000A6469" w:rsidP="00922A96">
            <w:pPr>
              <w:pStyle w:val="TableParagraph"/>
              <w:jc w:val="center"/>
              <w:rPr>
                <w:rFonts w:ascii="Times New Roman" w:hAnsi="Times New Roman"/>
                <w:noProof/>
                <w:sz w:val="24"/>
              </w:rPr>
            </w:pPr>
            <w:r>
              <w:rPr>
                <w:rFonts w:ascii="Times New Roman" w:hAnsi="Times New Roman"/>
                <w:sz w:val="24"/>
              </w:rPr>
              <w:t>–0,14</w:t>
            </w:r>
          </w:p>
        </w:tc>
        <w:tc>
          <w:tcPr>
            <w:tcW w:w="3707" w:type="pct"/>
            <w:tcBorders>
              <w:top w:val="nil"/>
              <w:left w:val="nil"/>
              <w:bottom w:val="nil"/>
              <w:right w:val="nil"/>
            </w:tcBorders>
            <w:shd w:val="clear" w:color="auto" w:fill="FAD3B4"/>
          </w:tcPr>
          <w:p w14:paraId="3018DEC8" w14:textId="77777777" w:rsidR="000A6469" w:rsidRPr="004D11C9" w:rsidRDefault="000A6469" w:rsidP="004D11C9">
            <w:pPr>
              <w:pStyle w:val="TableParagraph"/>
              <w:jc w:val="both"/>
              <w:rPr>
                <w:rFonts w:ascii="Times New Roman" w:hAnsi="Times New Roman"/>
                <w:noProof/>
                <w:sz w:val="24"/>
              </w:rPr>
            </w:pPr>
            <w:r>
              <w:rPr>
                <w:rFonts w:ascii="Times New Roman" w:hAnsi="Times New Roman"/>
                <w:sz w:val="24"/>
              </w:rPr>
              <w:t>2. Ierobežo piegādātāju iespējas brīvi reklamēt vai pārdot savas preces vai pakalpojumus</w:t>
            </w:r>
          </w:p>
        </w:tc>
      </w:tr>
      <w:tr w:rsidR="000A6469" w:rsidRPr="004D11C9" w14:paraId="3904CD40" w14:textId="77777777" w:rsidTr="00BF0474">
        <w:tc>
          <w:tcPr>
            <w:tcW w:w="1293" w:type="pct"/>
            <w:tcBorders>
              <w:top w:val="nil"/>
              <w:left w:val="nil"/>
              <w:bottom w:val="nil"/>
              <w:right w:val="nil"/>
            </w:tcBorders>
          </w:tcPr>
          <w:p w14:paraId="1557DC8C" w14:textId="77777777" w:rsidR="000A6469" w:rsidRPr="004D11C9" w:rsidRDefault="000A6469" w:rsidP="00922A96">
            <w:pPr>
              <w:pStyle w:val="TableParagraph"/>
              <w:jc w:val="center"/>
              <w:rPr>
                <w:rFonts w:ascii="Times New Roman" w:hAnsi="Times New Roman"/>
                <w:noProof/>
                <w:sz w:val="24"/>
              </w:rPr>
            </w:pPr>
            <w:r>
              <w:rPr>
                <w:rFonts w:ascii="Times New Roman" w:hAnsi="Times New Roman"/>
                <w:sz w:val="24"/>
              </w:rPr>
              <w:t>–0,16</w:t>
            </w:r>
          </w:p>
        </w:tc>
        <w:tc>
          <w:tcPr>
            <w:tcW w:w="3707" w:type="pct"/>
            <w:tcBorders>
              <w:top w:val="nil"/>
              <w:left w:val="nil"/>
              <w:bottom w:val="nil"/>
              <w:right w:val="nil"/>
            </w:tcBorders>
          </w:tcPr>
          <w:p w14:paraId="66B496A9" w14:textId="77777777" w:rsidR="000A6469" w:rsidRPr="004D11C9" w:rsidRDefault="000A6469" w:rsidP="004D11C9">
            <w:pPr>
              <w:pStyle w:val="TableParagraph"/>
              <w:jc w:val="both"/>
              <w:rPr>
                <w:rFonts w:ascii="Times New Roman" w:hAnsi="Times New Roman"/>
                <w:noProof/>
                <w:sz w:val="24"/>
              </w:rPr>
            </w:pPr>
            <w:r>
              <w:rPr>
                <w:rFonts w:ascii="Times New Roman" w:hAnsi="Times New Roman"/>
                <w:sz w:val="24"/>
              </w:rPr>
              <w:t>3. Nosaka preču kvalitātes standartus, kas dažiem piegādātājiem rada pārmērīgas priekšrocības attiecībā pret citiem vai kas pārsniedz līmeni, kādu daži kompetenti pircēji izvēlētos</w:t>
            </w:r>
          </w:p>
        </w:tc>
      </w:tr>
      <w:tr w:rsidR="000A6469" w:rsidRPr="004D11C9" w14:paraId="64D5AFD3" w14:textId="77777777" w:rsidTr="00BF0474">
        <w:tc>
          <w:tcPr>
            <w:tcW w:w="1293" w:type="pct"/>
            <w:tcBorders>
              <w:top w:val="nil"/>
              <w:left w:val="nil"/>
              <w:bottom w:val="nil"/>
              <w:right w:val="nil"/>
            </w:tcBorders>
            <w:shd w:val="clear" w:color="auto" w:fill="FAD3B4"/>
          </w:tcPr>
          <w:p w14:paraId="0842F3C2" w14:textId="77777777" w:rsidR="000A6469" w:rsidRPr="004D11C9" w:rsidRDefault="000A6469" w:rsidP="00922A96">
            <w:pPr>
              <w:pStyle w:val="TableParagraph"/>
              <w:jc w:val="center"/>
              <w:rPr>
                <w:rFonts w:ascii="Times New Roman" w:hAnsi="Times New Roman"/>
                <w:noProof/>
                <w:sz w:val="24"/>
              </w:rPr>
            </w:pPr>
            <w:r>
              <w:rPr>
                <w:rFonts w:ascii="Times New Roman" w:hAnsi="Times New Roman"/>
                <w:sz w:val="24"/>
              </w:rPr>
              <w:t>–0,39</w:t>
            </w:r>
          </w:p>
        </w:tc>
        <w:tc>
          <w:tcPr>
            <w:tcW w:w="3707" w:type="pct"/>
            <w:tcBorders>
              <w:top w:val="nil"/>
              <w:left w:val="nil"/>
              <w:bottom w:val="nil"/>
              <w:right w:val="nil"/>
            </w:tcBorders>
            <w:shd w:val="clear" w:color="auto" w:fill="FAD3B4"/>
          </w:tcPr>
          <w:p w14:paraId="0B8E1559" w14:textId="37CB0F5C" w:rsidR="000A6469" w:rsidRPr="004D11C9" w:rsidRDefault="000A6469" w:rsidP="004D11C9">
            <w:pPr>
              <w:pStyle w:val="TableParagraph"/>
              <w:jc w:val="both"/>
              <w:rPr>
                <w:rFonts w:ascii="Times New Roman" w:hAnsi="Times New Roman"/>
                <w:noProof/>
                <w:sz w:val="24"/>
              </w:rPr>
            </w:pPr>
            <w:r>
              <w:rPr>
                <w:rFonts w:ascii="Times New Roman" w:hAnsi="Times New Roman"/>
                <w:sz w:val="24"/>
              </w:rPr>
              <w:t>4. Būtiski sadārdzina ražošanas izmaksas dažiem piegādātājiem attiecībā pret citiem (it sevišķi, ja pret pašreizējiem tirgus dalībniekiem izturas citādi nekā pret jauniem ienācējiem tirgū)</w:t>
            </w:r>
          </w:p>
        </w:tc>
      </w:tr>
      <w:tr w:rsidR="000A6469" w:rsidRPr="004D11C9" w14:paraId="1561473B" w14:textId="77777777" w:rsidTr="00BF0474">
        <w:tc>
          <w:tcPr>
            <w:tcW w:w="1293" w:type="pct"/>
            <w:tcBorders>
              <w:top w:val="nil"/>
              <w:left w:val="nil"/>
              <w:bottom w:val="nil"/>
              <w:right w:val="nil"/>
            </w:tcBorders>
          </w:tcPr>
          <w:p w14:paraId="74C73034" w14:textId="77777777" w:rsidR="000A6469" w:rsidRPr="004D11C9" w:rsidRDefault="000A6469" w:rsidP="00922A96">
            <w:pPr>
              <w:pStyle w:val="TableParagraph"/>
              <w:jc w:val="center"/>
              <w:rPr>
                <w:rFonts w:ascii="Times New Roman" w:hAnsi="Times New Roman"/>
                <w:b/>
                <w:noProof/>
                <w:sz w:val="24"/>
              </w:rPr>
            </w:pPr>
            <w:r>
              <w:rPr>
                <w:rFonts w:ascii="Times New Roman" w:hAnsi="Times New Roman"/>
                <w:b/>
                <w:sz w:val="24"/>
              </w:rPr>
              <w:t>–0,20</w:t>
            </w:r>
          </w:p>
        </w:tc>
        <w:tc>
          <w:tcPr>
            <w:tcW w:w="3707" w:type="pct"/>
            <w:tcBorders>
              <w:top w:val="nil"/>
              <w:left w:val="nil"/>
              <w:bottom w:val="nil"/>
              <w:right w:val="nil"/>
            </w:tcBorders>
          </w:tcPr>
          <w:p w14:paraId="18913314" w14:textId="77777777" w:rsidR="000A6469" w:rsidRPr="004D11C9" w:rsidRDefault="000A6469" w:rsidP="004D11C9">
            <w:pPr>
              <w:pStyle w:val="TableParagraph"/>
              <w:jc w:val="both"/>
              <w:rPr>
                <w:rFonts w:ascii="Times New Roman" w:hAnsi="Times New Roman"/>
                <w:b/>
                <w:noProof/>
                <w:sz w:val="24"/>
              </w:rPr>
            </w:pPr>
            <w:r>
              <w:rPr>
                <w:rFonts w:ascii="Times New Roman" w:hAnsi="Times New Roman"/>
                <w:b/>
                <w:sz w:val="24"/>
              </w:rPr>
              <w:t>C) Piegādātājiem zūd stimuls konkurēt</w:t>
            </w:r>
          </w:p>
        </w:tc>
      </w:tr>
      <w:tr w:rsidR="000A6469" w:rsidRPr="004D11C9" w14:paraId="077230D0" w14:textId="77777777" w:rsidTr="00BF0474">
        <w:tc>
          <w:tcPr>
            <w:tcW w:w="1293" w:type="pct"/>
            <w:tcBorders>
              <w:top w:val="nil"/>
              <w:left w:val="nil"/>
              <w:bottom w:val="nil"/>
              <w:right w:val="nil"/>
            </w:tcBorders>
            <w:shd w:val="clear" w:color="auto" w:fill="FAD3B4"/>
          </w:tcPr>
          <w:p w14:paraId="4FF6686A" w14:textId="77777777" w:rsidR="000A6469" w:rsidRPr="004D11C9" w:rsidRDefault="000A6469" w:rsidP="00922A96">
            <w:pPr>
              <w:pStyle w:val="TableParagraph"/>
              <w:jc w:val="center"/>
              <w:rPr>
                <w:rFonts w:ascii="Times New Roman" w:hAnsi="Times New Roman"/>
                <w:noProof/>
                <w:sz w:val="24"/>
              </w:rPr>
            </w:pPr>
            <w:r>
              <w:rPr>
                <w:rFonts w:ascii="Times New Roman" w:hAnsi="Times New Roman"/>
                <w:sz w:val="24"/>
              </w:rPr>
              <w:t>–0,28</w:t>
            </w:r>
          </w:p>
        </w:tc>
        <w:tc>
          <w:tcPr>
            <w:tcW w:w="3707" w:type="pct"/>
            <w:tcBorders>
              <w:top w:val="nil"/>
              <w:left w:val="nil"/>
              <w:bottom w:val="nil"/>
              <w:right w:val="nil"/>
            </w:tcBorders>
            <w:shd w:val="clear" w:color="auto" w:fill="FAD3B4"/>
          </w:tcPr>
          <w:p w14:paraId="3B109D60" w14:textId="77777777" w:rsidR="000A6469" w:rsidRPr="004D11C9" w:rsidRDefault="000A6469" w:rsidP="004D11C9">
            <w:pPr>
              <w:pStyle w:val="TableParagraph"/>
              <w:jc w:val="both"/>
              <w:rPr>
                <w:rFonts w:ascii="Times New Roman" w:hAnsi="Times New Roman"/>
                <w:noProof/>
                <w:sz w:val="24"/>
              </w:rPr>
            </w:pPr>
            <w:r>
              <w:rPr>
                <w:rFonts w:ascii="Times New Roman" w:hAnsi="Times New Roman"/>
                <w:sz w:val="24"/>
              </w:rPr>
              <w:t>1. Rada pašregulējošu vai kopregulējošu sistēmu</w:t>
            </w:r>
          </w:p>
        </w:tc>
      </w:tr>
      <w:tr w:rsidR="000A6469" w:rsidRPr="004D11C9" w14:paraId="3389279B" w14:textId="77777777" w:rsidTr="00BF0474">
        <w:tc>
          <w:tcPr>
            <w:tcW w:w="1293" w:type="pct"/>
            <w:tcBorders>
              <w:top w:val="nil"/>
              <w:left w:val="nil"/>
              <w:bottom w:val="nil"/>
              <w:right w:val="nil"/>
            </w:tcBorders>
          </w:tcPr>
          <w:p w14:paraId="42C7533C" w14:textId="77777777" w:rsidR="000A6469" w:rsidRPr="004D11C9" w:rsidRDefault="000A6469" w:rsidP="00922A96">
            <w:pPr>
              <w:pStyle w:val="TableParagraph"/>
              <w:jc w:val="center"/>
              <w:rPr>
                <w:rFonts w:ascii="Times New Roman" w:hAnsi="Times New Roman"/>
                <w:noProof/>
                <w:sz w:val="24"/>
              </w:rPr>
            </w:pPr>
            <w:r>
              <w:rPr>
                <w:rFonts w:ascii="Times New Roman" w:hAnsi="Times New Roman"/>
                <w:sz w:val="24"/>
              </w:rPr>
              <w:t>–0,10</w:t>
            </w:r>
          </w:p>
        </w:tc>
        <w:tc>
          <w:tcPr>
            <w:tcW w:w="3707" w:type="pct"/>
            <w:tcBorders>
              <w:top w:val="nil"/>
              <w:left w:val="nil"/>
              <w:bottom w:val="nil"/>
              <w:right w:val="nil"/>
            </w:tcBorders>
          </w:tcPr>
          <w:p w14:paraId="73D0FD0F" w14:textId="77777777" w:rsidR="000A6469" w:rsidRPr="004D11C9" w:rsidRDefault="000A6469" w:rsidP="004D11C9">
            <w:pPr>
              <w:pStyle w:val="TableParagraph"/>
              <w:jc w:val="both"/>
              <w:rPr>
                <w:rFonts w:ascii="Times New Roman" w:hAnsi="Times New Roman"/>
                <w:noProof/>
                <w:sz w:val="24"/>
              </w:rPr>
            </w:pPr>
            <w:r>
              <w:rPr>
                <w:rFonts w:ascii="Times New Roman" w:hAnsi="Times New Roman"/>
                <w:sz w:val="24"/>
              </w:rPr>
              <w:t>2. Prasa publicēt informāciju par piegādātāja produkciju, cenām, algām vai izmaksām vai arī mudina to darīt</w:t>
            </w:r>
          </w:p>
        </w:tc>
      </w:tr>
      <w:tr w:rsidR="000A6469" w:rsidRPr="004D11C9" w14:paraId="155C85EB" w14:textId="77777777" w:rsidTr="00BF0474">
        <w:tc>
          <w:tcPr>
            <w:tcW w:w="1293" w:type="pct"/>
            <w:tcBorders>
              <w:top w:val="nil"/>
              <w:left w:val="nil"/>
              <w:bottom w:val="nil"/>
              <w:right w:val="nil"/>
            </w:tcBorders>
            <w:shd w:val="clear" w:color="auto" w:fill="FAD3B4"/>
          </w:tcPr>
          <w:p w14:paraId="2FC1223A" w14:textId="77777777" w:rsidR="000A6469" w:rsidRPr="004D11C9" w:rsidRDefault="000A6469" w:rsidP="00922A96">
            <w:pPr>
              <w:pStyle w:val="TableParagraph"/>
              <w:jc w:val="center"/>
              <w:rPr>
                <w:rFonts w:ascii="Times New Roman" w:hAnsi="Times New Roman"/>
                <w:noProof/>
                <w:sz w:val="24"/>
              </w:rPr>
            </w:pPr>
            <w:r>
              <w:rPr>
                <w:rFonts w:ascii="Times New Roman" w:hAnsi="Times New Roman"/>
                <w:sz w:val="24"/>
              </w:rPr>
              <w:t>–0,25</w:t>
            </w:r>
          </w:p>
        </w:tc>
        <w:tc>
          <w:tcPr>
            <w:tcW w:w="3707" w:type="pct"/>
            <w:tcBorders>
              <w:top w:val="nil"/>
              <w:left w:val="nil"/>
              <w:bottom w:val="nil"/>
              <w:right w:val="nil"/>
            </w:tcBorders>
            <w:shd w:val="clear" w:color="auto" w:fill="FAD3B4"/>
          </w:tcPr>
          <w:p w14:paraId="1F4AD866" w14:textId="77777777" w:rsidR="000A6469" w:rsidRPr="004D11C9" w:rsidRDefault="000A6469" w:rsidP="004D11C9">
            <w:pPr>
              <w:pStyle w:val="TableParagraph"/>
              <w:jc w:val="both"/>
              <w:rPr>
                <w:rFonts w:ascii="Times New Roman" w:hAnsi="Times New Roman"/>
                <w:noProof/>
                <w:sz w:val="24"/>
              </w:rPr>
            </w:pPr>
            <w:r>
              <w:rPr>
                <w:rFonts w:ascii="Times New Roman" w:hAnsi="Times New Roman"/>
                <w:sz w:val="24"/>
              </w:rPr>
              <w:t>3. Atbrīvo noteiktas rūpniecības nozares vai piegādātāju grupas darbības no vispārējo konkurences tiesību aktu ietekmes</w:t>
            </w:r>
          </w:p>
        </w:tc>
      </w:tr>
      <w:tr w:rsidR="000A6469" w:rsidRPr="004D11C9" w14:paraId="6546714C" w14:textId="77777777" w:rsidTr="00BF0474">
        <w:tc>
          <w:tcPr>
            <w:tcW w:w="1293" w:type="pct"/>
            <w:tcBorders>
              <w:top w:val="nil"/>
              <w:left w:val="nil"/>
              <w:bottom w:val="nil"/>
              <w:right w:val="nil"/>
            </w:tcBorders>
          </w:tcPr>
          <w:p w14:paraId="198A3914" w14:textId="77777777" w:rsidR="000A6469" w:rsidRPr="004D11C9" w:rsidRDefault="000A6469" w:rsidP="00922A96">
            <w:pPr>
              <w:pStyle w:val="TableParagraph"/>
              <w:jc w:val="center"/>
              <w:rPr>
                <w:rFonts w:ascii="Times New Roman" w:hAnsi="Times New Roman"/>
                <w:b/>
                <w:noProof/>
                <w:sz w:val="24"/>
              </w:rPr>
            </w:pPr>
            <w:r>
              <w:rPr>
                <w:rFonts w:ascii="Times New Roman" w:hAnsi="Times New Roman"/>
                <w:b/>
                <w:sz w:val="24"/>
              </w:rPr>
              <w:t>–0,20</w:t>
            </w:r>
          </w:p>
        </w:tc>
        <w:tc>
          <w:tcPr>
            <w:tcW w:w="3707" w:type="pct"/>
            <w:tcBorders>
              <w:top w:val="nil"/>
              <w:left w:val="nil"/>
              <w:bottom w:val="nil"/>
              <w:right w:val="nil"/>
            </w:tcBorders>
          </w:tcPr>
          <w:p w14:paraId="66BC6A49" w14:textId="77777777" w:rsidR="000A6469" w:rsidRPr="004D11C9" w:rsidRDefault="000A6469" w:rsidP="004D11C9">
            <w:pPr>
              <w:pStyle w:val="TableParagraph"/>
              <w:jc w:val="both"/>
              <w:rPr>
                <w:rFonts w:ascii="Times New Roman" w:hAnsi="Times New Roman"/>
                <w:b/>
                <w:noProof/>
                <w:sz w:val="24"/>
              </w:rPr>
            </w:pPr>
            <w:r>
              <w:rPr>
                <w:rFonts w:ascii="Times New Roman" w:hAnsi="Times New Roman"/>
                <w:b/>
                <w:sz w:val="24"/>
              </w:rPr>
              <w:t>D) Ierobežo pircējiem pieejamo izvēli un informāciju</w:t>
            </w:r>
          </w:p>
        </w:tc>
      </w:tr>
      <w:tr w:rsidR="000A6469" w:rsidRPr="004D11C9" w14:paraId="55FF0D5C" w14:textId="77777777" w:rsidTr="00BF0474">
        <w:tc>
          <w:tcPr>
            <w:tcW w:w="1293" w:type="pct"/>
            <w:tcBorders>
              <w:top w:val="nil"/>
              <w:left w:val="nil"/>
              <w:bottom w:val="nil"/>
              <w:right w:val="nil"/>
            </w:tcBorders>
            <w:shd w:val="clear" w:color="auto" w:fill="FAD3B4"/>
          </w:tcPr>
          <w:p w14:paraId="5A755756" w14:textId="77777777" w:rsidR="000A6469" w:rsidRPr="004D11C9" w:rsidRDefault="000A6469" w:rsidP="00922A96">
            <w:pPr>
              <w:pStyle w:val="TableParagraph"/>
              <w:jc w:val="center"/>
              <w:rPr>
                <w:rFonts w:ascii="Times New Roman" w:hAnsi="Times New Roman"/>
                <w:noProof/>
                <w:sz w:val="24"/>
              </w:rPr>
            </w:pPr>
            <w:r>
              <w:rPr>
                <w:rFonts w:ascii="Times New Roman" w:hAnsi="Times New Roman"/>
                <w:sz w:val="24"/>
              </w:rPr>
              <w:t>–0,32</w:t>
            </w:r>
          </w:p>
        </w:tc>
        <w:tc>
          <w:tcPr>
            <w:tcW w:w="3707" w:type="pct"/>
            <w:tcBorders>
              <w:top w:val="nil"/>
              <w:left w:val="nil"/>
              <w:bottom w:val="nil"/>
              <w:right w:val="nil"/>
            </w:tcBorders>
            <w:shd w:val="clear" w:color="auto" w:fill="FAD3B4"/>
          </w:tcPr>
          <w:p w14:paraId="62A45934" w14:textId="77777777" w:rsidR="000A6469" w:rsidRPr="004D11C9" w:rsidRDefault="000A6469" w:rsidP="004D11C9">
            <w:pPr>
              <w:pStyle w:val="TableParagraph"/>
              <w:jc w:val="both"/>
              <w:rPr>
                <w:rFonts w:ascii="Times New Roman" w:hAnsi="Times New Roman"/>
                <w:noProof/>
                <w:sz w:val="24"/>
              </w:rPr>
            </w:pPr>
            <w:r>
              <w:rPr>
                <w:rFonts w:ascii="Times New Roman" w:hAnsi="Times New Roman"/>
                <w:sz w:val="24"/>
              </w:rPr>
              <w:t>1. Ierobežo patērētāju iespējas izvēlēties, kur iepirkties</w:t>
            </w:r>
          </w:p>
        </w:tc>
      </w:tr>
      <w:tr w:rsidR="000A6469" w:rsidRPr="004D11C9" w14:paraId="307D4961" w14:textId="77777777" w:rsidTr="00BF0474">
        <w:tc>
          <w:tcPr>
            <w:tcW w:w="1293" w:type="pct"/>
            <w:tcBorders>
              <w:top w:val="nil"/>
              <w:left w:val="nil"/>
              <w:bottom w:val="nil"/>
              <w:right w:val="nil"/>
            </w:tcBorders>
          </w:tcPr>
          <w:p w14:paraId="34B06AB9" w14:textId="77777777" w:rsidR="000A6469" w:rsidRPr="004D11C9" w:rsidRDefault="000A6469" w:rsidP="00922A96">
            <w:pPr>
              <w:pStyle w:val="TableParagraph"/>
              <w:jc w:val="center"/>
              <w:rPr>
                <w:rFonts w:ascii="Times New Roman" w:hAnsi="Times New Roman"/>
                <w:noProof/>
                <w:sz w:val="24"/>
              </w:rPr>
            </w:pPr>
            <w:r>
              <w:rPr>
                <w:rFonts w:ascii="Times New Roman" w:hAnsi="Times New Roman"/>
                <w:sz w:val="24"/>
              </w:rPr>
              <w:t>–0,12</w:t>
            </w:r>
          </w:p>
        </w:tc>
        <w:tc>
          <w:tcPr>
            <w:tcW w:w="3707" w:type="pct"/>
            <w:tcBorders>
              <w:top w:val="nil"/>
              <w:left w:val="nil"/>
              <w:bottom w:val="nil"/>
              <w:right w:val="nil"/>
            </w:tcBorders>
          </w:tcPr>
          <w:p w14:paraId="6EFB0F0D" w14:textId="77777777" w:rsidR="000A6469" w:rsidRPr="004D11C9" w:rsidRDefault="000A6469" w:rsidP="004D11C9">
            <w:pPr>
              <w:pStyle w:val="TableParagraph"/>
              <w:jc w:val="both"/>
              <w:rPr>
                <w:rFonts w:ascii="Times New Roman" w:hAnsi="Times New Roman"/>
                <w:noProof/>
                <w:sz w:val="24"/>
              </w:rPr>
            </w:pPr>
            <w:r>
              <w:rPr>
                <w:rFonts w:ascii="Times New Roman" w:hAnsi="Times New Roman"/>
                <w:sz w:val="24"/>
              </w:rPr>
              <w:t>2. Samazina klientu mobilitāti starp preču vai pakalpojumu piegādātājiem, paaugstinot viena piegādātāja nomaiņas ar citu tiešās vai netiešās izmaksas</w:t>
            </w:r>
          </w:p>
        </w:tc>
      </w:tr>
      <w:tr w:rsidR="000A6469" w:rsidRPr="004D11C9" w14:paraId="5291D7C1" w14:textId="77777777" w:rsidTr="00BF0474">
        <w:tc>
          <w:tcPr>
            <w:tcW w:w="1293" w:type="pct"/>
            <w:tcBorders>
              <w:top w:val="nil"/>
              <w:left w:val="nil"/>
              <w:bottom w:val="single" w:sz="5" w:space="0" w:color="000000"/>
              <w:right w:val="nil"/>
            </w:tcBorders>
            <w:shd w:val="clear" w:color="auto" w:fill="FAD3B4"/>
          </w:tcPr>
          <w:p w14:paraId="5174D831" w14:textId="77777777" w:rsidR="000A6469" w:rsidRPr="004D11C9" w:rsidRDefault="000A6469" w:rsidP="00922A96">
            <w:pPr>
              <w:pStyle w:val="TableParagraph"/>
              <w:jc w:val="center"/>
              <w:rPr>
                <w:rFonts w:ascii="Times New Roman" w:hAnsi="Times New Roman"/>
                <w:noProof/>
                <w:sz w:val="24"/>
              </w:rPr>
            </w:pPr>
            <w:r>
              <w:rPr>
                <w:rFonts w:ascii="Times New Roman" w:hAnsi="Times New Roman"/>
                <w:sz w:val="24"/>
              </w:rPr>
              <w:lastRenderedPageBreak/>
              <w:t>–0,16</w:t>
            </w:r>
          </w:p>
        </w:tc>
        <w:tc>
          <w:tcPr>
            <w:tcW w:w="3707" w:type="pct"/>
            <w:tcBorders>
              <w:top w:val="nil"/>
              <w:left w:val="nil"/>
              <w:bottom w:val="single" w:sz="5" w:space="0" w:color="000000"/>
              <w:right w:val="nil"/>
            </w:tcBorders>
            <w:shd w:val="clear" w:color="auto" w:fill="FAD3B4"/>
          </w:tcPr>
          <w:p w14:paraId="0A96B45C" w14:textId="77777777" w:rsidR="000A6469" w:rsidRPr="004D11C9" w:rsidRDefault="000A6469" w:rsidP="004D11C9">
            <w:pPr>
              <w:pStyle w:val="TableParagraph"/>
              <w:jc w:val="both"/>
              <w:rPr>
                <w:rFonts w:ascii="Times New Roman" w:hAnsi="Times New Roman"/>
                <w:noProof/>
                <w:sz w:val="24"/>
              </w:rPr>
            </w:pPr>
            <w:r>
              <w:rPr>
                <w:rFonts w:ascii="Times New Roman" w:hAnsi="Times New Roman"/>
                <w:sz w:val="24"/>
              </w:rPr>
              <w:t>3. Būtiski maina pircējam nepieciešamo informāciju efektīvai pirkuma veikšanai</w:t>
            </w:r>
          </w:p>
        </w:tc>
      </w:tr>
    </w:tbl>
    <w:p w14:paraId="7FD95296" w14:textId="77777777" w:rsidR="00867DDD" w:rsidRPr="004D11C9" w:rsidRDefault="00867DDD" w:rsidP="004D11C9">
      <w:pPr>
        <w:jc w:val="both"/>
        <w:rPr>
          <w:rFonts w:ascii="Times New Roman" w:eastAsia="Arial" w:hAnsi="Times New Roman" w:cs="Arial"/>
          <w:noProof/>
          <w:sz w:val="24"/>
          <w:szCs w:val="18"/>
        </w:rPr>
      </w:pPr>
    </w:p>
    <w:p w14:paraId="7DEE175A" w14:textId="020DE0A5" w:rsidR="000A6469" w:rsidRPr="004D11C9" w:rsidRDefault="00922A96" w:rsidP="00922A96">
      <w:pPr>
        <w:tabs>
          <w:tab w:val="left" w:pos="897"/>
        </w:tabs>
        <w:jc w:val="both"/>
        <w:rPr>
          <w:rFonts w:ascii="Times New Roman" w:hAnsi="Times New Roman"/>
          <w:i/>
          <w:noProof/>
          <w:sz w:val="24"/>
        </w:rPr>
      </w:pPr>
      <w:bookmarkStart w:id="177" w:name="4.4.2._Other_benefit_measures"/>
      <w:bookmarkEnd w:id="177"/>
      <w:r>
        <w:rPr>
          <w:rFonts w:ascii="Times New Roman" w:hAnsi="Times New Roman"/>
          <w:i/>
          <w:sz w:val="24"/>
        </w:rPr>
        <w:t>4.4.2.</w:t>
      </w:r>
      <w:r>
        <w:rPr>
          <w:rFonts w:ascii="Times New Roman" w:hAnsi="Times New Roman"/>
          <w:b/>
          <w:sz w:val="24"/>
        </w:rPr>
        <w:t xml:space="preserve"> </w:t>
      </w:r>
      <w:r>
        <w:rPr>
          <w:rFonts w:ascii="Times New Roman" w:hAnsi="Times New Roman"/>
          <w:i/>
          <w:sz w:val="24"/>
        </w:rPr>
        <w:t>Citi ieguvumu rādītāji</w:t>
      </w:r>
    </w:p>
    <w:p w14:paraId="3202D174" w14:textId="77777777" w:rsidR="000A6469" w:rsidRPr="004D11C9" w:rsidRDefault="000A6469" w:rsidP="004D11C9">
      <w:pPr>
        <w:jc w:val="both"/>
        <w:rPr>
          <w:rFonts w:ascii="Times New Roman" w:eastAsia="Arial" w:hAnsi="Times New Roman" w:cs="Arial"/>
          <w:i/>
          <w:noProof/>
          <w:sz w:val="24"/>
          <w:szCs w:val="21"/>
        </w:rPr>
      </w:pPr>
    </w:p>
    <w:p w14:paraId="312A2F6D" w14:textId="30F09066"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Ieguvumus no konkurences ierobežojumu atcelšanas var novērtēt arī citādi, ne tikai izmantojot cenu. Piemēram, dažkārt cenas tiek regulētas, bet piegādātais daudzums ir ierobežots. Arī šāds daudzuma ierobežojums kaitē patērētājiem. Faktiski piegādātā daudzuma samazināšanās par 1 %, pat ja cenas ir fiksētas, var kaitēt patērētājiem vairāk nekā cenas paaugstināšanās par 1 %. Tas ir tāpēc, ka, cenām paaugstinoties par 1 %, patērētāji, kam ir vismazākais papildu ieguvums no produkta, pārtrauks iegādāties attiecīgo produktu. Savukārt daudzuma samazināšanās var skart ne tikai tos patērētājus, kam ir vismazākais papildu ieguvums, bet gan visus patērētājus, tostarp tos, kas saņem ļoti lielu personīgu ieguvumu no patēriņa. Aplēse, kas veikta standarta ieguvuma rādītāja noteikšanai, var būt tuva aplēsei, kas iegūta no daudzuma likvidēšanas, vai lielāka par to (skat. 1. pielikumu). Jāatzīmē, ka tad, ja ietekmi uz cenu varētu aprēķināt no pastāvošā daudzuma ierobežojuma veida, aprēķinātais patērētāju ieguvums no ierobežojuma atcelšanas ir:</w:t>
      </w:r>
    </w:p>
    <w:p w14:paraId="3A6A2BBC" w14:textId="77777777" w:rsidR="000A6469" w:rsidRPr="004D11C9" w:rsidRDefault="000A6469" w:rsidP="004D11C9">
      <w:pPr>
        <w:jc w:val="both"/>
        <w:rPr>
          <w:rFonts w:ascii="Times New Roman" w:eastAsia="Arial" w:hAnsi="Times New Roman" w:cs="Arial"/>
          <w:noProof/>
          <w:sz w:val="24"/>
          <w:szCs w:val="12"/>
        </w:rPr>
      </w:pPr>
    </w:p>
    <w:p w14:paraId="4F424152" w14:textId="2AA76F94" w:rsidR="00867DDD" w:rsidRPr="004D11C9" w:rsidRDefault="00922A96" w:rsidP="00922A96">
      <w:pPr>
        <w:jc w:val="center"/>
        <w:rPr>
          <w:rFonts w:ascii="Times New Roman" w:eastAsia="Arial" w:hAnsi="Times New Roman" w:cs="Arial"/>
          <w:noProof/>
          <w:sz w:val="24"/>
          <w:szCs w:val="12"/>
        </w:rPr>
      </w:pPr>
      <w:r>
        <w:rPr>
          <w:rFonts w:ascii="Times New Roman" w:hAnsi="Times New Roman"/>
          <w:noProof/>
          <w:sz w:val="24"/>
          <w:szCs w:val="12"/>
        </w:rPr>
        <w:drawing>
          <wp:inline distT="0" distB="0" distL="0" distR="0" wp14:anchorId="24379A98" wp14:editId="48A986DC">
            <wp:extent cx="1212215" cy="436245"/>
            <wp:effectExtent l="0" t="0" r="698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12215" cy="436245"/>
                    </a:xfrm>
                    <a:prstGeom prst="rect">
                      <a:avLst/>
                    </a:prstGeom>
                    <a:noFill/>
                    <a:ln>
                      <a:noFill/>
                    </a:ln>
                  </pic:spPr>
                </pic:pic>
              </a:graphicData>
            </a:graphic>
          </wp:inline>
        </w:drawing>
      </w:r>
    </w:p>
    <w:p w14:paraId="3BD0D84E" w14:textId="77777777" w:rsidR="00867DDD" w:rsidRPr="004D11C9" w:rsidRDefault="00867DDD" w:rsidP="004D11C9">
      <w:pPr>
        <w:jc w:val="both"/>
        <w:rPr>
          <w:rFonts w:ascii="Times New Roman" w:eastAsia="Cambria Math" w:hAnsi="Times New Roman" w:cs="Cambria Math"/>
          <w:noProof/>
          <w:sz w:val="24"/>
          <w:szCs w:val="15"/>
        </w:rPr>
      </w:pPr>
    </w:p>
    <w:p w14:paraId="3F9A84E5" w14:textId="12BE7B99"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Pastāv daudzi citi ar ieguvumu saistīti mainīgie lielumi, kurus varētu izmantot papildus daudzumam. Tas, kuru mainīgo lielumu būs atbilstoši mērīt, ir atkarīgs no nozares, no tā, kas ir svarīgi patērētājiem, un no tā, kādi dati ir pieejami.</w:t>
      </w:r>
    </w:p>
    <w:p w14:paraId="25E9101F" w14:textId="185D3BE1" w:rsidR="000A6469" w:rsidRPr="004D11C9" w:rsidRDefault="000A6469" w:rsidP="004D11C9">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922A96" w14:paraId="626F7745" w14:textId="77777777" w:rsidTr="00922A96">
        <w:tc>
          <w:tcPr>
            <w:tcW w:w="9062" w:type="dxa"/>
          </w:tcPr>
          <w:p w14:paraId="3177F7F0" w14:textId="71B928C1" w:rsidR="00922A96" w:rsidRDefault="00922A96" w:rsidP="00922A96">
            <w:pPr>
              <w:jc w:val="center"/>
              <w:rPr>
                <w:rFonts w:ascii="Times New Roman" w:eastAsia="Arial" w:hAnsi="Times New Roman" w:cs="Arial"/>
                <w:noProof/>
                <w:sz w:val="24"/>
                <w:szCs w:val="20"/>
              </w:rPr>
            </w:pPr>
            <w:r>
              <w:rPr>
                <w:rFonts w:ascii="Times New Roman" w:hAnsi="Times New Roman"/>
                <w:b/>
                <w:sz w:val="24"/>
              </w:rPr>
              <w:t>58. ierāmējums. Atbilstošu mainīgo lielumu izraudzīšanās</w:t>
            </w:r>
          </w:p>
        </w:tc>
      </w:tr>
      <w:tr w:rsidR="00922A96" w14:paraId="43D315A8" w14:textId="77777777" w:rsidTr="00922A96">
        <w:tc>
          <w:tcPr>
            <w:tcW w:w="9062" w:type="dxa"/>
          </w:tcPr>
          <w:p w14:paraId="5D57D85D" w14:textId="77777777" w:rsidR="00922A96" w:rsidRPr="004D11C9" w:rsidRDefault="00922A96" w:rsidP="00922A96">
            <w:pPr>
              <w:numPr>
                <w:ilvl w:val="0"/>
                <w:numId w:val="6"/>
              </w:numPr>
              <w:ind w:left="426" w:hanging="426"/>
              <w:jc w:val="both"/>
              <w:rPr>
                <w:rFonts w:ascii="Times New Roman" w:eastAsia="Arial" w:hAnsi="Times New Roman" w:cs="Arial"/>
                <w:noProof/>
                <w:sz w:val="24"/>
                <w:szCs w:val="18"/>
              </w:rPr>
            </w:pPr>
            <w:r>
              <w:rPr>
                <w:rFonts w:ascii="Times New Roman" w:hAnsi="Times New Roman"/>
                <w:sz w:val="24"/>
              </w:rPr>
              <w:t xml:space="preserve">Taksometru tarifi var būt fiksēti, bet taksometru skaita ierobežošana nozīmē to, ka pasažieriem nāksies ilgi gaidīt taksometru vai ka daži rajoni netiks pienācīgi apkalpoti. Atbilstošais mērāmais mainīgais lielums – gaidīšanas laika X vērtība gaidītājiem. [Skat. OFT (2003) The regulation of licensed taxi and PHV services in the UK </w:t>
            </w:r>
            <w:r>
              <w:rPr>
                <w:rFonts w:ascii="Times New Roman" w:hAnsi="Times New Roman"/>
                <w:sz w:val="24"/>
                <w:u w:val="single"/>
              </w:rPr>
              <w:t>http://webarchive.nationalarchives.gov.uk/20140402142426/http:/www.oft.gov.uk/shared_oft/reports/comp_policy/oft676.pdf]</w:t>
            </w:r>
          </w:p>
          <w:p w14:paraId="693F7E09" w14:textId="2CEF5020" w:rsidR="00922A96" w:rsidRPr="00922A96" w:rsidRDefault="00922A96" w:rsidP="004D11C9">
            <w:pPr>
              <w:numPr>
                <w:ilvl w:val="0"/>
                <w:numId w:val="6"/>
              </w:numPr>
              <w:ind w:left="426" w:hanging="426"/>
              <w:jc w:val="both"/>
              <w:rPr>
                <w:rFonts w:ascii="Times New Roman" w:eastAsia="Arial" w:hAnsi="Times New Roman" w:cs="Arial"/>
                <w:noProof/>
                <w:sz w:val="24"/>
                <w:szCs w:val="18"/>
              </w:rPr>
            </w:pPr>
            <w:r>
              <w:rPr>
                <w:rFonts w:ascii="Times New Roman" w:hAnsi="Times New Roman"/>
                <w:sz w:val="24"/>
              </w:rPr>
              <w:t>Aptieku cenas var būt fiksētas, taču aptieku skaita ierobežošana var nozīmēt to, ka pacientiem, kuri vēlas iegādāties zāles, ir jāmēro lielāka distance, nekā viņi to vēlētos – paildzināts pārvietošanās laiks X (laika vērtība + transporta izmaksas).</w:t>
            </w:r>
          </w:p>
        </w:tc>
      </w:tr>
    </w:tbl>
    <w:p w14:paraId="173EBE8F" w14:textId="77777777" w:rsidR="000A6469" w:rsidRPr="004D11C9" w:rsidRDefault="000A6469" w:rsidP="004D11C9">
      <w:pPr>
        <w:jc w:val="both"/>
        <w:rPr>
          <w:rFonts w:ascii="Times New Roman" w:eastAsia="Arial" w:hAnsi="Times New Roman" w:cs="Arial"/>
          <w:noProof/>
          <w:sz w:val="24"/>
          <w:szCs w:val="18"/>
        </w:rPr>
      </w:pPr>
      <w:bookmarkStart w:id="178" w:name="_bookmark93"/>
      <w:bookmarkEnd w:id="178"/>
    </w:p>
    <w:p w14:paraId="5D21318A" w14:textId="041BD06F" w:rsidR="000A6469" w:rsidRPr="004D11C9" w:rsidRDefault="00922A96" w:rsidP="00922A96">
      <w:pPr>
        <w:tabs>
          <w:tab w:val="left" w:pos="1003"/>
        </w:tabs>
        <w:jc w:val="both"/>
        <w:rPr>
          <w:rFonts w:ascii="Times New Roman" w:hAnsi="Times New Roman"/>
          <w:i/>
          <w:noProof/>
          <w:sz w:val="24"/>
        </w:rPr>
      </w:pPr>
      <w:bookmarkStart w:id="179" w:name="4.4.3_Adjustments_to_values"/>
      <w:bookmarkEnd w:id="179"/>
      <w:r>
        <w:rPr>
          <w:rFonts w:ascii="Times New Roman" w:hAnsi="Times New Roman"/>
          <w:i/>
          <w:sz w:val="24"/>
        </w:rPr>
        <w:t>4.4.3. Vērtību koriģēšana</w:t>
      </w:r>
    </w:p>
    <w:p w14:paraId="5D7660CF" w14:textId="77777777" w:rsidR="000A6469" w:rsidRPr="004D11C9" w:rsidRDefault="000A6469" w:rsidP="004D11C9">
      <w:pPr>
        <w:jc w:val="both"/>
        <w:rPr>
          <w:rFonts w:ascii="Times New Roman" w:eastAsia="Arial" w:hAnsi="Times New Roman" w:cs="Arial"/>
          <w:i/>
          <w:noProof/>
          <w:sz w:val="24"/>
          <w:szCs w:val="21"/>
        </w:rPr>
      </w:pPr>
    </w:p>
    <w:p w14:paraId="216CD1B3" w14:textId="77777777" w:rsidR="000A6469" w:rsidRPr="004D11C9" w:rsidRDefault="000A6469" w:rsidP="004D11C9">
      <w:pPr>
        <w:pStyle w:val="BodyText"/>
        <w:ind w:left="0" w:firstLine="0"/>
        <w:jc w:val="both"/>
        <w:rPr>
          <w:rFonts w:ascii="Times New Roman" w:hAnsi="Times New Roman"/>
          <w:noProof/>
          <w:sz w:val="24"/>
          <w:u w:val="single" w:color="000000"/>
        </w:rPr>
      </w:pPr>
      <w:bookmarkStart w:id="180" w:name="Discounting"/>
      <w:bookmarkEnd w:id="180"/>
      <w:r>
        <w:rPr>
          <w:rFonts w:ascii="Times New Roman" w:hAnsi="Times New Roman"/>
          <w:sz w:val="24"/>
          <w:u w:val="single" w:color="000000"/>
        </w:rPr>
        <w:t>Diskontēšana</w:t>
      </w:r>
    </w:p>
    <w:p w14:paraId="66B5741A" w14:textId="77777777" w:rsidR="000A6469" w:rsidRPr="004D11C9" w:rsidRDefault="000A6469" w:rsidP="004D11C9">
      <w:pPr>
        <w:jc w:val="both"/>
        <w:rPr>
          <w:rFonts w:ascii="Times New Roman" w:eastAsia="Arial" w:hAnsi="Times New Roman" w:cs="Arial"/>
          <w:noProof/>
          <w:sz w:val="24"/>
          <w:szCs w:val="14"/>
        </w:rPr>
      </w:pPr>
    </w:p>
    <w:p w14:paraId="5A33EC80"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Daudzos gadījumos ierosināto pasākumu radītie ieguvumi un izmaksas parādīsies tikai gadu gaitā, un šis parādīšanās laiks dažādiem iespējamajiem risinājumiem var atšķirties. Šādos gadījumos bieži ir nepieciešama diskontēšana, lai pareizi salīdzinātu ierosinātos risinājumus. Diskontēšana var sniegt iespēju salīdzināt izmaksas un ieguvumus, kas rodas laika gaitā, pamatojoties uz sabiedrības vēlmēm saņemt ieguvumus agrāk un citiem faktoriem, piemēram, naudas līdzekļu neplānotajām izmaksām un inflāciju. Aplēsēs par konkurences sniegtajiem ieguvumiem ir ierasts samazināt ieguvumus (ierobežojot aplūkojamo laika posmu, piemēram, līdz pieciem gadiem), lai ņemtu vērā regulatoru nepilnīgo prognozi.</w:t>
      </w:r>
    </w:p>
    <w:p w14:paraId="1504C94A" w14:textId="77777777" w:rsidR="000A6469" w:rsidRPr="004D11C9" w:rsidRDefault="000A6469" w:rsidP="004D11C9">
      <w:pPr>
        <w:jc w:val="both"/>
        <w:rPr>
          <w:rFonts w:ascii="Times New Roman" w:eastAsia="Arial" w:hAnsi="Times New Roman" w:cs="Arial"/>
          <w:noProof/>
          <w:sz w:val="24"/>
          <w:szCs w:val="20"/>
        </w:rPr>
      </w:pPr>
    </w:p>
    <w:p w14:paraId="73AAC6BD"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lastRenderedPageBreak/>
        <w:t>Diskontēšana ļauj katra iespējamā risinājuma turpmāko ieguvumu plūsmu izteikt neto pašreizējā vērtībā (NPV). Parasti jāizvēlas tas iespējamais risinājums, kam ir visaugstākā NPV. Ierosināto risinājumu neizvēlas, ja tā NPV nav augstāka par NPV, kas pastāv bezdarbības scenārijā.</w:t>
      </w:r>
    </w:p>
    <w:p w14:paraId="79973CF7" w14:textId="77777777" w:rsidR="000A6469" w:rsidRPr="004D11C9" w:rsidRDefault="000A6469" w:rsidP="004D11C9">
      <w:pPr>
        <w:jc w:val="both"/>
        <w:rPr>
          <w:rFonts w:ascii="Times New Roman" w:eastAsia="Arial" w:hAnsi="Times New Roman" w:cs="Arial"/>
          <w:noProof/>
          <w:sz w:val="24"/>
          <w:szCs w:val="20"/>
        </w:rPr>
      </w:pPr>
    </w:p>
    <w:p w14:paraId="3A0AB6C2"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Lai aprēķinātu NPV, turpmākie ieguvumi un izmaksas katram gadam jādiskontē atbilstoši to pašreizējai vērtībai (PV) saskaņā ar šādu formulu, kur t ir gads, sākot no 0, un r ir diskonta likme:</w:t>
      </w:r>
    </w:p>
    <w:p w14:paraId="48120106" w14:textId="77777777" w:rsidR="000A6469" w:rsidRPr="004D11C9" w:rsidRDefault="000A6469" w:rsidP="004D11C9">
      <w:pPr>
        <w:jc w:val="both"/>
        <w:rPr>
          <w:rFonts w:ascii="Times New Roman" w:eastAsia="Arial" w:hAnsi="Times New Roman" w:cs="Arial"/>
          <w:noProof/>
          <w:sz w:val="24"/>
          <w:szCs w:val="20"/>
        </w:rPr>
      </w:pPr>
    </w:p>
    <w:p w14:paraId="75BE2722" w14:textId="77777777" w:rsidR="000A6469" w:rsidRPr="004D11C9" w:rsidRDefault="000A6469" w:rsidP="00922A96">
      <w:pPr>
        <w:pStyle w:val="BodyText"/>
        <w:numPr>
          <w:ilvl w:val="3"/>
          <w:numId w:val="5"/>
        </w:numPr>
        <w:ind w:left="426" w:hanging="426"/>
        <w:jc w:val="both"/>
        <w:rPr>
          <w:rFonts w:ascii="Times New Roman" w:hAnsi="Times New Roman"/>
          <w:noProof/>
          <w:sz w:val="24"/>
        </w:rPr>
      </w:pPr>
      <w:r>
        <w:rPr>
          <w:rFonts w:ascii="Times New Roman" w:hAnsi="Times New Roman"/>
          <w:sz w:val="24"/>
        </w:rPr>
        <w:t xml:space="preserve">Pašreizējā vērtībā, kad laiks ir vienāds ar 0 (tagadnes vērtība), neto ieguvumam laikā </w:t>
      </w:r>
      <w:r>
        <w:rPr>
          <w:rFonts w:ascii="Times New Roman" w:hAnsi="Times New Roman"/>
          <w:b/>
          <w:sz w:val="24"/>
        </w:rPr>
        <w:t>t</w:t>
      </w:r>
      <w:r>
        <w:rPr>
          <w:rFonts w:ascii="Times New Roman" w:hAnsi="Times New Roman"/>
          <w:sz w:val="24"/>
        </w:rPr>
        <w:t xml:space="preserve"> ir: pašreizējā vērtība = (ieguvumi–izmaksas) t/(1+r)</w:t>
      </w:r>
      <w:r>
        <w:rPr>
          <w:rFonts w:ascii="Times New Roman" w:hAnsi="Times New Roman"/>
          <w:sz w:val="24"/>
          <w:vertAlign w:val="superscript"/>
        </w:rPr>
        <w:t>t</w:t>
      </w:r>
      <w:r>
        <w:rPr>
          <w:rFonts w:ascii="Times New Roman" w:hAnsi="Times New Roman"/>
          <w:sz w:val="24"/>
        </w:rPr>
        <w:t>. Neto ieguvuma pašreizējās vērtības summa katrā aplūkojamajā laikā sniedz politikas pasākuma pašreizējo vērtību.</w:t>
      </w:r>
    </w:p>
    <w:p w14:paraId="1AF02908" w14:textId="77777777" w:rsidR="000A6469" w:rsidRPr="004D11C9" w:rsidRDefault="000A6469" w:rsidP="004D11C9">
      <w:pPr>
        <w:jc w:val="both"/>
        <w:rPr>
          <w:rFonts w:ascii="Times New Roman" w:hAnsi="Times New Roman"/>
          <w:noProof/>
          <w:sz w:val="24"/>
        </w:rPr>
      </w:pPr>
    </w:p>
    <w:p w14:paraId="0A62DE1E"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Viens no iespējamiem diskonta likmju avotiem ir valsts obligāciju netiešā procentu likme, kas var atspoguļot valdības naudas līdzekļu izmaksas (vai sabiedrības ieguvumus no peļņas). Vēl viens avots ir valsts pārvaldes iestādes, ja tām ir jāuzrāda aktīvu ieguldījumu plūsmu diskontētās tagadnes vērtības. Kopumā ir daudz iespēju diskonta likmes izraudzīšanai; šajā rokasgrāmatā netiks pausta nostāja par to, kāda diskonta likme ir uzskatāma par atbilstošu valsts politikas veidošanai.</w:t>
      </w:r>
    </w:p>
    <w:p w14:paraId="0DEFDFF2" w14:textId="77777777" w:rsidR="000A6469" w:rsidRPr="004D11C9" w:rsidRDefault="000A6469" w:rsidP="004D11C9">
      <w:pPr>
        <w:jc w:val="both"/>
        <w:rPr>
          <w:rFonts w:ascii="Times New Roman" w:eastAsia="Arial" w:hAnsi="Times New Roman" w:cs="Arial"/>
          <w:noProof/>
          <w:sz w:val="24"/>
          <w:szCs w:val="20"/>
        </w:rPr>
      </w:pPr>
    </w:p>
    <w:p w14:paraId="466EFF7C"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Iespējamā risinājuma NPV ir pašreizējo vērtību summa par visiem attiecīgajiem gadiem, kuros rodas ieguvumi un izmaksas.</w:t>
      </w:r>
    </w:p>
    <w:p w14:paraId="2B4C1735" w14:textId="77777777" w:rsidR="000A6469" w:rsidRPr="004D11C9" w:rsidRDefault="000A6469" w:rsidP="004D11C9">
      <w:pPr>
        <w:jc w:val="both"/>
        <w:rPr>
          <w:rFonts w:ascii="Times New Roman" w:eastAsia="Arial" w:hAnsi="Times New Roman" w:cs="Arial"/>
          <w:noProof/>
          <w:sz w:val="24"/>
          <w:szCs w:val="20"/>
        </w:rPr>
      </w:pPr>
    </w:p>
    <w:p w14:paraId="611CF938" w14:textId="303392CD" w:rsidR="000A6469" w:rsidRPr="00922A96" w:rsidRDefault="000A6469" w:rsidP="004D11C9">
      <w:pPr>
        <w:pStyle w:val="BodyText"/>
        <w:ind w:left="0" w:firstLine="0"/>
        <w:jc w:val="both"/>
        <w:rPr>
          <w:rFonts w:ascii="Times New Roman" w:hAnsi="Times New Roman"/>
          <w:noProof/>
          <w:sz w:val="24"/>
        </w:rPr>
      </w:pPr>
      <w:r>
        <w:rPr>
          <w:rFonts w:ascii="Times New Roman" w:hAnsi="Times New Roman"/>
          <w:sz w:val="24"/>
        </w:rPr>
        <w:t>Ja ieguvumi un izmaksas rodas laika gaitā, atbilstošas diskonta likmes izraudzīšanās var būt ļoti svarīga labākā risinājuma izraudzīšanai. Reālistiskas diskonta likmes izvēle var būt atkarīga no valsts vispārējām izmaksu un ieguvumu vadlīnijām.</w:t>
      </w:r>
      <w:r w:rsidR="00922A96">
        <w:rPr>
          <w:rStyle w:val="FootnoteReference"/>
          <w:rFonts w:ascii="Times New Roman" w:hAnsi="Times New Roman"/>
          <w:noProof/>
          <w:sz w:val="24"/>
        </w:rPr>
        <w:footnoteReference w:id="12"/>
      </w:r>
    </w:p>
    <w:p w14:paraId="2F91C684" w14:textId="77777777" w:rsidR="000A6469" w:rsidRPr="004D11C9" w:rsidRDefault="000A6469" w:rsidP="004D11C9">
      <w:pPr>
        <w:jc w:val="both"/>
        <w:rPr>
          <w:rFonts w:ascii="Times New Roman" w:eastAsia="Arial" w:hAnsi="Times New Roman" w:cs="Arial"/>
          <w:noProof/>
          <w:sz w:val="24"/>
          <w:szCs w:val="20"/>
        </w:rPr>
      </w:pPr>
    </w:p>
    <w:p w14:paraId="06798262"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u w:val="single" w:color="000000"/>
        </w:rPr>
        <w:t xml:space="preserve">Piemērs. </w:t>
      </w:r>
      <w:r>
        <w:rPr>
          <w:rFonts w:ascii="Times New Roman" w:hAnsi="Times New Roman"/>
          <w:sz w:val="24"/>
        </w:rPr>
        <w:t>Lai sasniegtu politikas mērķi, tiek apsvērti divi risinājumi. 1. risinājums paredz būtiskus avansa ieguldījumus, kas sākotnēji rada salīdzinoši nelielus neto ekonomiskos ieguvumus, bet vēlāk sniedz lielākus neto ieguvumus. 2. risinājums paredz mazākas sākotnējās izmaksas, kas ļauj agri gūt lielākus neto ieguvumus uz vēlāku ieguvumu rēķina. Saskaņā ar valsts izmaksu un ieguvumu vadlīnijām piemēro diskonta likmi 5 % apmērā.</w:t>
      </w:r>
    </w:p>
    <w:p w14:paraId="7E8BA790" w14:textId="77777777" w:rsidR="000A6469" w:rsidRPr="004D11C9" w:rsidRDefault="000A6469" w:rsidP="004D11C9">
      <w:pPr>
        <w:jc w:val="both"/>
        <w:rPr>
          <w:rFonts w:ascii="Times New Roman" w:hAnsi="Times New Roman"/>
          <w:noProof/>
          <w:sz w:val="24"/>
        </w:rPr>
      </w:pPr>
    </w:p>
    <w:p w14:paraId="4EA847D5" w14:textId="77777777" w:rsidR="000A6469" w:rsidRPr="004D11C9" w:rsidRDefault="000A6469" w:rsidP="00922A96">
      <w:pPr>
        <w:pStyle w:val="Heading3"/>
        <w:ind w:left="0"/>
        <w:jc w:val="center"/>
        <w:rPr>
          <w:rFonts w:ascii="Times New Roman" w:hAnsi="Times New Roman"/>
          <w:noProof/>
          <w:sz w:val="24"/>
        </w:rPr>
      </w:pPr>
      <w:bookmarkStart w:id="181" w:name="_Toc62650492"/>
      <w:r>
        <w:rPr>
          <w:rFonts w:ascii="Times New Roman" w:hAnsi="Times New Roman"/>
          <w:sz w:val="24"/>
        </w:rPr>
        <w:t>3. tabula. Diskontēšana iespējamo risinājumu salīdzināšanā</w:t>
      </w:r>
      <w:bookmarkEnd w:id="181"/>
    </w:p>
    <w:p w14:paraId="28D88E6C" w14:textId="77777777" w:rsidR="000A6469" w:rsidRPr="004D11C9" w:rsidRDefault="000A6469" w:rsidP="004D11C9">
      <w:pPr>
        <w:jc w:val="both"/>
        <w:rPr>
          <w:rFonts w:ascii="Times New Roman" w:eastAsia="Arial" w:hAnsi="Times New Roman" w:cs="Arial"/>
          <w:b/>
          <w:bCs/>
          <w:noProof/>
          <w:sz w:val="24"/>
          <w:szCs w:val="23"/>
        </w:rPr>
      </w:pPr>
    </w:p>
    <w:tbl>
      <w:tblPr>
        <w:tblW w:w="0" w:type="auto"/>
        <w:tblCellMar>
          <w:top w:w="28" w:type="dxa"/>
          <w:left w:w="28" w:type="dxa"/>
          <w:bottom w:w="28" w:type="dxa"/>
          <w:right w:w="28" w:type="dxa"/>
        </w:tblCellMar>
        <w:tblLook w:val="01E0" w:firstRow="1" w:lastRow="1" w:firstColumn="1" w:lastColumn="1" w:noHBand="0" w:noVBand="0"/>
      </w:tblPr>
      <w:tblGrid>
        <w:gridCol w:w="772"/>
        <w:gridCol w:w="1785"/>
        <w:gridCol w:w="1785"/>
        <w:gridCol w:w="1163"/>
        <w:gridCol w:w="1787"/>
        <w:gridCol w:w="1780"/>
      </w:tblGrid>
      <w:tr w:rsidR="000A6469" w:rsidRPr="004D11C9" w14:paraId="162F8C25" w14:textId="77777777" w:rsidTr="004230C7">
        <w:tc>
          <w:tcPr>
            <w:tcW w:w="425" w:type="pct"/>
            <w:tcBorders>
              <w:top w:val="single" w:sz="18" w:space="0" w:color="F4791F"/>
              <w:left w:val="nil"/>
              <w:bottom w:val="nil"/>
              <w:right w:val="nil"/>
            </w:tcBorders>
          </w:tcPr>
          <w:p w14:paraId="16DC891F" w14:textId="77777777" w:rsidR="000A6469" w:rsidRPr="004D11C9" w:rsidRDefault="000A6469" w:rsidP="004915B3">
            <w:pPr>
              <w:pStyle w:val="TableParagraph"/>
              <w:jc w:val="center"/>
              <w:rPr>
                <w:rFonts w:ascii="Times New Roman" w:hAnsi="Times New Roman"/>
                <w:b/>
                <w:noProof/>
                <w:sz w:val="24"/>
              </w:rPr>
            </w:pPr>
            <w:r>
              <w:rPr>
                <w:rFonts w:ascii="Times New Roman" w:hAnsi="Times New Roman"/>
                <w:b/>
                <w:sz w:val="24"/>
              </w:rPr>
              <w:t>Gads</w:t>
            </w:r>
          </w:p>
        </w:tc>
        <w:tc>
          <w:tcPr>
            <w:tcW w:w="984" w:type="pct"/>
            <w:tcBorders>
              <w:top w:val="single" w:sz="18" w:space="0" w:color="F4791F"/>
              <w:left w:val="nil"/>
              <w:bottom w:val="single" w:sz="5" w:space="0" w:color="000000"/>
              <w:right w:val="nil"/>
            </w:tcBorders>
          </w:tcPr>
          <w:p w14:paraId="25853378" w14:textId="77777777" w:rsidR="000A6469" w:rsidRPr="004D11C9" w:rsidRDefault="000A6469" w:rsidP="004915B3">
            <w:pPr>
              <w:pStyle w:val="TableParagraph"/>
              <w:jc w:val="center"/>
              <w:rPr>
                <w:rFonts w:ascii="Times New Roman" w:hAnsi="Times New Roman"/>
                <w:b/>
                <w:noProof/>
                <w:sz w:val="24"/>
              </w:rPr>
            </w:pPr>
            <w:r>
              <w:rPr>
                <w:rFonts w:ascii="Times New Roman" w:hAnsi="Times New Roman"/>
                <w:b/>
                <w:sz w:val="24"/>
              </w:rPr>
              <w:t>1</w:t>
            </w:r>
          </w:p>
        </w:tc>
        <w:tc>
          <w:tcPr>
            <w:tcW w:w="984" w:type="pct"/>
            <w:tcBorders>
              <w:top w:val="single" w:sz="18" w:space="0" w:color="F4791F"/>
              <w:left w:val="nil"/>
              <w:bottom w:val="single" w:sz="5" w:space="0" w:color="000000"/>
              <w:right w:val="nil"/>
            </w:tcBorders>
          </w:tcPr>
          <w:p w14:paraId="021447D5" w14:textId="77777777" w:rsidR="000A6469" w:rsidRPr="004D11C9" w:rsidRDefault="000A6469" w:rsidP="004915B3">
            <w:pPr>
              <w:pStyle w:val="TableParagraph"/>
              <w:jc w:val="center"/>
              <w:rPr>
                <w:rFonts w:ascii="Times New Roman" w:hAnsi="Times New Roman"/>
                <w:b/>
                <w:noProof/>
                <w:sz w:val="24"/>
              </w:rPr>
            </w:pPr>
            <w:r>
              <w:rPr>
                <w:rFonts w:ascii="Times New Roman" w:hAnsi="Times New Roman"/>
                <w:b/>
                <w:sz w:val="24"/>
              </w:rPr>
              <w:t>2</w:t>
            </w:r>
          </w:p>
        </w:tc>
        <w:tc>
          <w:tcPr>
            <w:tcW w:w="641" w:type="pct"/>
            <w:tcBorders>
              <w:top w:val="single" w:sz="18" w:space="0" w:color="F4791F"/>
              <w:left w:val="nil"/>
              <w:bottom w:val="single" w:sz="5" w:space="0" w:color="000000"/>
              <w:right w:val="nil"/>
            </w:tcBorders>
          </w:tcPr>
          <w:p w14:paraId="5F14638F" w14:textId="77777777" w:rsidR="000A6469" w:rsidRPr="004D11C9" w:rsidRDefault="000A6469" w:rsidP="004915B3">
            <w:pPr>
              <w:pStyle w:val="TableParagraph"/>
              <w:jc w:val="center"/>
              <w:rPr>
                <w:rFonts w:ascii="Times New Roman" w:hAnsi="Times New Roman"/>
                <w:b/>
                <w:noProof/>
                <w:sz w:val="24"/>
              </w:rPr>
            </w:pPr>
            <w:r>
              <w:rPr>
                <w:rFonts w:ascii="Times New Roman" w:hAnsi="Times New Roman"/>
                <w:b/>
                <w:sz w:val="24"/>
              </w:rPr>
              <w:t>3</w:t>
            </w:r>
          </w:p>
        </w:tc>
        <w:tc>
          <w:tcPr>
            <w:tcW w:w="985" w:type="pct"/>
            <w:tcBorders>
              <w:top w:val="single" w:sz="18" w:space="0" w:color="F4791F"/>
              <w:left w:val="nil"/>
              <w:bottom w:val="single" w:sz="5" w:space="0" w:color="000000"/>
              <w:right w:val="nil"/>
            </w:tcBorders>
          </w:tcPr>
          <w:p w14:paraId="2C3C5319" w14:textId="77777777" w:rsidR="000A6469" w:rsidRPr="004D11C9" w:rsidRDefault="000A6469" w:rsidP="004915B3">
            <w:pPr>
              <w:pStyle w:val="TableParagraph"/>
              <w:jc w:val="center"/>
              <w:rPr>
                <w:rFonts w:ascii="Times New Roman" w:hAnsi="Times New Roman"/>
                <w:b/>
                <w:noProof/>
                <w:sz w:val="24"/>
              </w:rPr>
            </w:pPr>
            <w:r>
              <w:rPr>
                <w:rFonts w:ascii="Times New Roman" w:hAnsi="Times New Roman"/>
                <w:b/>
                <w:sz w:val="24"/>
              </w:rPr>
              <w:t>4</w:t>
            </w:r>
          </w:p>
        </w:tc>
        <w:tc>
          <w:tcPr>
            <w:tcW w:w="982" w:type="pct"/>
            <w:tcBorders>
              <w:top w:val="single" w:sz="18" w:space="0" w:color="F4791F"/>
              <w:left w:val="nil"/>
              <w:bottom w:val="single" w:sz="5" w:space="0" w:color="000000"/>
              <w:right w:val="nil"/>
            </w:tcBorders>
          </w:tcPr>
          <w:p w14:paraId="214CB103" w14:textId="77777777" w:rsidR="000A6469" w:rsidRPr="004D11C9" w:rsidRDefault="000A6469" w:rsidP="004915B3">
            <w:pPr>
              <w:pStyle w:val="TableParagraph"/>
              <w:jc w:val="center"/>
              <w:rPr>
                <w:rFonts w:ascii="Times New Roman" w:hAnsi="Times New Roman"/>
                <w:b/>
                <w:noProof/>
                <w:sz w:val="24"/>
              </w:rPr>
            </w:pPr>
            <w:r>
              <w:rPr>
                <w:rFonts w:ascii="Times New Roman" w:hAnsi="Times New Roman"/>
                <w:b/>
                <w:sz w:val="24"/>
              </w:rPr>
              <w:t>5</w:t>
            </w:r>
          </w:p>
        </w:tc>
      </w:tr>
      <w:tr w:rsidR="000A6469" w:rsidRPr="004D11C9" w14:paraId="5CACB2BE" w14:textId="77777777" w:rsidTr="004230C7">
        <w:tc>
          <w:tcPr>
            <w:tcW w:w="425" w:type="pct"/>
            <w:tcBorders>
              <w:top w:val="nil"/>
              <w:left w:val="single" w:sz="2" w:space="0" w:color="FAD3B4"/>
              <w:bottom w:val="single" w:sz="19" w:space="0" w:color="F4791F"/>
              <w:right w:val="nil"/>
            </w:tcBorders>
          </w:tcPr>
          <w:p w14:paraId="392028EE" w14:textId="77777777" w:rsidR="000A6469" w:rsidRPr="004D11C9" w:rsidRDefault="000A6469" w:rsidP="004915B3">
            <w:pPr>
              <w:jc w:val="center"/>
              <w:rPr>
                <w:rFonts w:ascii="Times New Roman" w:hAnsi="Times New Roman"/>
                <w:noProof/>
                <w:sz w:val="24"/>
              </w:rPr>
            </w:pPr>
          </w:p>
        </w:tc>
        <w:tc>
          <w:tcPr>
            <w:tcW w:w="984" w:type="pct"/>
            <w:tcBorders>
              <w:top w:val="single" w:sz="5" w:space="0" w:color="000000"/>
              <w:left w:val="nil"/>
              <w:bottom w:val="single" w:sz="19" w:space="0" w:color="F4791F"/>
              <w:right w:val="nil"/>
            </w:tcBorders>
          </w:tcPr>
          <w:p w14:paraId="21CF02DC" w14:textId="77777777" w:rsidR="000A6469" w:rsidRPr="004D11C9" w:rsidRDefault="000A6469" w:rsidP="004915B3">
            <w:pPr>
              <w:pStyle w:val="TableParagraph"/>
              <w:jc w:val="center"/>
              <w:rPr>
                <w:rFonts w:ascii="Times New Roman" w:hAnsi="Times New Roman"/>
                <w:b/>
                <w:noProof/>
                <w:sz w:val="24"/>
              </w:rPr>
            </w:pPr>
            <w:r>
              <w:rPr>
                <w:rFonts w:ascii="Times New Roman" w:hAnsi="Times New Roman"/>
                <w:b/>
                <w:sz w:val="24"/>
              </w:rPr>
              <w:t>1. risinājums (ieguvumi un izmaksas)</w:t>
            </w:r>
          </w:p>
          <w:p w14:paraId="1DAD87F1" w14:textId="77777777" w:rsidR="000A6469" w:rsidRPr="004D11C9" w:rsidRDefault="000A6469" w:rsidP="004915B3">
            <w:pPr>
              <w:pStyle w:val="TableParagraph"/>
              <w:jc w:val="center"/>
              <w:rPr>
                <w:rFonts w:ascii="Times New Roman" w:hAnsi="Times New Roman"/>
                <w:b/>
                <w:noProof/>
                <w:sz w:val="24"/>
              </w:rPr>
            </w:pPr>
            <w:r>
              <w:rPr>
                <w:rFonts w:ascii="Times New Roman" w:hAnsi="Times New Roman"/>
                <w:b/>
                <w:sz w:val="24"/>
              </w:rPr>
              <w:t>(miljonos ASV dolāru)</w:t>
            </w:r>
          </w:p>
        </w:tc>
        <w:tc>
          <w:tcPr>
            <w:tcW w:w="984" w:type="pct"/>
            <w:tcBorders>
              <w:top w:val="single" w:sz="5" w:space="0" w:color="000000"/>
              <w:left w:val="nil"/>
              <w:bottom w:val="single" w:sz="19" w:space="0" w:color="F4791F"/>
              <w:right w:val="nil"/>
            </w:tcBorders>
          </w:tcPr>
          <w:p w14:paraId="2544F01C" w14:textId="77777777" w:rsidR="000A6469" w:rsidRPr="004D11C9" w:rsidRDefault="000A6469" w:rsidP="004915B3">
            <w:pPr>
              <w:pStyle w:val="TableParagraph"/>
              <w:jc w:val="center"/>
              <w:rPr>
                <w:rFonts w:ascii="Times New Roman" w:hAnsi="Times New Roman"/>
                <w:b/>
                <w:noProof/>
                <w:sz w:val="24"/>
              </w:rPr>
            </w:pPr>
            <w:r>
              <w:rPr>
                <w:rFonts w:ascii="Times New Roman" w:hAnsi="Times New Roman"/>
                <w:b/>
                <w:sz w:val="24"/>
              </w:rPr>
              <w:t>2. risinājums</w:t>
            </w:r>
          </w:p>
          <w:p w14:paraId="60BC278E" w14:textId="77777777" w:rsidR="000A6469" w:rsidRPr="004D11C9" w:rsidRDefault="000A6469" w:rsidP="004915B3">
            <w:pPr>
              <w:pStyle w:val="TableParagraph"/>
              <w:jc w:val="center"/>
              <w:rPr>
                <w:rFonts w:ascii="Times New Roman" w:hAnsi="Times New Roman"/>
                <w:b/>
                <w:noProof/>
                <w:sz w:val="24"/>
              </w:rPr>
            </w:pPr>
            <w:r>
              <w:rPr>
                <w:rFonts w:ascii="Times New Roman" w:hAnsi="Times New Roman"/>
                <w:b/>
                <w:sz w:val="24"/>
              </w:rPr>
              <w:t>(ieguvumi un izmaksas)</w:t>
            </w:r>
          </w:p>
          <w:p w14:paraId="2D465412" w14:textId="77777777" w:rsidR="000A6469" w:rsidRPr="004D11C9" w:rsidRDefault="000A6469" w:rsidP="004915B3">
            <w:pPr>
              <w:pStyle w:val="TableParagraph"/>
              <w:jc w:val="center"/>
              <w:rPr>
                <w:rFonts w:ascii="Times New Roman" w:hAnsi="Times New Roman"/>
                <w:b/>
                <w:noProof/>
                <w:sz w:val="24"/>
              </w:rPr>
            </w:pPr>
            <w:r>
              <w:rPr>
                <w:rFonts w:ascii="Times New Roman" w:hAnsi="Times New Roman"/>
                <w:b/>
                <w:sz w:val="24"/>
              </w:rPr>
              <w:t>(miljonos ASV dolāru)</w:t>
            </w:r>
          </w:p>
        </w:tc>
        <w:tc>
          <w:tcPr>
            <w:tcW w:w="641" w:type="pct"/>
            <w:tcBorders>
              <w:top w:val="single" w:sz="5" w:space="0" w:color="000000"/>
              <w:left w:val="nil"/>
              <w:bottom w:val="single" w:sz="19" w:space="0" w:color="F4791F"/>
              <w:right w:val="nil"/>
            </w:tcBorders>
          </w:tcPr>
          <w:p w14:paraId="7E13F613" w14:textId="77777777" w:rsidR="000A6469" w:rsidRPr="004D11C9" w:rsidRDefault="000A6469" w:rsidP="004915B3">
            <w:pPr>
              <w:pStyle w:val="TableParagraph"/>
              <w:jc w:val="center"/>
              <w:rPr>
                <w:rFonts w:ascii="Times New Roman" w:hAnsi="Times New Roman"/>
                <w:b/>
                <w:noProof/>
                <w:sz w:val="24"/>
              </w:rPr>
            </w:pPr>
            <w:r>
              <w:rPr>
                <w:rFonts w:ascii="Times New Roman" w:hAnsi="Times New Roman"/>
                <w:b/>
                <w:sz w:val="24"/>
              </w:rPr>
              <w:t>5 %</w:t>
            </w:r>
          </w:p>
          <w:p w14:paraId="5ED4384D" w14:textId="77777777" w:rsidR="000A6469" w:rsidRPr="004D11C9" w:rsidRDefault="000A6469" w:rsidP="004915B3">
            <w:pPr>
              <w:pStyle w:val="TableParagraph"/>
              <w:jc w:val="center"/>
              <w:rPr>
                <w:rFonts w:ascii="Times New Roman" w:hAnsi="Times New Roman"/>
                <w:b/>
                <w:noProof/>
                <w:sz w:val="24"/>
              </w:rPr>
            </w:pPr>
            <w:r>
              <w:rPr>
                <w:rFonts w:ascii="Times New Roman" w:hAnsi="Times New Roman"/>
                <w:b/>
                <w:sz w:val="24"/>
              </w:rPr>
              <w:t>Diskonta koeficients</w:t>
            </w:r>
          </w:p>
        </w:tc>
        <w:tc>
          <w:tcPr>
            <w:tcW w:w="985" w:type="pct"/>
            <w:tcBorders>
              <w:top w:val="single" w:sz="5" w:space="0" w:color="000000"/>
              <w:left w:val="nil"/>
              <w:bottom w:val="single" w:sz="19" w:space="0" w:color="F4791F"/>
              <w:right w:val="nil"/>
            </w:tcBorders>
          </w:tcPr>
          <w:p w14:paraId="0E80D67D" w14:textId="77777777" w:rsidR="000A6469" w:rsidRPr="004D11C9" w:rsidRDefault="000A6469" w:rsidP="004915B3">
            <w:pPr>
              <w:pStyle w:val="TableParagraph"/>
              <w:jc w:val="center"/>
              <w:rPr>
                <w:rFonts w:ascii="Times New Roman" w:hAnsi="Times New Roman"/>
                <w:b/>
                <w:noProof/>
                <w:sz w:val="24"/>
              </w:rPr>
            </w:pPr>
            <w:r>
              <w:rPr>
                <w:rFonts w:ascii="Times New Roman" w:hAnsi="Times New Roman"/>
                <w:b/>
                <w:sz w:val="24"/>
              </w:rPr>
              <w:t>1. risinājums (ieguvumi un izmaksas)</w:t>
            </w:r>
          </w:p>
          <w:p w14:paraId="7FB13E31" w14:textId="77777777" w:rsidR="000A6469" w:rsidRPr="004D11C9" w:rsidRDefault="000A6469" w:rsidP="004915B3">
            <w:pPr>
              <w:pStyle w:val="TableParagraph"/>
              <w:jc w:val="center"/>
              <w:rPr>
                <w:rFonts w:ascii="Times New Roman" w:hAnsi="Times New Roman"/>
                <w:b/>
                <w:noProof/>
                <w:sz w:val="24"/>
              </w:rPr>
            </w:pPr>
            <w:r>
              <w:rPr>
                <w:rFonts w:ascii="Times New Roman" w:hAnsi="Times New Roman"/>
                <w:b/>
                <w:sz w:val="24"/>
              </w:rPr>
              <w:t>(miljonos ASV dolāru)</w:t>
            </w:r>
          </w:p>
        </w:tc>
        <w:tc>
          <w:tcPr>
            <w:tcW w:w="982" w:type="pct"/>
            <w:tcBorders>
              <w:top w:val="single" w:sz="5" w:space="0" w:color="000000"/>
              <w:left w:val="nil"/>
              <w:bottom w:val="single" w:sz="19" w:space="0" w:color="F4791F"/>
              <w:right w:val="single" w:sz="2" w:space="0" w:color="FAD3B4"/>
            </w:tcBorders>
          </w:tcPr>
          <w:p w14:paraId="4DABD443" w14:textId="77777777" w:rsidR="000A6469" w:rsidRPr="004D11C9" w:rsidRDefault="000A6469" w:rsidP="004915B3">
            <w:pPr>
              <w:pStyle w:val="TableParagraph"/>
              <w:jc w:val="center"/>
              <w:rPr>
                <w:rFonts w:ascii="Times New Roman" w:hAnsi="Times New Roman"/>
                <w:b/>
                <w:noProof/>
                <w:sz w:val="24"/>
              </w:rPr>
            </w:pPr>
            <w:r>
              <w:rPr>
                <w:rFonts w:ascii="Times New Roman" w:hAnsi="Times New Roman"/>
                <w:b/>
                <w:sz w:val="24"/>
              </w:rPr>
              <w:t>2. risinājums (ieguvumi un izmaksas)</w:t>
            </w:r>
          </w:p>
          <w:p w14:paraId="53FAEEEC" w14:textId="77777777" w:rsidR="000A6469" w:rsidRPr="004D11C9" w:rsidRDefault="000A6469" w:rsidP="004915B3">
            <w:pPr>
              <w:pStyle w:val="TableParagraph"/>
              <w:jc w:val="center"/>
              <w:rPr>
                <w:rFonts w:ascii="Times New Roman" w:hAnsi="Times New Roman"/>
                <w:b/>
                <w:noProof/>
                <w:sz w:val="24"/>
              </w:rPr>
            </w:pPr>
            <w:r>
              <w:rPr>
                <w:rFonts w:ascii="Times New Roman" w:hAnsi="Times New Roman"/>
                <w:b/>
                <w:sz w:val="24"/>
              </w:rPr>
              <w:t>(miljonos ASV dolāru)</w:t>
            </w:r>
          </w:p>
        </w:tc>
      </w:tr>
      <w:tr w:rsidR="000A6469" w:rsidRPr="004D11C9" w14:paraId="4D646328" w14:textId="77777777" w:rsidTr="004230C7">
        <w:tc>
          <w:tcPr>
            <w:tcW w:w="425" w:type="pct"/>
            <w:tcBorders>
              <w:top w:val="single" w:sz="19" w:space="0" w:color="F4791F"/>
              <w:left w:val="single" w:sz="2" w:space="0" w:color="FAD3B4"/>
              <w:bottom w:val="nil"/>
              <w:right w:val="nil"/>
            </w:tcBorders>
            <w:shd w:val="clear" w:color="auto" w:fill="FAD3B4"/>
          </w:tcPr>
          <w:p w14:paraId="68520926" w14:textId="77777777" w:rsidR="000A6469" w:rsidRPr="004D11C9" w:rsidRDefault="000A6469" w:rsidP="004915B3">
            <w:pPr>
              <w:pStyle w:val="TableParagraph"/>
              <w:jc w:val="center"/>
              <w:rPr>
                <w:rFonts w:ascii="Times New Roman" w:hAnsi="Times New Roman"/>
                <w:noProof/>
                <w:sz w:val="24"/>
              </w:rPr>
            </w:pPr>
            <w:r>
              <w:rPr>
                <w:rFonts w:ascii="Times New Roman" w:hAnsi="Times New Roman"/>
                <w:sz w:val="24"/>
              </w:rPr>
              <w:t>0</w:t>
            </w:r>
          </w:p>
        </w:tc>
        <w:tc>
          <w:tcPr>
            <w:tcW w:w="984" w:type="pct"/>
            <w:tcBorders>
              <w:top w:val="single" w:sz="19" w:space="0" w:color="F4791F"/>
              <w:left w:val="nil"/>
              <w:bottom w:val="nil"/>
              <w:right w:val="nil"/>
            </w:tcBorders>
            <w:shd w:val="clear" w:color="auto" w:fill="FAD3B4"/>
          </w:tcPr>
          <w:p w14:paraId="2E35E6C0" w14:textId="77777777" w:rsidR="000A6469" w:rsidRPr="004D11C9" w:rsidRDefault="000A6469" w:rsidP="004915B3">
            <w:pPr>
              <w:pStyle w:val="TableParagraph"/>
              <w:jc w:val="center"/>
              <w:rPr>
                <w:rFonts w:ascii="Times New Roman" w:hAnsi="Times New Roman"/>
                <w:noProof/>
                <w:sz w:val="24"/>
              </w:rPr>
            </w:pPr>
            <w:r>
              <w:rPr>
                <w:rFonts w:ascii="Times New Roman" w:hAnsi="Times New Roman"/>
                <w:sz w:val="24"/>
              </w:rPr>
              <w:t>100</w:t>
            </w:r>
          </w:p>
        </w:tc>
        <w:tc>
          <w:tcPr>
            <w:tcW w:w="984" w:type="pct"/>
            <w:tcBorders>
              <w:top w:val="single" w:sz="19" w:space="0" w:color="F4791F"/>
              <w:left w:val="nil"/>
              <w:bottom w:val="nil"/>
              <w:right w:val="nil"/>
            </w:tcBorders>
            <w:shd w:val="clear" w:color="auto" w:fill="FAD3B4"/>
          </w:tcPr>
          <w:p w14:paraId="64E21576" w14:textId="77777777" w:rsidR="000A6469" w:rsidRPr="004D11C9" w:rsidRDefault="000A6469" w:rsidP="004915B3">
            <w:pPr>
              <w:pStyle w:val="TableParagraph"/>
              <w:jc w:val="center"/>
              <w:rPr>
                <w:rFonts w:ascii="Times New Roman" w:hAnsi="Times New Roman"/>
                <w:noProof/>
                <w:sz w:val="24"/>
              </w:rPr>
            </w:pPr>
            <w:r>
              <w:rPr>
                <w:rFonts w:ascii="Times New Roman" w:hAnsi="Times New Roman"/>
                <w:sz w:val="24"/>
              </w:rPr>
              <w:t>1200</w:t>
            </w:r>
          </w:p>
        </w:tc>
        <w:tc>
          <w:tcPr>
            <w:tcW w:w="641" w:type="pct"/>
            <w:tcBorders>
              <w:top w:val="single" w:sz="19" w:space="0" w:color="F4791F"/>
              <w:left w:val="nil"/>
              <w:bottom w:val="nil"/>
              <w:right w:val="nil"/>
            </w:tcBorders>
            <w:shd w:val="clear" w:color="auto" w:fill="FAD3B4"/>
          </w:tcPr>
          <w:p w14:paraId="505E352B" w14:textId="77777777" w:rsidR="000A6469" w:rsidRPr="004D11C9" w:rsidRDefault="000A6469" w:rsidP="004915B3">
            <w:pPr>
              <w:pStyle w:val="TableParagraph"/>
              <w:jc w:val="center"/>
              <w:rPr>
                <w:rFonts w:ascii="Times New Roman" w:hAnsi="Times New Roman"/>
                <w:noProof/>
                <w:sz w:val="24"/>
              </w:rPr>
            </w:pPr>
            <w:r>
              <w:rPr>
                <w:rFonts w:ascii="Times New Roman" w:hAnsi="Times New Roman"/>
                <w:sz w:val="24"/>
              </w:rPr>
              <w:t>1</w:t>
            </w:r>
          </w:p>
        </w:tc>
        <w:tc>
          <w:tcPr>
            <w:tcW w:w="985" w:type="pct"/>
            <w:tcBorders>
              <w:top w:val="single" w:sz="19" w:space="0" w:color="F4791F"/>
              <w:left w:val="nil"/>
              <w:bottom w:val="nil"/>
              <w:right w:val="nil"/>
            </w:tcBorders>
            <w:shd w:val="clear" w:color="auto" w:fill="FAD3B4"/>
          </w:tcPr>
          <w:p w14:paraId="492AA2A3" w14:textId="77777777" w:rsidR="000A6469" w:rsidRPr="004D11C9" w:rsidRDefault="000A6469" w:rsidP="004915B3">
            <w:pPr>
              <w:pStyle w:val="TableParagraph"/>
              <w:jc w:val="center"/>
              <w:rPr>
                <w:rFonts w:ascii="Times New Roman" w:hAnsi="Times New Roman"/>
                <w:noProof/>
                <w:sz w:val="24"/>
              </w:rPr>
            </w:pPr>
            <w:r>
              <w:rPr>
                <w:rFonts w:ascii="Times New Roman" w:hAnsi="Times New Roman"/>
                <w:sz w:val="24"/>
              </w:rPr>
              <w:t>100</w:t>
            </w:r>
          </w:p>
        </w:tc>
        <w:tc>
          <w:tcPr>
            <w:tcW w:w="982" w:type="pct"/>
            <w:tcBorders>
              <w:top w:val="single" w:sz="19" w:space="0" w:color="F4791F"/>
              <w:left w:val="nil"/>
              <w:bottom w:val="nil"/>
              <w:right w:val="single" w:sz="2" w:space="0" w:color="FAD3B4"/>
            </w:tcBorders>
            <w:shd w:val="clear" w:color="auto" w:fill="FAD3B4"/>
          </w:tcPr>
          <w:p w14:paraId="03AE3643" w14:textId="77777777" w:rsidR="000A6469" w:rsidRPr="004D11C9" w:rsidRDefault="000A6469" w:rsidP="004915B3">
            <w:pPr>
              <w:pStyle w:val="TableParagraph"/>
              <w:jc w:val="center"/>
              <w:rPr>
                <w:rFonts w:ascii="Times New Roman" w:hAnsi="Times New Roman"/>
                <w:noProof/>
                <w:sz w:val="24"/>
              </w:rPr>
            </w:pPr>
            <w:r>
              <w:rPr>
                <w:rFonts w:ascii="Times New Roman" w:hAnsi="Times New Roman"/>
                <w:sz w:val="24"/>
              </w:rPr>
              <w:t>1200</w:t>
            </w:r>
          </w:p>
        </w:tc>
      </w:tr>
      <w:tr w:rsidR="000A6469" w:rsidRPr="004D11C9" w14:paraId="3DE07150" w14:textId="77777777" w:rsidTr="004230C7">
        <w:tc>
          <w:tcPr>
            <w:tcW w:w="425" w:type="pct"/>
            <w:tcBorders>
              <w:top w:val="nil"/>
              <w:left w:val="nil"/>
              <w:bottom w:val="nil"/>
              <w:right w:val="nil"/>
            </w:tcBorders>
          </w:tcPr>
          <w:p w14:paraId="1F3CE5ED" w14:textId="77777777" w:rsidR="000A6469" w:rsidRPr="004D11C9" w:rsidRDefault="000A6469" w:rsidP="004915B3">
            <w:pPr>
              <w:pStyle w:val="TableParagraph"/>
              <w:jc w:val="center"/>
              <w:rPr>
                <w:rFonts w:ascii="Times New Roman" w:hAnsi="Times New Roman"/>
                <w:noProof/>
                <w:sz w:val="24"/>
              </w:rPr>
            </w:pPr>
            <w:r>
              <w:rPr>
                <w:rFonts w:ascii="Times New Roman" w:hAnsi="Times New Roman"/>
                <w:sz w:val="24"/>
              </w:rPr>
              <w:t>1</w:t>
            </w:r>
          </w:p>
        </w:tc>
        <w:tc>
          <w:tcPr>
            <w:tcW w:w="984" w:type="pct"/>
            <w:tcBorders>
              <w:top w:val="nil"/>
              <w:left w:val="nil"/>
              <w:bottom w:val="nil"/>
              <w:right w:val="nil"/>
            </w:tcBorders>
          </w:tcPr>
          <w:p w14:paraId="7E4D7A41" w14:textId="77777777" w:rsidR="000A6469" w:rsidRPr="004D11C9" w:rsidRDefault="000A6469" w:rsidP="004915B3">
            <w:pPr>
              <w:pStyle w:val="TableParagraph"/>
              <w:jc w:val="center"/>
              <w:rPr>
                <w:rFonts w:ascii="Times New Roman" w:hAnsi="Times New Roman"/>
                <w:noProof/>
                <w:sz w:val="24"/>
              </w:rPr>
            </w:pPr>
            <w:r>
              <w:rPr>
                <w:rFonts w:ascii="Times New Roman" w:hAnsi="Times New Roman"/>
                <w:sz w:val="24"/>
              </w:rPr>
              <w:t>500</w:t>
            </w:r>
          </w:p>
        </w:tc>
        <w:tc>
          <w:tcPr>
            <w:tcW w:w="984" w:type="pct"/>
            <w:tcBorders>
              <w:top w:val="nil"/>
              <w:left w:val="nil"/>
              <w:bottom w:val="nil"/>
              <w:right w:val="nil"/>
            </w:tcBorders>
          </w:tcPr>
          <w:p w14:paraId="7D58028D" w14:textId="77777777" w:rsidR="000A6469" w:rsidRPr="004D11C9" w:rsidRDefault="000A6469" w:rsidP="004915B3">
            <w:pPr>
              <w:pStyle w:val="TableParagraph"/>
              <w:jc w:val="center"/>
              <w:rPr>
                <w:rFonts w:ascii="Times New Roman" w:hAnsi="Times New Roman"/>
                <w:noProof/>
                <w:sz w:val="24"/>
              </w:rPr>
            </w:pPr>
            <w:r>
              <w:rPr>
                <w:rFonts w:ascii="Times New Roman" w:hAnsi="Times New Roman"/>
                <w:sz w:val="24"/>
              </w:rPr>
              <w:t>1100</w:t>
            </w:r>
          </w:p>
        </w:tc>
        <w:tc>
          <w:tcPr>
            <w:tcW w:w="641" w:type="pct"/>
            <w:tcBorders>
              <w:top w:val="nil"/>
              <w:left w:val="nil"/>
              <w:bottom w:val="nil"/>
              <w:right w:val="nil"/>
            </w:tcBorders>
          </w:tcPr>
          <w:p w14:paraId="3466CDA4" w14:textId="77777777" w:rsidR="000A6469" w:rsidRPr="004D11C9" w:rsidRDefault="000A6469" w:rsidP="004915B3">
            <w:pPr>
              <w:pStyle w:val="TableParagraph"/>
              <w:jc w:val="center"/>
              <w:rPr>
                <w:rFonts w:ascii="Times New Roman" w:hAnsi="Times New Roman"/>
                <w:noProof/>
                <w:sz w:val="24"/>
              </w:rPr>
            </w:pPr>
            <w:r>
              <w:rPr>
                <w:rFonts w:ascii="Times New Roman" w:hAnsi="Times New Roman"/>
                <w:sz w:val="24"/>
              </w:rPr>
              <w:t>0,952</w:t>
            </w:r>
          </w:p>
        </w:tc>
        <w:tc>
          <w:tcPr>
            <w:tcW w:w="985" w:type="pct"/>
            <w:tcBorders>
              <w:top w:val="nil"/>
              <w:left w:val="nil"/>
              <w:bottom w:val="nil"/>
              <w:right w:val="nil"/>
            </w:tcBorders>
          </w:tcPr>
          <w:p w14:paraId="66EBCE23" w14:textId="77777777" w:rsidR="000A6469" w:rsidRPr="004D11C9" w:rsidRDefault="000A6469" w:rsidP="004915B3">
            <w:pPr>
              <w:pStyle w:val="TableParagraph"/>
              <w:jc w:val="center"/>
              <w:rPr>
                <w:rFonts w:ascii="Times New Roman" w:hAnsi="Times New Roman"/>
                <w:noProof/>
                <w:sz w:val="24"/>
              </w:rPr>
            </w:pPr>
            <w:r>
              <w:rPr>
                <w:rFonts w:ascii="Times New Roman" w:hAnsi="Times New Roman"/>
                <w:sz w:val="24"/>
              </w:rPr>
              <w:t>476</w:t>
            </w:r>
          </w:p>
        </w:tc>
        <w:tc>
          <w:tcPr>
            <w:tcW w:w="982" w:type="pct"/>
            <w:tcBorders>
              <w:top w:val="nil"/>
              <w:left w:val="nil"/>
              <w:bottom w:val="nil"/>
              <w:right w:val="nil"/>
            </w:tcBorders>
          </w:tcPr>
          <w:p w14:paraId="7F501271" w14:textId="77777777" w:rsidR="000A6469" w:rsidRPr="004D11C9" w:rsidRDefault="000A6469" w:rsidP="004915B3">
            <w:pPr>
              <w:pStyle w:val="TableParagraph"/>
              <w:jc w:val="center"/>
              <w:rPr>
                <w:rFonts w:ascii="Times New Roman" w:hAnsi="Times New Roman"/>
                <w:noProof/>
                <w:sz w:val="24"/>
              </w:rPr>
            </w:pPr>
            <w:r>
              <w:rPr>
                <w:rFonts w:ascii="Times New Roman" w:hAnsi="Times New Roman"/>
                <w:sz w:val="24"/>
              </w:rPr>
              <w:t>1047</w:t>
            </w:r>
          </w:p>
        </w:tc>
      </w:tr>
      <w:tr w:rsidR="000A6469" w:rsidRPr="004D11C9" w14:paraId="7F6928F9" w14:textId="77777777" w:rsidTr="004230C7">
        <w:tc>
          <w:tcPr>
            <w:tcW w:w="425" w:type="pct"/>
            <w:tcBorders>
              <w:top w:val="nil"/>
              <w:left w:val="nil"/>
              <w:bottom w:val="nil"/>
              <w:right w:val="nil"/>
            </w:tcBorders>
            <w:shd w:val="clear" w:color="auto" w:fill="FAD3B4"/>
          </w:tcPr>
          <w:p w14:paraId="6667D211" w14:textId="77777777" w:rsidR="000A6469" w:rsidRPr="004D11C9" w:rsidRDefault="000A6469" w:rsidP="004915B3">
            <w:pPr>
              <w:pStyle w:val="TableParagraph"/>
              <w:jc w:val="center"/>
              <w:rPr>
                <w:rFonts w:ascii="Times New Roman" w:hAnsi="Times New Roman"/>
                <w:noProof/>
                <w:sz w:val="24"/>
              </w:rPr>
            </w:pPr>
            <w:r>
              <w:rPr>
                <w:rFonts w:ascii="Times New Roman" w:hAnsi="Times New Roman"/>
                <w:sz w:val="24"/>
              </w:rPr>
              <w:t>2</w:t>
            </w:r>
          </w:p>
        </w:tc>
        <w:tc>
          <w:tcPr>
            <w:tcW w:w="984" w:type="pct"/>
            <w:tcBorders>
              <w:top w:val="nil"/>
              <w:left w:val="nil"/>
              <w:bottom w:val="nil"/>
              <w:right w:val="nil"/>
            </w:tcBorders>
            <w:shd w:val="clear" w:color="auto" w:fill="FAD3B4"/>
          </w:tcPr>
          <w:p w14:paraId="37F2C55F" w14:textId="77777777" w:rsidR="000A6469" w:rsidRPr="004D11C9" w:rsidRDefault="000A6469" w:rsidP="004915B3">
            <w:pPr>
              <w:pStyle w:val="TableParagraph"/>
              <w:jc w:val="center"/>
              <w:rPr>
                <w:rFonts w:ascii="Times New Roman" w:hAnsi="Times New Roman"/>
                <w:noProof/>
                <w:sz w:val="24"/>
              </w:rPr>
            </w:pPr>
            <w:r>
              <w:rPr>
                <w:rFonts w:ascii="Times New Roman" w:hAnsi="Times New Roman"/>
                <w:sz w:val="24"/>
              </w:rPr>
              <w:t>750</w:t>
            </w:r>
          </w:p>
        </w:tc>
        <w:tc>
          <w:tcPr>
            <w:tcW w:w="984" w:type="pct"/>
            <w:tcBorders>
              <w:top w:val="nil"/>
              <w:left w:val="nil"/>
              <w:bottom w:val="nil"/>
              <w:right w:val="nil"/>
            </w:tcBorders>
            <w:shd w:val="clear" w:color="auto" w:fill="FAD3B4"/>
          </w:tcPr>
          <w:p w14:paraId="778A9644" w14:textId="77777777" w:rsidR="000A6469" w:rsidRPr="004D11C9" w:rsidRDefault="000A6469" w:rsidP="004915B3">
            <w:pPr>
              <w:pStyle w:val="TableParagraph"/>
              <w:jc w:val="center"/>
              <w:rPr>
                <w:rFonts w:ascii="Times New Roman" w:hAnsi="Times New Roman"/>
                <w:noProof/>
                <w:sz w:val="24"/>
              </w:rPr>
            </w:pPr>
            <w:r>
              <w:rPr>
                <w:rFonts w:ascii="Times New Roman" w:hAnsi="Times New Roman"/>
                <w:sz w:val="24"/>
              </w:rPr>
              <w:t>1000</w:t>
            </w:r>
          </w:p>
        </w:tc>
        <w:tc>
          <w:tcPr>
            <w:tcW w:w="641" w:type="pct"/>
            <w:tcBorders>
              <w:top w:val="nil"/>
              <w:left w:val="nil"/>
              <w:bottom w:val="nil"/>
              <w:right w:val="nil"/>
            </w:tcBorders>
            <w:shd w:val="clear" w:color="auto" w:fill="FAD3B4"/>
          </w:tcPr>
          <w:p w14:paraId="1AB396DB" w14:textId="77777777" w:rsidR="000A6469" w:rsidRPr="004D11C9" w:rsidRDefault="000A6469" w:rsidP="004915B3">
            <w:pPr>
              <w:pStyle w:val="TableParagraph"/>
              <w:jc w:val="center"/>
              <w:rPr>
                <w:rFonts w:ascii="Times New Roman" w:hAnsi="Times New Roman"/>
                <w:noProof/>
                <w:sz w:val="24"/>
              </w:rPr>
            </w:pPr>
            <w:r>
              <w:rPr>
                <w:rFonts w:ascii="Times New Roman" w:hAnsi="Times New Roman"/>
                <w:sz w:val="24"/>
              </w:rPr>
              <w:t>0,907</w:t>
            </w:r>
          </w:p>
        </w:tc>
        <w:tc>
          <w:tcPr>
            <w:tcW w:w="985" w:type="pct"/>
            <w:tcBorders>
              <w:top w:val="nil"/>
              <w:left w:val="nil"/>
              <w:bottom w:val="nil"/>
              <w:right w:val="nil"/>
            </w:tcBorders>
            <w:shd w:val="clear" w:color="auto" w:fill="FAD3B4"/>
          </w:tcPr>
          <w:p w14:paraId="76AF159D" w14:textId="77777777" w:rsidR="000A6469" w:rsidRPr="004D11C9" w:rsidRDefault="000A6469" w:rsidP="004915B3">
            <w:pPr>
              <w:pStyle w:val="TableParagraph"/>
              <w:jc w:val="center"/>
              <w:rPr>
                <w:rFonts w:ascii="Times New Roman" w:hAnsi="Times New Roman"/>
                <w:noProof/>
                <w:sz w:val="24"/>
              </w:rPr>
            </w:pPr>
            <w:r>
              <w:rPr>
                <w:rFonts w:ascii="Times New Roman" w:hAnsi="Times New Roman"/>
                <w:sz w:val="24"/>
              </w:rPr>
              <w:t>680</w:t>
            </w:r>
          </w:p>
        </w:tc>
        <w:tc>
          <w:tcPr>
            <w:tcW w:w="982" w:type="pct"/>
            <w:tcBorders>
              <w:top w:val="nil"/>
              <w:left w:val="nil"/>
              <w:bottom w:val="nil"/>
              <w:right w:val="nil"/>
            </w:tcBorders>
            <w:shd w:val="clear" w:color="auto" w:fill="FAD3B4"/>
          </w:tcPr>
          <w:p w14:paraId="35DD21DF" w14:textId="77777777" w:rsidR="000A6469" w:rsidRPr="004D11C9" w:rsidRDefault="000A6469" w:rsidP="004915B3">
            <w:pPr>
              <w:pStyle w:val="TableParagraph"/>
              <w:jc w:val="center"/>
              <w:rPr>
                <w:rFonts w:ascii="Times New Roman" w:hAnsi="Times New Roman"/>
                <w:noProof/>
                <w:sz w:val="24"/>
              </w:rPr>
            </w:pPr>
            <w:r>
              <w:rPr>
                <w:rFonts w:ascii="Times New Roman" w:hAnsi="Times New Roman"/>
                <w:sz w:val="24"/>
              </w:rPr>
              <w:t>907</w:t>
            </w:r>
          </w:p>
        </w:tc>
      </w:tr>
      <w:tr w:rsidR="000A6469" w:rsidRPr="004D11C9" w14:paraId="51994490" w14:textId="77777777" w:rsidTr="004230C7">
        <w:tc>
          <w:tcPr>
            <w:tcW w:w="425" w:type="pct"/>
            <w:tcBorders>
              <w:top w:val="nil"/>
              <w:left w:val="nil"/>
              <w:bottom w:val="nil"/>
              <w:right w:val="nil"/>
            </w:tcBorders>
          </w:tcPr>
          <w:p w14:paraId="0055C4CF" w14:textId="77777777" w:rsidR="000A6469" w:rsidRPr="004D11C9" w:rsidRDefault="000A6469" w:rsidP="004915B3">
            <w:pPr>
              <w:pStyle w:val="TableParagraph"/>
              <w:jc w:val="center"/>
              <w:rPr>
                <w:rFonts w:ascii="Times New Roman" w:hAnsi="Times New Roman"/>
                <w:noProof/>
                <w:sz w:val="24"/>
              </w:rPr>
            </w:pPr>
            <w:r>
              <w:rPr>
                <w:rFonts w:ascii="Times New Roman" w:hAnsi="Times New Roman"/>
                <w:sz w:val="24"/>
              </w:rPr>
              <w:lastRenderedPageBreak/>
              <w:t>3</w:t>
            </w:r>
          </w:p>
        </w:tc>
        <w:tc>
          <w:tcPr>
            <w:tcW w:w="984" w:type="pct"/>
            <w:tcBorders>
              <w:top w:val="nil"/>
              <w:left w:val="nil"/>
              <w:bottom w:val="nil"/>
              <w:right w:val="nil"/>
            </w:tcBorders>
          </w:tcPr>
          <w:p w14:paraId="756BDF7C" w14:textId="77777777" w:rsidR="000A6469" w:rsidRPr="004D11C9" w:rsidRDefault="000A6469" w:rsidP="004915B3">
            <w:pPr>
              <w:pStyle w:val="TableParagraph"/>
              <w:jc w:val="center"/>
              <w:rPr>
                <w:rFonts w:ascii="Times New Roman" w:hAnsi="Times New Roman"/>
                <w:noProof/>
                <w:sz w:val="24"/>
              </w:rPr>
            </w:pPr>
            <w:r>
              <w:rPr>
                <w:rFonts w:ascii="Times New Roman" w:hAnsi="Times New Roman"/>
                <w:sz w:val="24"/>
              </w:rPr>
              <w:t>1000</w:t>
            </w:r>
          </w:p>
        </w:tc>
        <w:tc>
          <w:tcPr>
            <w:tcW w:w="984" w:type="pct"/>
            <w:tcBorders>
              <w:top w:val="nil"/>
              <w:left w:val="nil"/>
              <w:bottom w:val="nil"/>
              <w:right w:val="nil"/>
            </w:tcBorders>
          </w:tcPr>
          <w:p w14:paraId="46699148" w14:textId="77777777" w:rsidR="000A6469" w:rsidRPr="004D11C9" w:rsidRDefault="000A6469" w:rsidP="004915B3">
            <w:pPr>
              <w:pStyle w:val="TableParagraph"/>
              <w:jc w:val="center"/>
              <w:rPr>
                <w:rFonts w:ascii="Times New Roman" w:hAnsi="Times New Roman"/>
                <w:noProof/>
                <w:sz w:val="24"/>
              </w:rPr>
            </w:pPr>
            <w:r>
              <w:rPr>
                <w:rFonts w:ascii="Times New Roman" w:hAnsi="Times New Roman"/>
                <w:sz w:val="24"/>
              </w:rPr>
              <w:t>750</w:t>
            </w:r>
          </w:p>
        </w:tc>
        <w:tc>
          <w:tcPr>
            <w:tcW w:w="641" w:type="pct"/>
            <w:tcBorders>
              <w:top w:val="nil"/>
              <w:left w:val="nil"/>
              <w:bottom w:val="nil"/>
              <w:right w:val="nil"/>
            </w:tcBorders>
          </w:tcPr>
          <w:p w14:paraId="5AF75B56" w14:textId="77777777" w:rsidR="000A6469" w:rsidRPr="004D11C9" w:rsidRDefault="000A6469" w:rsidP="004915B3">
            <w:pPr>
              <w:pStyle w:val="TableParagraph"/>
              <w:jc w:val="center"/>
              <w:rPr>
                <w:rFonts w:ascii="Times New Roman" w:hAnsi="Times New Roman"/>
                <w:noProof/>
                <w:sz w:val="24"/>
              </w:rPr>
            </w:pPr>
            <w:r>
              <w:rPr>
                <w:rFonts w:ascii="Times New Roman" w:hAnsi="Times New Roman"/>
                <w:sz w:val="24"/>
              </w:rPr>
              <w:t>0,864</w:t>
            </w:r>
          </w:p>
        </w:tc>
        <w:tc>
          <w:tcPr>
            <w:tcW w:w="985" w:type="pct"/>
            <w:tcBorders>
              <w:top w:val="nil"/>
              <w:left w:val="nil"/>
              <w:bottom w:val="nil"/>
              <w:right w:val="nil"/>
            </w:tcBorders>
          </w:tcPr>
          <w:p w14:paraId="5E77C676" w14:textId="77777777" w:rsidR="000A6469" w:rsidRPr="004D11C9" w:rsidRDefault="000A6469" w:rsidP="004915B3">
            <w:pPr>
              <w:pStyle w:val="TableParagraph"/>
              <w:jc w:val="center"/>
              <w:rPr>
                <w:rFonts w:ascii="Times New Roman" w:hAnsi="Times New Roman"/>
                <w:noProof/>
                <w:sz w:val="24"/>
              </w:rPr>
            </w:pPr>
            <w:r>
              <w:rPr>
                <w:rFonts w:ascii="Times New Roman" w:hAnsi="Times New Roman"/>
                <w:sz w:val="24"/>
              </w:rPr>
              <w:t>864</w:t>
            </w:r>
          </w:p>
        </w:tc>
        <w:tc>
          <w:tcPr>
            <w:tcW w:w="982" w:type="pct"/>
            <w:tcBorders>
              <w:top w:val="nil"/>
              <w:left w:val="nil"/>
              <w:bottom w:val="nil"/>
              <w:right w:val="nil"/>
            </w:tcBorders>
          </w:tcPr>
          <w:p w14:paraId="34057D00" w14:textId="77777777" w:rsidR="000A6469" w:rsidRPr="004D11C9" w:rsidRDefault="000A6469" w:rsidP="004915B3">
            <w:pPr>
              <w:pStyle w:val="TableParagraph"/>
              <w:jc w:val="center"/>
              <w:rPr>
                <w:rFonts w:ascii="Times New Roman" w:hAnsi="Times New Roman"/>
                <w:noProof/>
                <w:sz w:val="24"/>
              </w:rPr>
            </w:pPr>
            <w:r>
              <w:rPr>
                <w:rFonts w:ascii="Times New Roman" w:hAnsi="Times New Roman"/>
                <w:sz w:val="24"/>
              </w:rPr>
              <w:t>648</w:t>
            </w:r>
          </w:p>
        </w:tc>
      </w:tr>
      <w:tr w:rsidR="000A6469" w:rsidRPr="004D11C9" w14:paraId="700E6B38" w14:textId="77777777" w:rsidTr="004230C7">
        <w:tc>
          <w:tcPr>
            <w:tcW w:w="425" w:type="pct"/>
            <w:tcBorders>
              <w:top w:val="nil"/>
              <w:left w:val="nil"/>
              <w:bottom w:val="nil"/>
              <w:right w:val="nil"/>
            </w:tcBorders>
            <w:shd w:val="clear" w:color="auto" w:fill="FAD3B4"/>
          </w:tcPr>
          <w:p w14:paraId="7FE820CD" w14:textId="77777777" w:rsidR="000A6469" w:rsidRPr="004D11C9" w:rsidRDefault="000A6469" w:rsidP="004915B3">
            <w:pPr>
              <w:pStyle w:val="TableParagraph"/>
              <w:jc w:val="center"/>
              <w:rPr>
                <w:rFonts w:ascii="Times New Roman" w:hAnsi="Times New Roman"/>
                <w:noProof/>
                <w:sz w:val="24"/>
              </w:rPr>
            </w:pPr>
            <w:r>
              <w:rPr>
                <w:rFonts w:ascii="Times New Roman" w:hAnsi="Times New Roman"/>
                <w:sz w:val="24"/>
              </w:rPr>
              <w:t>4</w:t>
            </w:r>
          </w:p>
        </w:tc>
        <w:tc>
          <w:tcPr>
            <w:tcW w:w="984" w:type="pct"/>
            <w:tcBorders>
              <w:top w:val="nil"/>
              <w:left w:val="nil"/>
              <w:bottom w:val="nil"/>
              <w:right w:val="nil"/>
            </w:tcBorders>
            <w:shd w:val="clear" w:color="auto" w:fill="FAD3B4"/>
          </w:tcPr>
          <w:p w14:paraId="073F462C" w14:textId="77777777" w:rsidR="000A6469" w:rsidRPr="004D11C9" w:rsidRDefault="000A6469" w:rsidP="004915B3">
            <w:pPr>
              <w:pStyle w:val="TableParagraph"/>
              <w:jc w:val="center"/>
              <w:rPr>
                <w:rFonts w:ascii="Times New Roman" w:hAnsi="Times New Roman"/>
                <w:noProof/>
                <w:sz w:val="24"/>
              </w:rPr>
            </w:pPr>
            <w:r>
              <w:rPr>
                <w:rFonts w:ascii="Times New Roman" w:hAnsi="Times New Roman"/>
                <w:sz w:val="24"/>
              </w:rPr>
              <w:t>1200</w:t>
            </w:r>
          </w:p>
        </w:tc>
        <w:tc>
          <w:tcPr>
            <w:tcW w:w="984" w:type="pct"/>
            <w:tcBorders>
              <w:top w:val="nil"/>
              <w:left w:val="nil"/>
              <w:bottom w:val="nil"/>
              <w:right w:val="nil"/>
            </w:tcBorders>
            <w:shd w:val="clear" w:color="auto" w:fill="FAD3B4"/>
          </w:tcPr>
          <w:p w14:paraId="2173B677" w14:textId="77777777" w:rsidR="000A6469" w:rsidRPr="004D11C9" w:rsidRDefault="000A6469" w:rsidP="004915B3">
            <w:pPr>
              <w:pStyle w:val="TableParagraph"/>
              <w:jc w:val="center"/>
              <w:rPr>
                <w:rFonts w:ascii="Times New Roman" w:hAnsi="Times New Roman"/>
                <w:noProof/>
                <w:sz w:val="24"/>
              </w:rPr>
            </w:pPr>
            <w:r>
              <w:rPr>
                <w:rFonts w:ascii="Times New Roman" w:hAnsi="Times New Roman"/>
                <w:sz w:val="24"/>
              </w:rPr>
              <w:t>500</w:t>
            </w:r>
          </w:p>
        </w:tc>
        <w:tc>
          <w:tcPr>
            <w:tcW w:w="641" w:type="pct"/>
            <w:tcBorders>
              <w:top w:val="nil"/>
              <w:left w:val="nil"/>
              <w:bottom w:val="nil"/>
              <w:right w:val="nil"/>
            </w:tcBorders>
            <w:shd w:val="clear" w:color="auto" w:fill="FAD3B4"/>
          </w:tcPr>
          <w:p w14:paraId="6F2BBAB6" w14:textId="77777777" w:rsidR="000A6469" w:rsidRPr="004D11C9" w:rsidRDefault="000A6469" w:rsidP="004915B3">
            <w:pPr>
              <w:pStyle w:val="TableParagraph"/>
              <w:jc w:val="center"/>
              <w:rPr>
                <w:rFonts w:ascii="Times New Roman" w:hAnsi="Times New Roman"/>
                <w:noProof/>
                <w:sz w:val="24"/>
              </w:rPr>
            </w:pPr>
            <w:r>
              <w:rPr>
                <w:rFonts w:ascii="Times New Roman" w:hAnsi="Times New Roman"/>
                <w:sz w:val="24"/>
              </w:rPr>
              <w:t>0,823</w:t>
            </w:r>
          </w:p>
        </w:tc>
        <w:tc>
          <w:tcPr>
            <w:tcW w:w="985" w:type="pct"/>
            <w:tcBorders>
              <w:top w:val="nil"/>
              <w:left w:val="nil"/>
              <w:bottom w:val="nil"/>
              <w:right w:val="nil"/>
            </w:tcBorders>
            <w:shd w:val="clear" w:color="auto" w:fill="FAD3B4"/>
          </w:tcPr>
          <w:p w14:paraId="7BA6BCE4" w14:textId="77777777" w:rsidR="000A6469" w:rsidRPr="004D11C9" w:rsidRDefault="000A6469" w:rsidP="004915B3">
            <w:pPr>
              <w:pStyle w:val="TableParagraph"/>
              <w:jc w:val="center"/>
              <w:rPr>
                <w:rFonts w:ascii="Times New Roman" w:hAnsi="Times New Roman"/>
                <w:noProof/>
                <w:sz w:val="24"/>
              </w:rPr>
            </w:pPr>
            <w:r>
              <w:rPr>
                <w:rFonts w:ascii="Times New Roman" w:hAnsi="Times New Roman"/>
                <w:sz w:val="24"/>
              </w:rPr>
              <w:t>988</w:t>
            </w:r>
          </w:p>
        </w:tc>
        <w:tc>
          <w:tcPr>
            <w:tcW w:w="982" w:type="pct"/>
            <w:tcBorders>
              <w:top w:val="nil"/>
              <w:left w:val="nil"/>
              <w:bottom w:val="nil"/>
              <w:right w:val="nil"/>
            </w:tcBorders>
            <w:shd w:val="clear" w:color="auto" w:fill="FAD3B4"/>
          </w:tcPr>
          <w:p w14:paraId="46A982DE" w14:textId="77777777" w:rsidR="000A6469" w:rsidRPr="004D11C9" w:rsidRDefault="000A6469" w:rsidP="004915B3">
            <w:pPr>
              <w:pStyle w:val="TableParagraph"/>
              <w:jc w:val="center"/>
              <w:rPr>
                <w:rFonts w:ascii="Times New Roman" w:hAnsi="Times New Roman"/>
                <w:noProof/>
                <w:sz w:val="24"/>
              </w:rPr>
            </w:pPr>
            <w:r>
              <w:rPr>
                <w:rFonts w:ascii="Times New Roman" w:hAnsi="Times New Roman"/>
                <w:sz w:val="24"/>
              </w:rPr>
              <w:t>412</w:t>
            </w:r>
          </w:p>
        </w:tc>
      </w:tr>
      <w:tr w:rsidR="000A6469" w:rsidRPr="004D11C9" w14:paraId="0FDBB8CF" w14:textId="77777777" w:rsidTr="004230C7">
        <w:tc>
          <w:tcPr>
            <w:tcW w:w="425" w:type="pct"/>
            <w:tcBorders>
              <w:top w:val="nil"/>
              <w:left w:val="nil"/>
              <w:bottom w:val="nil"/>
              <w:right w:val="nil"/>
            </w:tcBorders>
          </w:tcPr>
          <w:p w14:paraId="743424BF" w14:textId="77777777" w:rsidR="000A6469" w:rsidRPr="004D11C9" w:rsidRDefault="000A6469" w:rsidP="004915B3">
            <w:pPr>
              <w:pStyle w:val="TableParagraph"/>
              <w:jc w:val="center"/>
              <w:rPr>
                <w:rFonts w:ascii="Times New Roman" w:hAnsi="Times New Roman"/>
                <w:noProof/>
                <w:sz w:val="24"/>
              </w:rPr>
            </w:pPr>
            <w:r>
              <w:rPr>
                <w:rFonts w:ascii="Times New Roman" w:hAnsi="Times New Roman"/>
                <w:sz w:val="24"/>
              </w:rPr>
              <w:t>5</w:t>
            </w:r>
          </w:p>
        </w:tc>
        <w:tc>
          <w:tcPr>
            <w:tcW w:w="984" w:type="pct"/>
            <w:tcBorders>
              <w:top w:val="nil"/>
              <w:left w:val="nil"/>
              <w:bottom w:val="nil"/>
              <w:right w:val="nil"/>
            </w:tcBorders>
          </w:tcPr>
          <w:p w14:paraId="0F72B8B0" w14:textId="77777777" w:rsidR="000A6469" w:rsidRPr="004D11C9" w:rsidRDefault="000A6469" w:rsidP="004915B3">
            <w:pPr>
              <w:pStyle w:val="TableParagraph"/>
              <w:jc w:val="center"/>
              <w:rPr>
                <w:rFonts w:ascii="Times New Roman" w:hAnsi="Times New Roman"/>
                <w:noProof/>
                <w:sz w:val="24"/>
              </w:rPr>
            </w:pPr>
            <w:r>
              <w:rPr>
                <w:rFonts w:ascii="Times New Roman" w:hAnsi="Times New Roman"/>
                <w:sz w:val="24"/>
              </w:rPr>
              <w:t>1300</w:t>
            </w:r>
          </w:p>
        </w:tc>
        <w:tc>
          <w:tcPr>
            <w:tcW w:w="984" w:type="pct"/>
            <w:tcBorders>
              <w:top w:val="nil"/>
              <w:left w:val="nil"/>
              <w:bottom w:val="nil"/>
              <w:right w:val="nil"/>
            </w:tcBorders>
          </w:tcPr>
          <w:p w14:paraId="3F23F0CF" w14:textId="77777777" w:rsidR="000A6469" w:rsidRPr="004D11C9" w:rsidRDefault="000A6469" w:rsidP="004915B3">
            <w:pPr>
              <w:pStyle w:val="TableParagraph"/>
              <w:jc w:val="center"/>
              <w:rPr>
                <w:rFonts w:ascii="Times New Roman" w:hAnsi="Times New Roman"/>
                <w:noProof/>
                <w:sz w:val="24"/>
              </w:rPr>
            </w:pPr>
            <w:r>
              <w:rPr>
                <w:rFonts w:ascii="Times New Roman" w:hAnsi="Times New Roman"/>
                <w:sz w:val="24"/>
              </w:rPr>
              <w:t>000</w:t>
            </w:r>
          </w:p>
        </w:tc>
        <w:tc>
          <w:tcPr>
            <w:tcW w:w="641" w:type="pct"/>
            <w:tcBorders>
              <w:top w:val="nil"/>
              <w:left w:val="nil"/>
              <w:bottom w:val="nil"/>
              <w:right w:val="nil"/>
            </w:tcBorders>
          </w:tcPr>
          <w:p w14:paraId="60DA09DE" w14:textId="77777777" w:rsidR="000A6469" w:rsidRPr="004D11C9" w:rsidRDefault="000A6469" w:rsidP="004915B3">
            <w:pPr>
              <w:pStyle w:val="TableParagraph"/>
              <w:jc w:val="center"/>
              <w:rPr>
                <w:rFonts w:ascii="Times New Roman" w:hAnsi="Times New Roman"/>
                <w:noProof/>
                <w:sz w:val="24"/>
              </w:rPr>
            </w:pPr>
            <w:r>
              <w:rPr>
                <w:rFonts w:ascii="Times New Roman" w:hAnsi="Times New Roman"/>
                <w:sz w:val="24"/>
              </w:rPr>
              <w:t>0,784</w:t>
            </w:r>
          </w:p>
        </w:tc>
        <w:tc>
          <w:tcPr>
            <w:tcW w:w="985" w:type="pct"/>
            <w:tcBorders>
              <w:top w:val="nil"/>
              <w:left w:val="nil"/>
              <w:bottom w:val="nil"/>
              <w:right w:val="nil"/>
            </w:tcBorders>
          </w:tcPr>
          <w:p w14:paraId="27B96D3B" w14:textId="77777777" w:rsidR="000A6469" w:rsidRPr="004D11C9" w:rsidRDefault="000A6469" w:rsidP="004915B3">
            <w:pPr>
              <w:pStyle w:val="TableParagraph"/>
              <w:jc w:val="center"/>
              <w:rPr>
                <w:rFonts w:ascii="Times New Roman" w:hAnsi="Times New Roman"/>
                <w:noProof/>
                <w:sz w:val="24"/>
              </w:rPr>
            </w:pPr>
            <w:r>
              <w:rPr>
                <w:rFonts w:ascii="Times New Roman" w:hAnsi="Times New Roman"/>
                <w:sz w:val="24"/>
              </w:rPr>
              <w:t>1019</w:t>
            </w:r>
          </w:p>
        </w:tc>
        <w:tc>
          <w:tcPr>
            <w:tcW w:w="982" w:type="pct"/>
            <w:tcBorders>
              <w:top w:val="nil"/>
              <w:left w:val="nil"/>
              <w:bottom w:val="nil"/>
              <w:right w:val="nil"/>
            </w:tcBorders>
          </w:tcPr>
          <w:p w14:paraId="0FA03346" w14:textId="77777777" w:rsidR="000A6469" w:rsidRPr="004D11C9" w:rsidRDefault="000A6469" w:rsidP="004915B3">
            <w:pPr>
              <w:pStyle w:val="TableParagraph"/>
              <w:jc w:val="center"/>
              <w:rPr>
                <w:rFonts w:ascii="Times New Roman" w:hAnsi="Times New Roman"/>
                <w:noProof/>
                <w:sz w:val="24"/>
              </w:rPr>
            </w:pPr>
            <w:r>
              <w:rPr>
                <w:rFonts w:ascii="Times New Roman" w:hAnsi="Times New Roman"/>
                <w:sz w:val="24"/>
              </w:rPr>
              <w:t>0</w:t>
            </w:r>
          </w:p>
        </w:tc>
      </w:tr>
      <w:tr w:rsidR="000A6469" w:rsidRPr="004D11C9" w14:paraId="1C16ADC2" w14:textId="77777777" w:rsidTr="004230C7">
        <w:tc>
          <w:tcPr>
            <w:tcW w:w="425" w:type="pct"/>
            <w:tcBorders>
              <w:top w:val="nil"/>
              <w:left w:val="nil"/>
              <w:bottom w:val="single" w:sz="5" w:space="0" w:color="000000"/>
              <w:right w:val="nil"/>
            </w:tcBorders>
            <w:shd w:val="clear" w:color="auto" w:fill="FAD3B4"/>
          </w:tcPr>
          <w:p w14:paraId="7B4D8F66" w14:textId="77777777" w:rsidR="000A6469" w:rsidRPr="004D11C9" w:rsidRDefault="000A6469" w:rsidP="004915B3">
            <w:pPr>
              <w:pStyle w:val="TableParagraph"/>
              <w:jc w:val="center"/>
              <w:rPr>
                <w:rFonts w:ascii="Times New Roman" w:hAnsi="Times New Roman"/>
                <w:b/>
                <w:noProof/>
                <w:sz w:val="24"/>
              </w:rPr>
            </w:pPr>
            <w:r>
              <w:rPr>
                <w:rFonts w:ascii="Times New Roman" w:hAnsi="Times New Roman"/>
                <w:b/>
                <w:sz w:val="24"/>
              </w:rPr>
              <w:t>Kopā</w:t>
            </w:r>
          </w:p>
        </w:tc>
        <w:tc>
          <w:tcPr>
            <w:tcW w:w="984" w:type="pct"/>
            <w:tcBorders>
              <w:top w:val="nil"/>
              <w:left w:val="nil"/>
              <w:bottom w:val="single" w:sz="5" w:space="0" w:color="000000"/>
              <w:right w:val="nil"/>
            </w:tcBorders>
            <w:shd w:val="clear" w:color="auto" w:fill="FAD3B4"/>
          </w:tcPr>
          <w:p w14:paraId="698330B7" w14:textId="77777777" w:rsidR="000A6469" w:rsidRPr="004D11C9" w:rsidRDefault="000A6469" w:rsidP="004915B3">
            <w:pPr>
              <w:pStyle w:val="TableParagraph"/>
              <w:jc w:val="center"/>
              <w:rPr>
                <w:rFonts w:ascii="Times New Roman" w:hAnsi="Times New Roman"/>
                <w:b/>
                <w:noProof/>
                <w:sz w:val="24"/>
              </w:rPr>
            </w:pPr>
            <w:r>
              <w:rPr>
                <w:rFonts w:ascii="Times New Roman" w:hAnsi="Times New Roman"/>
                <w:b/>
                <w:sz w:val="24"/>
              </w:rPr>
              <w:t>4850</w:t>
            </w:r>
          </w:p>
        </w:tc>
        <w:tc>
          <w:tcPr>
            <w:tcW w:w="984" w:type="pct"/>
            <w:tcBorders>
              <w:top w:val="nil"/>
              <w:left w:val="nil"/>
              <w:bottom w:val="single" w:sz="5" w:space="0" w:color="000000"/>
              <w:right w:val="nil"/>
            </w:tcBorders>
            <w:shd w:val="clear" w:color="auto" w:fill="FAD3B4"/>
          </w:tcPr>
          <w:p w14:paraId="68F0D5A3" w14:textId="77777777" w:rsidR="000A6469" w:rsidRPr="004D11C9" w:rsidRDefault="000A6469" w:rsidP="004915B3">
            <w:pPr>
              <w:pStyle w:val="TableParagraph"/>
              <w:jc w:val="center"/>
              <w:rPr>
                <w:rFonts w:ascii="Times New Roman" w:hAnsi="Times New Roman"/>
                <w:b/>
                <w:noProof/>
                <w:sz w:val="24"/>
              </w:rPr>
            </w:pPr>
            <w:r>
              <w:rPr>
                <w:rFonts w:ascii="Times New Roman" w:hAnsi="Times New Roman"/>
                <w:b/>
                <w:sz w:val="24"/>
              </w:rPr>
              <w:t>4550</w:t>
            </w:r>
          </w:p>
        </w:tc>
        <w:tc>
          <w:tcPr>
            <w:tcW w:w="641" w:type="pct"/>
            <w:tcBorders>
              <w:top w:val="nil"/>
              <w:left w:val="nil"/>
              <w:bottom w:val="single" w:sz="5" w:space="0" w:color="000000"/>
              <w:right w:val="nil"/>
            </w:tcBorders>
            <w:shd w:val="clear" w:color="auto" w:fill="FAD3B4"/>
          </w:tcPr>
          <w:p w14:paraId="7A40C366" w14:textId="77777777" w:rsidR="000A6469" w:rsidRPr="004D11C9" w:rsidRDefault="000A6469" w:rsidP="004915B3">
            <w:pPr>
              <w:jc w:val="center"/>
              <w:rPr>
                <w:rFonts w:ascii="Times New Roman" w:hAnsi="Times New Roman"/>
                <w:noProof/>
                <w:sz w:val="24"/>
              </w:rPr>
            </w:pPr>
          </w:p>
        </w:tc>
        <w:tc>
          <w:tcPr>
            <w:tcW w:w="985" w:type="pct"/>
            <w:tcBorders>
              <w:top w:val="nil"/>
              <w:left w:val="nil"/>
              <w:bottom w:val="single" w:sz="5" w:space="0" w:color="000000"/>
              <w:right w:val="nil"/>
            </w:tcBorders>
            <w:shd w:val="clear" w:color="auto" w:fill="FAD3B4"/>
          </w:tcPr>
          <w:p w14:paraId="2195238E" w14:textId="77777777" w:rsidR="000A6469" w:rsidRPr="004D11C9" w:rsidRDefault="000A6469" w:rsidP="004915B3">
            <w:pPr>
              <w:pStyle w:val="TableParagraph"/>
              <w:jc w:val="center"/>
              <w:rPr>
                <w:rFonts w:ascii="Times New Roman" w:hAnsi="Times New Roman"/>
                <w:b/>
                <w:noProof/>
                <w:sz w:val="24"/>
              </w:rPr>
            </w:pPr>
            <w:r>
              <w:rPr>
                <w:rFonts w:ascii="Times New Roman" w:hAnsi="Times New Roman"/>
                <w:b/>
                <w:sz w:val="24"/>
              </w:rPr>
              <w:t>4127</w:t>
            </w:r>
          </w:p>
        </w:tc>
        <w:tc>
          <w:tcPr>
            <w:tcW w:w="982" w:type="pct"/>
            <w:tcBorders>
              <w:top w:val="nil"/>
              <w:left w:val="nil"/>
              <w:bottom w:val="single" w:sz="5" w:space="0" w:color="000000"/>
              <w:right w:val="nil"/>
            </w:tcBorders>
            <w:shd w:val="clear" w:color="auto" w:fill="FAD3B4"/>
          </w:tcPr>
          <w:p w14:paraId="7181D008" w14:textId="77777777" w:rsidR="000A6469" w:rsidRPr="004D11C9" w:rsidRDefault="000A6469" w:rsidP="004915B3">
            <w:pPr>
              <w:pStyle w:val="TableParagraph"/>
              <w:jc w:val="center"/>
              <w:rPr>
                <w:rFonts w:ascii="Times New Roman" w:hAnsi="Times New Roman"/>
                <w:b/>
                <w:noProof/>
                <w:sz w:val="24"/>
              </w:rPr>
            </w:pPr>
            <w:r>
              <w:rPr>
                <w:rFonts w:ascii="Times New Roman" w:hAnsi="Times New Roman"/>
                <w:b/>
                <w:sz w:val="24"/>
              </w:rPr>
              <w:t>4214</w:t>
            </w:r>
          </w:p>
        </w:tc>
      </w:tr>
    </w:tbl>
    <w:p w14:paraId="2D149FDA" w14:textId="77777777" w:rsidR="000A6469" w:rsidRPr="004D11C9" w:rsidRDefault="000A6469" w:rsidP="004D11C9">
      <w:pPr>
        <w:jc w:val="both"/>
        <w:rPr>
          <w:rFonts w:ascii="Times New Roman" w:eastAsia="Arial" w:hAnsi="Times New Roman" w:cs="Arial"/>
          <w:b/>
          <w:bCs/>
          <w:noProof/>
          <w:sz w:val="24"/>
          <w:szCs w:val="13"/>
        </w:rPr>
      </w:pPr>
    </w:p>
    <w:p w14:paraId="0B4546C4"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Pamatojoties uz nominālajiem ieguvumiem un izmaksām, priekšroka tiek dota 1. risinājumam, jo tas nodrošina papildu neto ieguvumus 300 miljonu ASV dolāru apmērā. Ja tomēr peļņa tiek diskontēta, vēlams izvēlēties 2. risinājumu, kas nodrošina papildu ieguvumus 87 miljonu ASV dolāru apmērā pašreizējā vērtībā.</w:t>
      </w:r>
    </w:p>
    <w:p w14:paraId="58A887E5" w14:textId="77777777" w:rsidR="000A6469" w:rsidRPr="004D11C9" w:rsidRDefault="000A6469" w:rsidP="004D11C9">
      <w:pPr>
        <w:jc w:val="both"/>
        <w:rPr>
          <w:rFonts w:ascii="Times New Roman" w:eastAsia="Arial" w:hAnsi="Times New Roman" w:cs="Arial"/>
          <w:noProof/>
          <w:sz w:val="24"/>
          <w:szCs w:val="18"/>
        </w:rPr>
      </w:pPr>
    </w:p>
    <w:p w14:paraId="54723894" w14:textId="3FFE247E" w:rsidR="000A6469" w:rsidRPr="004D11C9" w:rsidRDefault="004915B3" w:rsidP="004915B3">
      <w:pPr>
        <w:tabs>
          <w:tab w:val="left" w:pos="1003"/>
        </w:tabs>
        <w:jc w:val="both"/>
        <w:rPr>
          <w:rFonts w:ascii="Times New Roman" w:hAnsi="Times New Roman"/>
          <w:i/>
          <w:noProof/>
          <w:sz w:val="24"/>
        </w:rPr>
      </w:pPr>
      <w:bookmarkStart w:id="182" w:name="_bookmark96"/>
      <w:bookmarkStart w:id="183" w:name="4.4.4_Risk_/_Uncertainty"/>
      <w:bookmarkEnd w:id="182"/>
      <w:bookmarkEnd w:id="183"/>
      <w:r>
        <w:rPr>
          <w:rFonts w:ascii="Times New Roman" w:hAnsi="Times New Roman"/>
          <w:i/>
          <w:sz w:val="24"/>
        </w:rPr>
        <w:t>4.4.4. Risks un nenoteiktība</w:t>
      </w:r>
    </w:p>
    <w:p w14:paraId="3CF15E2E" w14:textId="77777777" w:rsidR="000A6469" w:rsidRPr="004D11C9" w:rsidRDefault="000A6469" w:rsidP="004D11C9">
      <w:pPr>
        <w:jc w:val="both"/>
        <w:rPr>
          <w:rFonts w:ascii="Times New Roman" w:eastAsia="Arial" w:hAnsi="Times New Roman" w:cs="Arial"/>
          <w:i/>
          <w:noProof/>
          <w:sz w:val="24"/>
          <w:szCs w:val="21"/>
        </w:rPr>
      </w:pPr>
    </w:p>
    <w:p w14:paraId="12B6F171"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Vairumā gadījumu ieguvumi un izmaksas, kas saistītas ar ierosinātajiem politikas risinājumiem, ir pakļauti ievērojamam riskam un nenoteiktībai. Parasti ierosināto pasākumu ieguvumu un izmaksu aplēses ir balstītas uz prognozēm un aplēsēm, kas pašas par sevi ir pakļautas augstai nenoteiktībai, piemēram, uz ekonomikas izaugsmes prognozēm, procentu likmēm, pieprasījumu pēc produktiem un ietekmi uz veselību un vidi. Šādos gadījumos rezultātu riskantums un riska tolerance var būt svarīgs kritērijs politikas risinājuma izvēlē.</w:t>
      </w:r>
    </w:p>
    <w:p w14:paraId="0F5930A7" w14:textId="77777777" w:rsidR="000A6469" w:rsidRPr="004D11C9" w:rsidRDefault="000A6469" w:rsidP="004D11C9">
      <w:pPr>
        <w:jc w:val="both"/>
        <w:rPr>
          <w:rFonts w:ascii="Times New Roman" w:eastAsia="Arial" w:hAnsi="Times New Roman" w:cs="Arial"/>
          <w:noProof/>
          <w:sz w:val="24"/>
          <w:szCs w:val="20"/>
        </w:rPr>
      </w:pPr>
    </w:p>
    <w:p w14:paraId="6BAC3DC6"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Iespējamo risinājumu risku un nenoteiktības salīdzināšanai var noderēt informācija par galvenajiem nenoteiktības avotiem, rezultātu paredzamās vērtības aplēsēm, rezultātu atkarību no svarīgiem nenoteiktības avotiem un, ja iespējams, informācija par ieguvumu, izmaksu un neto ieguvumu varbūtības sadalījumu.</w:t>
      </w:r>
    </w:p>
    <w:p w14:paraId="49CABD3B" w14:textId="77777777" w:rsidR="000A6469" w:rsidRPr="004D11C9" w:rsidRDefault="000A6469" w:rsidP="004D11C9">
      <w:pPr>
        <w:jc w:val="both"/>
        <w:rPr>
          <w:rFonts w:ascii="Times New Roman" w:eastAsia="Arial" w:hAnsi="Times New Roman" w:cs="Arial"/>
          <w:noProof/>
          <w:sz w:val="24"/>
          <w:szCs w:val="20"/>
        </w:rPr>
      </w:pPr>
    </w:p>
    <w:p w14:paraId="01CA5448"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Riska un nenoteiktības novērtēšanas un salīdzināšanas paņēmieni ietver attīstības modeļu izstrādi un jutīguma analīzi. Tomēr galvenais risku aplēšu ierobežojums ir tas, ka ne visas privātā sektora prakses ir iespējams prognozēt pirms jauna regulējuma ieviešanas.</w:t>
      </w:r>
    </w:p>
    <w:p w14:paraId="4A100B73" w14:textId="77777777" w:rsidR="000A6469" w:rsidRPr="004D11C9" w:rsidRDefault="000A6469" w:rsidP="004D11C9">
      <w:pPr>
        <w:jc w:val="both"/>
        <w:rPr>
          <w:rFonts w:ascii="Times New Roman" w:eastAsia="Arial" w:hAnsi="Times New Roman" w:cs="Arial"/>
          <w:noProof/>
          <w:sz w:val="24"/>
          <w:szCs w:val="20"/>
        </w:rPr>
      </w:pPr>
    </w:p>
    <w:p w14:paraId="64940495"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Scenāriju izstrādi var izmantot tam, lai pievērstu uzmanību galvenajiem tehniskās, ekonomiskās un politiskās nenoteiktības aspektiem, kas ir būtiski, lai izvēlētos priekšlikumu. Attiecībā uz noteikumiem, kam ir zema vai vidēji augsta ietekme, tas var izpausties kā vienkāršu “kas notiks, ja” jautājumu uzdošana. Attiecībā uz noteikumiem ar augstu ietekmi var būt nepieciešami detalizētāki nākotnes stāvokļu modeļi. Jebkurā gadījumā salīdzinājumi ir jāveic, pamatojoties uz attiecīgajām scenāriju un iespējamo risinājumu neto pašreizējām vērtībām.</w:t>
      </w:r>
    </w:p>
    <w:p w14:paraId="1D80B5C0" w14:textId="77777777" w:rsidR="000A6469" w:rsidRPr="004D11C9" w:rsidRDefault="000A6469" w:rsidP="004D11C9">
      <w:pPr>
        <w:jc w:val="both"/>
        <w:rPr>
          <w:rFonts w:ascii="Times New Roman" w:eastAsia="Arial" w:hAnsi="Times New Roman" w:cs="Arial"/>
          <w:noProof/>
          <w:sz w:val="24"/>
          <w:szCs w:val="20"/>
        </w:rPr>
      </w:pPr>
    </w:p>
    <w:p w14:paraId="6DC9569F"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Jutīguma analīze ietver to galveno parametru maiņu, kurus izmanto, lai noteiktu ierosinātā politikas pasākuma ieguvumus un izmaksas, un ietekmes uz rezultātu neto pašreizējo vērtību izpēti. Parametri, ko var mainīt, piemēram, ir: i) ieguvumi un izmaksas; ii) diskonta likme un iii) vispārējais inflācijas līmenis.</w:t>
      </w:r>
    </w:p>
    <w:p w14:paraId="600D03BA" w14:textId="77777777" w:rsidR="000A6469" w:rsidRPr="004D11C9" w:rsidRDefault="000A6469" w:rsidP="004D11C9">
      <w:pPr>
        <w:jc w:val="both"/>
        <w:rPr>
          <w:rFonts w:ascii="Times New Roman" w:eastAsia="Arial" w:hAnsi="Times New Roman" w:cs="Arial"/>
          <w:noProof/>
          <w:sz w:val="24"/>
          <w:szCs w:val="20"/>
        </w:rPr>
      </w:pPr>
    </w:p>
    <w:p w14:paraId="6E54DB0C" w14:textId="52434314"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Ir pieejami arī sarežģītāki modeļi nenoteiktības risināšanai, piemēram, Montekarlo analīze. Pašlaik tā, visticamāk, nebūs piemērota konkurences novērtēšanai, jo nenoteiktības diapazons ir grūti nosakāms tāpēc, ka, piemēram, ir grūti raksturot neparedzētās regulējuma sekas.</w:t>
      </w:r>
    </w:p>
    <w:p w14:paraId="1E6C31BF" w14:textId="3C8DCFFC" w:rsidR="001A796E" w:rsidRDefault="001A796E">
      <w:pPr>
        <w:rPr>
          <w:rFonts w:ascii="Times New Roman" w:hAnsi="Times New Roman"/>
          <w:noProof/>
          <w:sz w:val="24"/>
        </w:rPr>
      </w:pPr>
      <w:r>
        <w:rPr>
          <w:rFonts w:ascii="Times New Roman" w:hAnsi="Times New Roman"/>
          <w:noProof/>
          <w:sz w:val="24"/>
        </w:rPr>
        <w:br w:type="page"/>
      </w:r>
    </w:p>
    <w:p w14:paraId="2770DE2D" w14:textId="77777777" w:rsidR="00867DDD" w:rsidRDefault="00867DDD" w:rsidP="004D11C9">
      <w:pPr>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801FAA" w14:paraId="7045E4A9" w14:textId="77777777" w:rsidTr="00801FAA">
        <w:tc>
          <w:tcPr>
            <w:tcW w:w="9062" w:type="dxa"/>
          </w:tcPr>
          <w:p w14:paraId="6522637A" w14:textId="77777777" w:rsidR="00801FAA" w:rsidRPr="004D11C9" w:rsidRDefault="00801FAA" w:rsidP="00801FAA">
            <w:pPr>
              <w:jc w:val="both"/>
              <w:rPr>
                <w:rFonts w:ascii="Times New Roman" w:hAnsi="Times New Roman"/>
                <w:b/>
                <w:noProof/>
                <w:sz w:val="24"/>
              </w:rPr>
            </w:pPr>
            <w:r>
              <w:rPr>
                <w:rFonts w:ascii="Times New Roman" w:hAnsi="Times New Roman"/>
                <w:b/>
                <w:sz w:val="24"/>
              </w:rPr>
              <w:t>Detalizēts piemērs.</w:t>
            </w:r>
          </w:p>
          <w:p w14:paraId="734F1E7A" w14:textId="77777777" w:rsidR="00801FAA" w:rsidRDefault="00801FAA" w:rsidP="00801FAA">
            <w:pPr>
              <w:jc w:val="both"/>
              <w:rPr>
                <w:rFonts w:ascii="Times New Roman" w:hAnsi="Times New Roman"/>
                <w:b/>
                <w:noProof/>
                <w:sz w:val="24"/>
              </w:rPr>
            </w:pPr>
          </w:p>
          <w:p w14:paraId="4B6156A5" w14:textId="6CA0F160" w:rsidR="00801FAA" w:rsidRPr="00801FAA" w:rsidRDefault="00801FAA" w:rsidP="004D11C9">
            <w:pPr>
              <w:jc w:val="both"/>
              <w:rPr>
                <w:rFonts w:ascii="Times New Roman" w:hAnsi="Times New Roman"/>
                <w:b/>
                <w:noProof/>
                <w:sz w:val="24"/>
              </w:rPr>
            </w:pPr>
            <w:r>
              <w:rPr>
                <w:rFonts w:ascii="Times New Roman" w:hAnsi="Times New Roman"/>
                <w:b/>
                <w:sz w:val="24"/>
              </w:rPr>
              <w:t>Iespējamo reformas risinājumu novērtēšana</w:t>
            </w:r>
          </w:p>
        </w:tc>
      </w:tr>
      <w:tr w:rsidR="00801FAA" w14:paraId="020F2782" w14:textId="77777777" w:rsidTr="00801FAA">
        <w:tc>
          <w:tcPr>
            <w:tcW w:w="9062" w:type="dxa"/>
          </w:tcPr>
          <w:p w14:paraId="0F110E7C" w14:textId="77777777" w:rsidR="00801FAA" w:rsidRPr="004D11C9" w:rsidRDefault="00801FAA" w:rsidP="00801FAA">
            <w:pPr>
              <w:jc w:val="both"/>
              <w:rPr>
                <w:rFonts w:ascii="Times New Roman" w:hAnsi="Times New Roman"/>
                <w:i/>
                <w:noProof/>
                <w:sz w:val="24"/>
              </w:rPr>
            </w:pPr>
            <w:r>
              <w:rPr>
                <w:rFonts w:ascii="Times New Roman" w:hAnsi="Times New Roman"/>
                <w:i/>
                <w:sz w:val="24"/>
              </w:rPr>
              <w:t>Šajā ierāmējumā ir turpināts detalizētā piemēra izklāsts, kas tiek izmantots viscaur šajā rokasgrāmatā.</w:t>
            </w:r>
          </w:p>
          <w:p w14:paraId="1C657740" w14:textId="77777777" w:rsidR="00801FAA" w:rsidRPr="004D11C9" w:rsidRDefault="00801FAA" w:rsidP="00801FAA">
            <w:pPr>
              <w:jc w:val="both"/>
              <w:rPr>
                <w:rFonts w:ascii="Times New Roman" w:eastAsia="Arial" w:hAnsi="Times New Roman" w:cs="Arial"/>
                <w:i/>
                <w:noProof/>
                <w:sz w:val="24"/>
                <w:szCs w:val="14"/>
              </w:rPr>
            </w:pPr>
          </w:p>
          <w:p w14:paraId="7B9CA1AC" w14:textId="77777777" w:rsidR="00801FAA" w:rsidRPr="004D11C9" w:rsidRDefault="00801FAA" w:rsidP="00801FAA">
            <w:pPr>
              <w:jc w:val="both"/>
              <w:rPr>
                <w:rFonts w:ascii="Times New Roman" w:eastAsia="Arial" w:hAnsi="Times New Roman" w:cs="Arial"/>
                <w:noProof/>
                <w:sz w:val="24"/>
                <w:szCs w:val="18"/>
              </w:rPr>
            </w:pPr>
            <w:r>
              <w:rPr>
                <w:rFonts w:ascii="Times New Roman" w:hAnsi="Times New Roman"/>
                <w:sz w:val="24"/>
              </w:rPr>
              <w:t>Šajā daļā ir sniegts ministrijas vērtējums par iespējamajiem risinājumiem, kas minēti iepriekš. A sadaļā izklāstīti galvenie konstatējumi, kas gūti, ministrijai analizējot katru iespējamo risinājumu. B sadaļā ir sniegts iespējamo risinājumu salīdzinājums, pamatojoties uz kritērijiem, kas ministrijai noteikti ministra direktīvā.</w:t>
            </w:r>
          </w:p>
          <w:p w14:paraId="42F33201" w14:textId="77777777" w:rsidR="00801FAA" w:rsidRPr="004D11C9" w:rsidRDefault="00801FAA" w:rsidP="00801FAA">
            <w:pPr>
              <w:jc w:val="both"/>
              <w:rPr>
                <w:rFonts w:ascii="Times New Roman" w:eastAsia="Arial" w:hAnsi="Times New Roman" w:cs="Arial"/>
                <w:noProof/>
                <w:sz w:val="24"/>
                <w:szCs w:val="14"/>
              </w:rPr>
            </w:pPr>
          </w:p>
          <w:p w14:paraId="06D22736" w14:textId="77777777" w:rsidR="00801FAA" w:rsidRPr="004D11C9" w:rsidRDefault="00801FAA" w:rsidP="00801FAA">
            <w:pPr>
              <w:tabs>
                <w:tab w:val="left" w:pos="448"/>
              </w:tabs>
              <w:jc w:val="both"/>
              <w:rPr>
                <w:rFonts w:ascii="Times New Roman" w:hAnsi="Times New Roman"/>
                <w:b/>
                <w:noProof/>
                <w:sz w:val="24"/>
              </w:rPr>
            </w:pPr>
            <w:r>
              <w:rPr>
                <w:rFonts w:ascii="Times New Roman" w:hAnsi="Times New Roman"/>
                <w:b/>
                <w:sz w:val="24"/>
              </w:rPr>
              <w:t>A. Iespējamo risinājumu analīze</w:t>
            </w:r>
          </w:p>
          <w:p w14:paraId="4736E3BC" w14:textId="77777777" w:rsidR="00801FAA" w:rsidRDefault="00801FAA" w:rsidP="00801FAA">
            <w:pPr>
              <w:jc w:val="both"/>
              <w:rPr>
                <w:rFonts w:ascii="Times New Roman" w:hAnsi="Times New Roman"/>
                <w:noProof/>
                <w:sz w:val="24"/>
              </w:rPr>
            </w:pPr>
          </w:p>
          <w:p w14:paraId="1FCB8814" w14:textId="77777777" w:rsidR="00801FAA" w:rsidRDefault="00801FAA" w:rsidP="00801FAA">
            <w:pPr>
              <w:jc w:val="both"/>
              <w:rPr>
                <w:rFonts w:ascii="Times New Roman" w:hAnsi="Times New Roman"/>
                <w:noProof/>
                <w:sz w:val="24"/>
              </w:rPr>
            </w:pPr>
            <w:r>
              <w:rPr>
                <w:rFonts w:ascii="Times New Roman" w:hAnsi="Times New Roman"/>
                <w:sz w:val="24"/>
              </w:rPr>
              <w:t>Tika veikts iepriekšminēto risinājumu sākotnējais novērtējums, un tā rezultātā 2. risinājums netika iekļauts padziļinātākā analīzē. Turpmāk ir izklāstīt šie iespējamie risinājumi un iemesli, kādēļ tie netika izskatīti padziļinātākā pārbaudē.</w:t>
            </w:r>
          </w:p>
          <w:p w14:paraId="5E302681" w14:textId="77777777" w:rsidR="00801FAA" w:rsidRPr="004D11C9" w:rsidRDefault="00801FAA" w:rsidP="00801FAA">
            <w:pPr>
              <w:jc w:val="both"/>
              <w:rPr>
                <w:rFonts w:ascii="Times New Roman" w:hAnsi="Times New Roman"/>
                <w:noProof/>
                <w:sz w:val="24"/>
              </w:rPr>
            </w:pPr>
          </w:p>
          <w:p w14:paraId="78420863" w14:textId="77777777" w:rsidR="00801FAA" w:rsidRPr="004D11C9" w:rsidRDefault="00801FAA" w:rsidP="00801FAA">
            <w:pPr>
              <w:numPr>
                <w:ilvl w:val="1"/>
                <w:numId w:val="4"/>
              </w:numPr>
              <w:ind w:left="426" w:hanging="426"/>
              <w:jc w:val="both"/>
              <w:rPr>
                <w:rFonts w:ascii="Times New Roman" w:hAnsi="Times New Roman"/>
                <w:noProof/>
                <w:sz w:val="24"/>
              </w:rPr>
            </w:pPr>
            <w:r>
              <w:rPr>
                <w:rFonts w:ascii="Times New Roman" w:hAnsi="Times New Roman"/>
                <w:i/>
                <w:sz w:val="24"/>
              </w:rPr>
              <w:t xml:space="preserve">Aizliegt atlaižu piešķiršanu aptiekām. </w:t>
            </w:r>
            <w:r>
              <w:rPr>
                <w:rFonts w:ascii="Times New Roman" w:hAnsi="Times New Roman"/>
                <w:sz w:val="24"/>
              </w:rPr>
              <w:t>Jebkurš mēģinājums uzraudzīt un aizliegt aptiekām piešķirtas atlaides būtu saistīts ar lielām problēmām. Aptiekām piešķirtās atlaides būtu jānosaka plaši un rūpīgi, lai novērstu to, ka konkurence starp piegādātājiem tiek vienkārši novirzīta uz citiem konkurences aspektiem. Piemēram, aptiekām piešķirto ģenerisko zāļu atlaižu standarta definīcija neliegtu piegādātājiem konkurēt tādos aspektos kā finansējums pakalpojumiem, kas nav saistīti ar zāļu izsniegšanu, priekšrokas cenu piešķiršana nefarmaceitiskiem produktiem vai ceļojumu vai citu privilēģiju finansēšana. Turklāt aizliegums piešķirt aptiekām atlaides pats par sevi negarantētu cenu konkurences attīstību starp ģenerisko zāļu piegādātājiem, ja nepastāvētu mehānisms šādas konkurences veicināšanai. Tā vietā šāds aizliegums ļautu ģenerisko zāļu ražotājiem saglabāt pašreiz aptiekām piemērotās atlaides.</w:t>
            </w:r>
          </w:p>
          <w:p w14:paraId="1848C2E4" w14:textId="77777777" w:rsidR="00801FAA" w:rsidRPr="004D11C9" w:rsidRDefault="00801FAA" w:rsidP="00801FAA">
            <w:pPr>
              <w:numPr>
                <w:ilvl w:val="1"/>
                <w:numId w:val="4"/>
              </w:numPr>
              <w:ind w:left="426" w:hanging="426"/>
              <w:jc w:val="both"/>
              <w:rPr>
                <w:rFonts w:ascii="Times New Roman" w:hAnsi="Times New Roman"/>
                <w:noProof/>
                <w:sz w:val="24"/>
              </w:rPr>
            </w:pPr>
            <w:r>
              <w:rPr>
                <w:rFonts w:ascii="Times New Roman" w:hAnsi="Times New Roman"/>
                <w:i/>
                <w:sz w:val="24"/>
              </w:rPr>
              <w:t xml:space="preserve">Aptieku tīkla konkurence. </w:t>
            </w:r>
            <w:r>
              <w:rPr>
                <w:rFonts w:ascii="Times New Roman" w:hAnsi="Times New Roman"/>
                <w:sz w:val="24"/>
              </w:rPr>
              <w:t xml:space="preserve">Kā minēts, aptieku konkurence var būt ļoti efektīvs zemu ģenerisko zāļu cenu virzītājspēks. Tomēr mēģinājums izmantot šo pieeju valstī pastāvošajos apstākļos nozīmētu būtiskas un sarežģītas izmaiņas pašreizējā konkurences sistēmā. Turklāt pastāv iespēja, ka daudzas aptiekas paliks ārpus </w:t>
            </w:r>
            <w:r>
              <w:rPr>
                <w:rFonts w:ascii="Times New Roman" w:hAnsi="Times New Roman"/>
                <w:i/>
                <w:sz w:val="24"/>
              </w:rPr>
              <w:t>NPIP</w:t>
            </w:r>
            <w:r>
              <w:rPr>
                <w:rFonts w:ascii="Times New Roman" w:hAnsi="Times New Roman"/>
                <w:sz w:val="24"/>
              </w:rPr>
              <w:t>, kas savukārt negatīvi ietekmēs daudzus pacientus. Tas varētu īpaši nelabvēlīgi ietekmēt vecāka gadagājuma pacientus un pacientus ar ierobežotu kustību spēju, piespiežot daudziem mainīt farmaceitus un mērot lielākas distances, lai saņemtu farmaceita konsultāciju.</w:t>
            </w:r>
          </w:p>
          <w:p w14:paraId="3A69614C" w14:textId="77777777" w:rsidR="00801FAA" w:rsidRDefault="00801FAA" w:rsidP="00801FAA">
            <w:pPr>
              <w:jc w:val="both"/>
              <w:rPr>
                <w:rFonts w:ascii="Times New Roman" w:hAnsi="Times New Roman"/>
                <w:noProof/>
                <w:sz w:val="24"/>
              </w:rPr>
            </w:pPr>
          </w:p>
          <w:p w14:paraId="77C66A7C" w14:textId="77777777" w:rsidR="00801FAA" w:rsidRPr="004D11C9" w:rsidRDefault="00801FAA" w:rsidP="00801FAA">
            <w:pPr>
              <w:jc w:val="both"/>
              <w:rPr>
                <w:rFonts w:ascii="Times New Roman" w:hAnsi="Times New Roman"/>
                <w:noProof/>
                <w:sz w:val="24"/>
              </w:rPr>
            </w:pPr>
            <w:r>
              <w:rPr>
                <w:rFonts w:ascii="Times New Roman" w:hAnsi="Times New Roman"/>
                <w:sz w:val="24"/>
              </w:rPr>
              <w:t>Turpmāk ir izklāstīti galvenie secinājumi, kas iegūti, detalizēti analizējot citus identificētos iespējamos risinājumus un bāzes scenāriju, kurš paredz pastāvošās sistēmas saglabāšanu.</w:t>
            </w:r>
          </w:p>
          <w:p w14:paraId="11F01B00" w14:textId="77777777" w:rsidR="00801FAA" w:rsidRPr="004D11C9" w:rsidRDefault="00801FAA" w:rsidP="00801FAA">
            <w:pPr>
              <w:jc w:val="both"/>
              <w:rPr>
                <w:rFonts w:ascii="Times New Roman" w:eastAsia="Arial" w:hAnsi="Times New Roman" w:cs="Arial"/>
                <w:noProof/>
                <w:sz w:val="24"/>
                <w:szCs w:val="14"/>
              </w:rPr>
            </w:pPr>
          </w:p>
          <w:p w14:paraId="43487D88" w14:textId="77777777" w:rsidR="00801FAA" w:rsidRPr="004D11C9" w:rsidRDefault="00801FAA" w:rsidP="00801FAA">
            <w:pPr>
              <w:tabs>
                <w:tab w:val="left" w:pos="426"/>
              </w:tabs>
              <w:jc w:val="both"/>
              <w:rPr>
                <w:rFonts w:ascii="Times New Roman" w:hAnsi="Times New Roman"/>
                <w:b/>
                <w:i/>
                <w:noProof/>
                <w:sz w:val="24"/>
              </w:rPr>
            </w:pPr>
            <w:r>
              <w:rPr>
                <w:rFonts w:ascii="Times New Roman" w:hAnsi="Times New Roman"/>
                <w:b/>
                <w:i/>
                <w:sz w:val="24"/>
              </w:rPr>
              <w:t>1. Līdzšinējais stāvoklis</w:t>
            </w:r>
          </w:p>
          <w:p w14:paraId="4F049C87" w14:textId="77777777" w:rsidR="00801FAA" w:rsidRDefault="00801FAA" w:rsidP="00801FAA">
            <w:pPr>
              <w:jc w:val="both"/>
              <w:rPr>
                <w:rFonts w:ascii="Times New Roman" w:hAnsi="Times New Roman"/>
                <w:noProof/>
                <w:sz w:val="24"/>
              </w:rPr>
            </w:pPr>
          </w:p>
          <w:p w14:paraId="7EF5C3E0" w14:textId="77777777" w:rsidR="00801FAA" w:rsidRPr="004D11C9" w:rsidRDefault="00801FAA" w:rsidP="00801FAA">
            <w:pPr>
              <w:jc w:val="both"/>
              <w:rPr>
                <w:rFonts w:ascii="Times New Roman" w:hAnsi="Times New Roman"/>
                <w:noProof/>
                <w:sz w:val="24"/>
              </w:rPr>
            </w:pPr>
            <w:r>
              <w:rPr>
                <w:rFonts w:ascii="Times New Roman" w:hAnsi="Times New Roman"/>
                <w:sz w:val="24"/>
              </w:rPr>
              <w:t>Ja pašreizējā konkurences sistēmā netiks veiktas būtiskas izmaiņas, paredzams, ka arī turpmāk pastāvēs augstas ģenerisko zāļu cenas. Izmantojot piegādātāju uzrādīto vidējo aptiekām piešķirto atlaižu līmeni, proti, 55 %, atlaides 2011. gadā palielināja farmaceitisko līdzekļu izmaksas par aptuveni 2,9 miljardiem no 9,7 miljardu ASV dolāru lielajiem kopējiem izdevumiem jeb nedaudz mazāk par 30 %. Turklāt paredzams, ka šo izmaksu apjoms turpmākajos gados varētu palielināties, jo vairākām plaši izmantotām patentētām zālēm beigsies patenta tiesību aizsardzība.</w:t>
            </w:r>
          </w:p>
          <w:p w14:paraId="35686A9A" w14:textId="77777777" w:rsidR="00801FAA" w:rsidRDefault="00801FAA" w:rsidP="00801FAA">
            <w:pPr>
              <w:jc w:val="both"/>
              <w:rPr>
                <w:rFonts w:ascii="Times New Roman" w:hAnsi="Times New Roman"/>
                <w:noProof/>
                <w:sz w:val="24"/>
              </w:rPr>
            </w:pPr>
          </w:p>
          <w:p w14:paraId="01CE641A" w14:textId="77777777" w:rsidR="00801FAA" w:rsidRPr="004D11C9" w:rsidRDefault="00801FAA" w:rsidP="00801FAA">
            <w:pPr>
              <w:jc w:val="both"/>
              <w:rPr>
                <w:rFonts w:ascii="Times New Roman" w:hAnsi="Times New Roman"/>
                <w:noProof/>
                <w:sz w:val="24"/>
              </w:rPr>
            </w:pPr>
            <w:r>
              <w:rPr>
                <w:rFonts w:ascii="Times New Roman" w:hAnsi="Times New Roman"/>
                <w:sz w:val="24"/>
              </w:rPr>
              <w:lastRenderedPageBreak/>
              <w:t>Pašreizējā sistēma arī rada ekonomikai būtiskas netiešas resursu izmaksas, jo izraisa neefektīvus aptieku izmērus. Palielinot aptieku vidējo izmēru no pašreizējām 42 000 receptēm gadā līdz 75 000 receptēm gadā, tiktu ietaupīti aptuveni 1,4–1,5 miljardi ASV dolāru.</w:t>
            </w:r>
          </w:p>
          <w:p w14:paraId="65E2D7DD" w14:textId="77777777" w:rsidR="00801FAA" w:rsidRPr="004D11C9" w:rsidRDefault="00801FAA" w:rsidP="00801FAA">
            <w:pPr>
              <w:jc w:val="both"/>
              <w:rPr>
                <w:rFonts w:ascii="Times New Roman" w:eastAsia="Arial" w:hAnsi="Times New Roman" w:cs="Arial"/>
                <w:noProof/>
                <w:sz w:val="24"/>
                <w:szCs w:val="18"/>
              </w:rPr>
            </w:pPr>
          </w:p>
          <w:p w14:paraId="4A802FC0" w14:textId="77777777" w:rsidR="00801FAA" w:rsidRPr="004D11C9" w:rsidRDefault="00801FAA" w:rsidP="00801FAA">
            <w:pPr>
              <w:jc w:val="both"/>
              <w:rPr>
                <w:rFonts w:ascii="Times New Roman" w:hAnsi="Times New Roman"/>
                <w:noProof/>
                <w:sz w:val="24"/>
              </w:rPr>
            </w:pPr>
            <w:r>
              <w:rPr>
                <w:rFonts w:ascii="Times New Roman" w:hAnsi="Times New Roman"/>
                <w:sz w:val="24"/>
              </w:rPr>
              <w:t>Pašreizējās augstās ģenerisko zāļu izmaksas netieši ietekmē arī vispārējo veselības aprūpes kvalitāti. No vienas puses, pašreizējā sistēmā lielais aptieku skaits dažiem pacientiem var atvieglot piekļuvi aptieku pakalpojumiem. Augstā peļņas norma, ko aptiekām nodrošina tām piešķirtās atlaides, var veicināt arī dažu pacientiem izdevīgu pakalpojumu sniegšanu aptieku savstarpējās konkurences ietvaros, piemēram, ilgāku darba laiku un ilgāku konsultāciju sniegšanu pacientiem.</w:t>
            </w:r>
          </w:p>
          <w:p w14:paraId="32B4A9E6" w14:textId="77777777" w:rsidR="00801FAA" w:rsidRDefault="00801FAA" w:rsidP="00801FAA">
            <w:pPr>
              <w:jc w:val="both"/>
              <w:rPr>
                <w:rFonts w:ascii="Times New Roman" w:eastAsia="Arial" w:hAnsi="Times New Roman" w:cs="Arial"/>
                <w:noProof/>
                <w:sz w:val="24"/>
                <w:szCs w:val="18"/>
              </w:rPr>
            </w:pPr>
          </w:p>
          <w:p w14:paraId="57E6AB87" w14:textId="77777777" w:rsidR="00801FAA" w:rsidRPr="004D11C9" w:rsidRDefault="00801FAA" w:rsidP="00801FAA">
            <w:pPr>
              <w:jc w:val="both"/>
              <w:rPr>
                <w:rFonts w:ascii="Times New Roman" w:eastAsia="Arial" w:hAnsi="Times New Roman" w:cs="Arial"/>
                <w:noProof/>
                <w:sz w:val="24"/>
                <w:szCs w:val="18"/>
              </w:rPr>
            </w:pPr>
            <w:r>
              <w:rPr>
                <w:rFonts w:ascii="Times New Roman" w:hAnsi="Times New Roman"/>
                <w:sz w:val="24"/>
              </w:rPr>
              <w:t>No otras puses, augstas ģenerisko zāļu izmaksas nozīmē to, ka citās veselības aprūpes sistēmas daļās ir pieejams mazāk resursu. Turklāt pētījumos konstatēts, ka farmaceitisko līdzekļu izmaksas var būt svarīgs faktors, kas ietekmē to izmantošanu, it īpaši pacientiem ar zemiem ienākumiem, kuriem retāk ir papildu privātā apdrošināšana. Līdz ar to, ja augstās farmaceitisko līdzekļu cenas ievērojami paaugstina pacientu līdzmaksājumus, daudzos gadījumos pacienti var izlemt atteikties no viņiem parakstīto zāļu lietošanas.</w:t>
            </w:r>
          </w:p>
          <w:p w14:paraId="474F451E" w14:textId="77777777" w:rsidR="00801FAA" w:rsidRDefault="00801FAA" w:rsidP="00801FAA">
            <w:pPr>
              <w:tabs>
                <w:tab w:val="left" w:pos="426"/>
              </w:tabs>
              <w:jc w:val="both"/>
              <w:rPr>
                <w:rFonts w:ascii="Times New Roman" w:hAnsi="Times New Roman"/>
                <w:b/>
                <w:i/>
                <w:noProof/>
                <w:sz w:val="24"/>
              </w:rPr>
            </w:pPr>
          </w:p>
          <w:p w14:paraId="471B5907" w14:textId="77777777" w:rsidR="00801FAA" w:rsidRPr="004D11C9" w:rsidRDefault="00801FAA" w:rsidP="00801FAA">
            <w:pPr>
              <w:tabs>
                <w:tab w:val="left" w:pos="426"/>
              </w:tabs>
              <w:jc w:val="both"/>
              <w:rPr>
                <w:rFonts w:ascii="Times New Roman" w:hAnsi="Times New Roman"/>
                <w:b/>
                <w:i/>
                <w:noProof/>
                <w:sz w:val="24"/>
              </w:rPr>
            </w:pPr>
            <w:r>
              <w:rPr>
                <w:rFonts w:ascii="Times New Roman" w:hAnsi="Times New Roman"/>
                <w:b/>
                <w:i/>
                <w:sz w:val="24"/>
              </w:rPr>
              <w:t>2. Aptiekām piešķirto atlaižu atgūšanas tiesības</w:t>
            </w:r>
          </w:p>
          <w:p w14:paraId="7F33462B" w14:textId="77777777" w:rsidR="00801FAA" w:rsidRPr="004D11C9" w:rsidRDefault="00801FAA" w:rsidP="00801FAA">
            <w:pPr>
              <w:jc w:val="both"/>
              <w:rPr>
                <w:rFonts w:ascii="Times New Roman" w:eastAsia="Arial" w:hAnsi="Times New Roman" w:cs="Arial"/>
                <w:b/>
                <w:bCs/>
                <w:i/>
                <w:noProof/>
                <w:sz w:val="24"/>
                <w:szCs w:val="14"/>
              </w:rPr>
            </w:pPr>
          </w:p>
          <w:p w14:paraId="6D17DDA6" w14:textId="77777777" w:rsidR="00801FAA" w:rsidRPr="004D11C9" w:rsidRDefault="00801FAA" w:rsidP="00801FAA">
            <w:pPr>
              <w:jc w:val="both"/>
              <w:rPr>
                <w:rFonts w:ascii="Times New Roman" w:hAnsi="Times New Roman"/>
                <w:noProof/>
                <w:sz w:val="24"/>
              </w:rPr>
            </w:pPr>
            <w:r>
              <w:rPr>
                <w:rFonts w:ascii="Times New Roman" w:hAnsi="Times New Roman"/>
                <w:sz w:val="24"/>
              </w:rPr>
              <w:t>Atgūšanas tiesību pieejas priekšrocība ir tā, ka šī pieeja sniedz iespēju saglabāt pastāvošo konkurences sistēmu. Tomēr neto ietaupījumi maksātājiem būs atkarīgi no aptiekām piešķirto atlaižu līmeņa, kas ir faktiski uzrādīts, un no tā, cik lielu daļu no šādām atlaidēm aptiekas drīkst paturēt.</w:t>
            </w:r>
          </w:p>
          <w:p w14:paraId="479F1739" w14:textId="77777777" w:rsidR="00801FAA" w:rsidRDefault="00801FAA" w:rsidP="00801FAA">
            <w:pPr>
              <w:jc w:val="both"/>
              <w:rPr>
                <w:rFonts w:ascii="Times New Roman" w:hAnsi="Times New Roman"/>
                <w:noProof/>
                <w:sz w:val="24"/>
              </w:rPr>
            </w:pPr>
          </w:p>
          <w:p w14:paraId="3D4AD188" w14:textId="77777777" w:rsidR="00801FAA" w:rsidRPr="004D11C9" w:rsidRDefault="00801FAA" w:rsidP="00801FAA">
            <w:pPr>
              <w:jc w:val="both"/>
              <w:rPr>
                <w:rFonts w:ascii="Times New Roman" w:hAnsi="Times New Roman"/>
                <w:noProof/>
                <w:sz w:val="24"/>
              </w:rPr>
            </w:pPr>
            <w:r>
              <w:rPr>
                <w:rFonts w:ascii="Times New Roman" w:hAnsi="Times New Roman"/>
                <w:sz w:val="24"/>
              </w:rPr>
              <w:t>Būtiska problēma būtu precīzas informācijas iegūšana par faktisko atlaižu lielumu un neto konkurētspējīgajām cenām. Kā minēts iepriekš, aptiekām piešķirtās atlaidēs būtu jānosaka plaši un rūpīgi, lai novērstu to, ka konkurence starp piegādātājiem vienkārši tiek novirzīta uz citiem konkurences aspektiem, un būtu vajadzīga arī uzraudzības sistēma, lai novērstu atlaižu nepaziņošanu. Pat ja šāds regulējums tiktu ieviests, nav paredzams, ka tas pilnībā aptvertu konkurētspējīgas ģenerisko zāļu cenas, ņemot vērā plašo stimulu klāstu, ko piegādātāji varētu sniegt aptiekām, lai izplatītu savus produktus, un augsto konkurences līmeni daudzu ģenerisko zāļu piegādes jomā.</w:t>
            </w:r>
          </w:p>
          <w:p w14:paraId="7A55107D" w14:textId="77777777" w:rsidR="00801FAA" w:rsidRDefault="00801FAA" w:rsidP="00801FAA">
            <w:pPr>
              <w:jc w:val="both"/>
              <w:rPr>
                <w:rFonts w:ascii="Times New Roman" w:hAnsi="Times New Roman"/>
                <w:noProof/>
                <w:sz w:val="24"/>
              </w:rPr>
            </w:pPr>
          </w:p>
          <w:p w14:paraId="2C66938E" w14:textId="77777777" w:rsidR="00801FAA" w:rsidRDefault="00801FAA" w:rsidP="00801FAA">
            <w:pPr>
              <w:jc w:val="both"/>
              <w:rPr>
                <w:rFonts w:ascii="Times New Roman" w:hAnsi="Times New Roman"/>
                <w:noProof/>
                <w:sz w:val="24"/>
              </w:rPr>
            </w:pPr>
            <w:r>
              <w:rPr>
                <w:rFonts w:ascii="Times New Roman" w:hAnsi="Times New Roman"/>
                <w:sz w:val="24"/>
              </w:rPr>
              <w:t>Saistībā ar atgūšanas pieejas izmantošanu pastāv bažas arī par to, vai turpmāk būs iespējams augstā līmenī nodrošināt aizstāšanu ar ģeneriskajām zālēm. Lai nodrošinātu aptiekām finansiālu stimulu izsniegt ģeneriskas zāles, tām būtu jāpiedāvā vai nu uzcenojums, vai arī atlaides attiecībā uz ģeneriskajām zālēm, kas atbilst ne mazāk kā 25 % no pašreizējām cenrādī norādītajām ģenerisko zāļu cenām. Kā norādīts nākamajā tabulā, atgūšanas tiesības 75 % apmērā, atstājot aptiekām 25 %, nodrošina aptiekai neto peļņu 10,10 ASV dolāru apmērā par ģenerisku zāļu izsniegšanu un 10 ASV dolāru apmērā par tādu zāļu izsniegšanu, kas marķētas ar firmas zīmi, tad, ja ģenerisko zāļu cena ir 61 % no to zāļu cenas, kas marķētas ar firmas zīmi.</w:t>
            </w:r>
          </w:p>
          <w:p w14:paraId="76378A12" w14:textId="77777777" w:rsidR="00801FAA" w:rsidRPr="004D11C9" w:rsidRDefault="00801FAA" w:rsidP="00801FAA">
            <w:pPr>
              <w:jc w:val="both"/>
              <w:rPr>
                <w:rFonts w:ascii="Times New Roman" w:hAnsi="Times New Roman"/>
                <w:noProof/>
                <w:sz w:val="24"/>
              </w:rPr>
            </w:pPr>
          </w:p>
          <w:p w14:paraId="4BB8CC6D" w14:textId="77777777" w:rsidR="00801FAA" w:rsidRPr="004D11C9" w:rsidRDefault="00801FAA" w:rsidP="00801FAA">
            <w:pPr>
              <w:jc w:val="center"/>
              <w:rPr>
                <w:rFonts w:ascii="Times New Roman" w:hAnsi="Times New Roman"/>
                <w:b/>
                <w:noProof/>
                <w:sz w:val="24"/>
              </w:rPr>
            </w:pPr>
            <w:r>
              <w:rPr>
                <w:rFonts w:ascii="Times New Roman" w:hAnsi="Times New Roman"/>
                <w:b/>
                <w:sz w:val="24"/>
              </w:rPr>
              <w:t>Aptiekas peļņa no tādu zāļu izsniegšanas, kas marķētas ar firmas zīmi, un no ģenerisko zāļu izsniegšanas tad, ja piemēro atgūšanas tiesības 75 % apmērā</w:t>
            </w:r>
          </w:p>
          <w:p w14:paraId="0B873D0E" w14:textId="77777777" w:rsidR="00801FAA" w:rsidRDefault="00801FAA" w:rsidP="00801FAA">
            <w:pPr>
              <w:jc w:val="both"/>
              <w:rPr>
                <w:rFonts w:ascii="Times New Roman" w:eastAsia="Arial" w:hAnsi="Times New Roman" w:cs="Arial"/>
                <w:noProof/>
                <w:sz w:val="24"/>
                <w:szCs w:val="1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998"/>
              <w:gridCol w:w="2999"/>
              <w:gridCol w:w="2999"/>
            </w:tblGrid>
            <w:tr w:rsidR="00801FAA" w14:paraId="26816E4A" w14:textId="77777777" w:rsidTr="00CC3E5E">
              <w:tc>
                <w:tcPr>
                  <w:tcW w:w="3020" w:type="dxa"/>
                </w:tcPr>
                <w:p w14:paraId="5E3DF230" w14:textId="77777777" w:rsidR="00801FAA" w:rsidRDefault="00801FAA" w:rsidP="00801FAA">
                  <w:pPr>
                    <w:jc w:val="both"/>
                    <w:rPr>
                      <w:rFonts w:ascii="Times New Roman" w:eastAsia="Arial" w:hAnsi="Times New Roman" w:cs="Arial"/>
                      <w:noProof/>
                      <w:sz w:val="24"/>
                      <w:szCs w:val="14"/>
                    </w:rPr>
                  </w:pPr>
                  <w:r>
                    <w:rPr>
                      <w:rFonts w:ascii="Times New Roman" w:hAnsi="Times New Roman"/>
                      <w:b/>
                      <w:sz w:val="24"/>
                    </w:rPr>
                    <w:t>Kategorija</w:t>
                  </w:r>
                </w:p>
              </w:tc>
              <w:tc>
                <w:tcPr>
                  <w:tcW w:w="3021" w:type="dxa"/>
                </w:tcPr>
                <w:p w14:paraId="09810CCF" w14:textId="77777777" w:rsidR="00801FAA" w:rsidRDefault="00801FAA" w:rsidP="00801FAA">
                  <w:pPr>
                    <w:jc w:val="both"/>
                    <w:rPr>
                      <w:rFonts w:ascii="Times New Roman" w:eastAsia="Arial" w:hAnsi="Times New Roman" w:cs="Arial"/>
                      <w:noProof/>
                      <w:sz w:val="24"/>
                      <w:szCs w:val="14"/>
                    </w:rPr>
                  </w:pPr>
                  <w:r>
                    <w:rPr>
                      <w:rFonts w:ascii="Times New Roman" w:hAnsi="Times New Roman"/>
                      <w:b/>
                      <w:sz w:val="24"/>
                    </w:rPr>
                    <w:t>Ar firmas zīmi marķētu zāļu uzcenojums 15 % apmērā</w:t>
                  </w:r>
                </w:p>
              </w:tc>
              <w:tc>
                <w:tcPr>
                  <w:tcW w:w="3021" w:type="dxa"/>
                </w:tcPr>
                <w:p w14:paraId="36D50DDB" w14:textId="77777777" w:rsidR="00801FAA" w:rsidRDefault="00801FAA" w:rsidP="00801FAA">
                  <w:pPr>
                    <w:jc w:val="both"/>
                    <w:rPr>
                      <w:rFonts w:ascii="Times New Roman" w:eastAsia="Arial" w:hAnsi="Times New Roman" w:cs="Arial"/>
                      <w:noProof/>
                      <w:sz w:val="24"/>
                      <w:szCs w:val="14"/>
                    </w:rPr>
                  </w:pPr>
                  <w:r>
                    <w:rPr>
                      <w:rFonts w:ascii="Times New Roman" w:hAnsi="Times New Roman"/>
                      <w:b/>
                      <w:sz w:val="24"/>
                    </w:rPr>
                    <w:t>Ģenerisko zāļu uzcenojums 25 % apmērā</w:t>
                  </w:r>
                </w:p>
              </w:tc>
            </w:tr>
            <w:tr w:rsidR="00801FAA" w14:paraId="5A0B5CAD" w14:textId="77777777" w:rsidTr="00CC3E5E">
              <w:tc>
                <w:tcPr>
                  <w:tcW w:w="3020" w:type="dxa"/>
                </w:tcPr>
                <w:p w14:paraId="4E70DDA8" w14:textId="77777777" w:rsidR="00801FAA" w:rsidRDefault="00801FAA" w:rsidP="00801FAA">
                  <w:pPr>
                    <w:jc w:val="both"/>
                    <w:rPr>
                      <w:rFonts w:ascii="Times New Roman" w:eastAsia="Arial" w:hAnsi="Times New Roman" w:cs="Arial"/>
                      <w:noProof/>
                      <w:sz w:val="24"/>
                      <w:szCs w:val="14"/>
                    </w:rPr>
                  </w:pPr>
                  <w:r>
                    <w:rPr>
                      <w:rFonts w:ascii="Times New Roman" w:hAnsi="Times New Roman"/>
                      <w:sz w:val="24"/>
                    </w:rPr>
                    <w:t>Cenrāža cena</w:t>
                  </w:r>
                </w:p>
              </w:tc>
              <w:tc>
                <w:tcPr>
                  <w:tcW w:w="3021" w:type="dxa"/>
                </w:tcPr>
                <w:p w14:paraId="5AF44887" w14:textId="77777777" w:rsidR="00801FAA" w:rsidRDefault="00801FAA" w:rsidP="00801FAA">
                  <w:pPr>
                    <w:jc w:val="both"/>
                    <w:rPr>
                      <w:rFonts w:ascii="Times New Roman" w:eastAsia="Arial" w:hAnsi="Times New Roman" w:cs="Arial"/>
                      <w:noProof/>
                      <w:sz w:val="24"/>
                      <w:szCs w:val="14"/>
                    </w:rPr>
                  </w:pPr>
                  <w:r>
                    <w:rPr>
                      <w:rFonts w:ascii="Times New Roman" w:hAnsi="Times New Roman"/>
                      <w:sz w:val="24"/>
                    </w:rPr>
                    <w:t>40,00 USD</w:t>
                  </w:r>
                </w:p>
              </w:tc>
              <w:tc>
                <w:tcPr>
                  <w:tcW w:w="3021" w:type="dxa"/>
                </w:tcPr>
                <w:p w14:paraId="688F3C5B" w14:textId="77777777" w:rsidR="00801FAA" w:rsidRDefault="00801FAA" w:rsidP="00801FAA">
                  <w:pPr>
                    <w:jc w:val="both"/>
                    <w:rPr>
                      <w:rFonts w:ascii="Times New Roman" w:eastAsia="Arial" w:hAnsi="Times New Roman" w:cs="Arial"/>
                      <w:noProof/>
                      <w:sz w:val="24"/>
                      <w:szCs w:val="14"/>
                    </w:rPr>
                  </w:pPr>
                  <w:r>
                    <w:rPr>
                      <w:rFonts w:ascii="Times New Roman" w:hAnsi="Times New Roman"/>
                      <w:sz w:val="24"/>
                    </w:rPr>
                    <w:t>24,40 USD</w:t>
                  </w:r>
                </w:p>
              </w:tc>
            </w:tr>
            <w:tr w:rsidR="00801FAA" w14:paraId="237D816D" w14:textId="77777777" w:rsidTr="00CC3E5E">
              <w:tc>
                <w:tcPr>
                  <w:tcW w:w="3020" w:type="dxa"/>
                </w:tcPr>
                <w:p w14:paraId="00EF4F17" w14:textId="77777777" w:rsidR="00801FAA" w:rsidRDefault="00801FAA" w:rsidP="00801FAA">
                  <w:pPr>
                    <w:jc w:val="both"/>
                    <w:rPr>
                      <w:rFonts w:ascii="Times New Roman" w:eastAsia="Arial" w:hAnsi="Times New Roman" w:cs="Arial"/>
                      <w:noProof/>
                      <w:sz w:val="24"/>
                      <w:szCs w:val="14"/>
                    </w:rPr>
                  </w:pPr>
                  <w:r>
                    <w:rPr>
                      <w:rFonts w:ascii="Times New Roman" w:hAnsi="Times New Roman"/>
                      <w:sz w:val="24"/>
                    </w:rPr>
                    <w:lastRenderedPageBreak/>
                    <w:t>Izsniegšanas maksa</w:t>
                  </w:r>
                </w:p>
              </w:tc>
              <w:tc>
                <w:tcPr>
                  <w:tcW w:w="3021" w:type="dxa"/>
                </w:tcPr>
                <w:p w14:paraId="77B9CA97" w14:textId="77777777" w:rsidR="00801FAA" w:rsidRDefault="00801FAA" w:rsidP="00801FAA">
                  <w:pPr>
                    <w:jc w:val="both"/>
                    <w:rPr>
                      <w:rFonts w:ascii="Times New Roman" w:eastAsia="Arial" w:hAnsi="Times New Roman" w:cs="Arial"/>
                      <w:noProof/>
                      <w:sz w:val="24"/>
                      <w:szCs w:val="14"/>
                    </w:rPr>
                  </w:pPr>
                  <w:r>
                    <w:rPr>
                      <w:rFonts w:ascii="Times New Roman" w:hAnsi="Times New Roman"/>
                      <w:sz w:val="24"/>
                    </w:rPr>
                    <w:t>4,00 USD</w:t>
                  </w:r>
                </w:p>
              </w:tc>
              <w:tc>
                <w:tcPr>
                  <w:tcW w:w="3021" w:type="dxa"/>
                </w:tcPr>
                <w:p w14:paraId="2D9E0DA0" w14:textId="77777777" w:rsidR="00801FAA" w:rsidRDefault="00801FAA" w:rsidP="00801FAA">
                  <w:pPr>
                    <w:jc w:val="both"/>
                    <w:rPr>
                      <w:rFonts w:ascii="Times New Roman" w:eastAsia="Arial" w:hAnsi="Times New Roman" w:cs="Arial"/>
                      <w:noProof/>
                      <w:sz w:val="24"/>
                      <w:szCs w:val="14"/>
                    </w:rPr>
                  </w:pPr>
                  <w:r>
                    <w:rPr>
                      <w:rFonts w:ascii="Times New Roman" w:hAnsi="Times New Roman"/>
                      <w:sz w:val="24"/>
                    </w:rPr>
                    <w:t>4,00 USD</w:t>
                  </w:r>
                </w:p>
              </w:tc>
            </w:tr>
            <w:tr w:rsidR="00801FAA" w14:paraId="632A3686" w14:textId="77777777" w:rsidTr="00CC3E5E">
              <w:tc>
                <w:tcPr>
                  <w:tcW w:w="3020" w:type="dxa"/>
                </w:tcPr>
                <w:p w14:paraId="20DB0552" w14:textId="77777777" w:rsidR="00801FAA" w:rsidRDefault="00801FAA" w:rsidP="00801FAA">
                  <w:pPr>
                    <w:jc w:val="both"/>
                    <w:rPr>
                      <w:rFonts w:ascii="Times New Roman" w:eastAsia="Arial" w:hAnsi="Times New Roman" w:cs="Arial"/>
                      <w:noProof/>
                      <w:sz w:val="24"/>
                      <w:szCs w:val="14"/>
                    </w:rPr>
                  </w:pPr>
                  <w:r>
                    <w:rPr>
                      <w:rFonts w:ascii="Times New Roman" w:hAnsi="Times New Roman"/>
                      <w:sz w:val="24"/>
                    </w:rPr>
                    <w:t>Uzcenojums</w:t>
                  </w:r>
                </w:p>
              </w:tc>
              <w:tc>
                <w:tcPr>
                  <w:tcW w:w="3021" w:type="dxa"/>
                </w:tcPr>
                <w:p w14:paraId="0D67E2A6" w14:textId="77777777" w:rsidR="00801FAA" w:rsidRDefault="00801FAA" w:rsidP="00801FAA">
                  <w:pPr>
                    <w:jc w:val="both"/>
                    <w:rPr>
                      <w:rFonts w:ascii="Times New Roman" w:eastAsia="Arial" w:hAnsi="Times New Roman" w:cs="Arial"/>
                      <w:noProof/>
                      <w:sz w:val="24"/>
                      <w:szCs w:val="14"/>
                    </w:rPr>
                  </w:pPr>
                  <w:r>
                    <w:rPr>
                      <w:rFonts w:ascii="Times New Roman" w:hAnsi="Times New Roman"/>
                      <w:sz w:val="24"/>
                    </w:rPr>
                    <w:t>6,00 USD</w:t>
                  </w:r>
                </w:p>
              </w:tc>
              <w:tc>
                <w:tcPr>
                  <w:tcW w:w="3021" w:type="dxa"/>
                </w:tcPr>
                <w:p w14:paraId="656EB532" w14:textId="77777777" w:rsidR="00801FAA" w:rsidRDefault="00801FAA" w:rsidP="00801FAA">
                  <w:pPr>
                    <w:jc w:val="both"/>
                    <w:rPr>
                      <w:rFonts w:ascii="Times New Roman" w:eastAsia="Arial" w:hAnsi="Times New Roman" w:cs="Arial"/>
                      <w:noProof/>
                      <w:sz w:val="24"/>
                      <w:szCs w:val="14"/>
                    </w:rPr>
                  </w:pPr>
                  <w:r>
                    <w:rPr>
                      <w:rFonts w:ascii="Times New Roman" w:hAnsi="Times New Roman"/>
                      <w:sz w:val="24"/>
                    </w:rPr>
                    <w:t>6,10 USD</w:t>
                  </w:r>
                </w:p>
              </w:tc>
            </w:tr>
            <w:tr w:rsidR="00801FAA" w14:paraId="71ED96E5" w14:textId="77777777" w:rsidTr="00CC3E5E">
              <w:tc>
                <w:tcPr>
                  <w:tcW w:w="3020" w:type="dxa"/>
                </w:tcPr>
                <w:p w14:paraId="657A9A14" w14:textId="77777777" w:rsidR="00801FAA" w:rsidRDefault="00801FAA" w:rsidP="00801FAA">
                  <w:pPr>
                    <w:jc w:val="both"/>
                    <w:rPr>
                      <w:rFonts w:ascii="Times New Roman" w:eastAsia="Arial" w:hAnsi="Times New Roman" w:cs="Arial"/>
                      <w:noProof/>
                      <w:sz w:val="24"/>
                      <w:szCs w:val="14"/>
                    </w:rPr>
                  </w:pPr>
                  <w:r>
                    <w:rPr>
                      <w:rFonts w:ascii="Times New Roman" w:hAnsi="Times New Roman"/>
                      <w:sz w:val="24"/>
                    </w:rPr>
                    <w:t>Aptiekas peļņa</w:t>
                  </w:r>
                </w:p>
              </w:tc>
              <w:tc>
                <w:tcPr>
                  <w:tcW w:w="3021" w:type="dxa"/>
                </w:tcPr>
                <w:p w14:paraId="2B75E495" w14:textId="77777777" w:rsidR="00801FAA" w:rsidRDefault="00801FAA" w:rsidP="00801FAA">
                  <w:pPr>
                    <w:jc w:val="both"/>
                    <w:rPr>
                      <w:rFonts w:ascii="Times New Roman" w:eastAsia="Arial" w:hAnsi="Times New Roman" w:cs="Arial"/>
                      <w:noProof/>
                      <w:sz w:val="24"/>
                      <w:szCs w:val="14"/>
                    </w:rPr>
                  </w:pPr>
                  <w:r>
                    <w:rPr>
                      <w:rFonts w:ascii="Times New Roman" w:hAnsi="Times New Roman"/>
                      <w:sz w:val="24"/>
                    </w:rPr>
                    <w:t>10,00 USD</w:t>
                  </w:r>
                </w:p>
              </w:tc>
              <w:tc>
                <w:tcPr>
                  <w:tcW w:w="3021" w:type="dxa"/>
                </w:tcPr>
                <w:p w14:paraId="64CEF082" w14:textId="77777777" w:rsidR="00801FAA" w:rsidRDefault="00801FAA" w:rsidP="00801FAA">
                  <w:pPr>
                    <w:jc w:val="both"/>
                    <w:rPr>
                      <w:rFonts w:ascii="Times New Roman" w:eastAsia="Arial" w:hAnsi="Times New Roman" w:cs="Arial"/>
                      <w:noProof/>
                      <w:sz w:val="24"/>
                      <w:szCs w:val="14"/>
                    </w:rPr>
                  </w:pPr>
                  <w:r>
                    <w:rPr>
                      <w:rFonts w:ascii="Times New Roman" w:hAnsi="Times New Roman"/>
                      <w:sz w:val="24"/>
                    </w:rPr>
                    <w:t>10,10 USD</w:t>
                  </w:r>
                </w:p>
              </w:tc>
            </w:tr>
          </w:tbl>
          <w:p w14:paraId="42C2D011" w14:textId="77777777" w:rsidR="00801FAA" w:rsidRDefault="00801FAA" w:rsidP="00801FAA">
            <w:pPr>
              <w:jc w:val="both"/>
              <w:rPr>
                <w:rFonts w:ascii="Times New Roman" w:eastAsia="Arial" w:hAnsi="Times New Roman" w:cs="Arial"/>
                <w:noProof/>
                <w:sz w:val="24"/>
                <w:szCs w:val="14"/>
              </w:rPr>
            </w:pPr>
          </w:p>
          <w:p w14:paraId="46B50633" w14:textId="77777777" w:rsidR="00801FAA" w:rsidRPr="004D11C9" w:rsidRDefault="00801FAA" w:rsidP="00801FAA">
            <w:pPr>
              <w:jc w:val="both"/>
              <w:rPr>
                <w:rFonts w:ascii="Times New Roman" w:hAnsi="Times New Roman"/>
                <w:noProof/>
                <w:sz w:val="24"/>
              </w:rPr>
            </w:pPr>
            <w:r>
              <w:rPr>
                <w:rFonts w:ascii="Times New Roman" w:hAnsi="Times New Roman"/>
                <w:sz w:val="24"/>
              </w:rPr>
              <w:t>Tomēr var atzīmēt, ka 25 % uzcenojums neradītu finansiālu stimulu aptiekām izsniegt ģeneriskās zāles, kuru cenas ir zemākas par 60 % no to zāļu cenas, kas ir marķētas ar firmas zīmi. Būtu nepieciešams lielāks uzcenojums, lai stimulētu aptiekas izsniegt šādas ģeneriskās zāles.</w:t>
            </w:r>
          </w:p>
          <w:p w14:paraId="29BBAD31" w14:textId="77777777" w:rsidR="00801FAA" w:rsidRPr="004D11C9" w:rsidRDefault="00801FAA" w:rsidP="00801FAA">
            <w:pPr>
              <w:jc w:val="both"/>
              <w:rPr>
                <w:rFonts w:ascii="Times New Roman" w:eastAsia="Arial" w:hAnsi="Times New Roman" w:cs="Arial"/>
                <w:noProof/>
                <w:sz w:val="24"/>
                <w:szCs w:val="15"/>
              </w:rPr>
            </w:pPr>
          </w:p>
          <w:p w14:paraId="1FF00266" w14:textId="77777777" w:rsidR="00801FAA" w:rsidRPr="004D11C9" w:rsidRDefault="00801FAA" w:rsidP="00801FAA">
            <w:pPr>
              <w:jc w:val="both"/>
              <w:rPr>
                <w:rFonts w:ascii="Times New Roman" w:hAnsi="Times New Roman"/>
                <w:noProof/>
                <w:sz w:val="24"/>
              </w:rPr>
            </w:pPr>
            <w:r>
              <w:rPr>
                <w:rFonts w:ascii="Times New Roman" w:hAnsi="Times New Roman"/>
                <w:sz w:val="24"/>
              </w:rPr>
              <w:t>Alternatīvs stimuls aptiekām izsniegt ģeneriskas zāles būtu pilnvarojums izsniegt ģeneriskās zāles tad, ja to nav aizliedzis zāles parakstošais ārsts. Tomēr, lai efektīvi nodrošinātu šīs prasības izpildi, visticamāk, būtu nepieciešama aptieku zāļu izsniegšanas prakses augsta līmeņa uzraudzība un izpildes nodrošināšana.</w:t>
            </w:r>
          </w:p>
          <w:p w14:paraId="5598D57A" w14:textId="77777777" w:rsidR="00801FAA" w:rsidRDefault="00801FAA" w:rsidP="00801FAA">
            <w:pPr>
              <w:jc w:val="both"/>
              <w:rPr>
                <w:rFonts w:ascii="Times New Roman" w:hAnsi="Times New Roman"/>
                <w:noProof/>
                <w:sz w:val="24"/>
              </w:rPr>
            </w:pPr>
          </w:p>
          <w:p w14:paraId="63427BAA" w14:textId="77777777" w:rsidR="00801FAA" w:rsidRPr="004D11C9" w:rsidRDefault="00801FAA" w:rsidP="00801FAA">
            <w:pPr>
              <w:jc w:val="both"/>
              <w:rPr>
                <w:rFonts w:ascii="Times New Roman" w:hAnsi="Times New Roman"/>
                <w:noProof/>
                <w:sz w:val="24"/>
              </w:rPr>
            </w:pPr>
            <w:r>
              <w:rPr>
                <w:rFonts w:ascii="Times New Roman" w:hAnsi="Times New Roman"/>
                <w:sz w:val="24"/>
              </w:rPr>
              <w:t>Vēl viena alternatīva, lai uzturētu aizstāšanu ar ģeneriskajām zālēm augstā līmenī, būtu ierobežot maksimālo kompensāciju par ģeneriskajām zālēm ģenerisko zāļu cenu līmenī, ja vien receptē nav aizliegts veikt šādu aizstāšanu. Pacientiem, kas tomēr vēlētos iegādāties ar firmas zīmi marķētu produktu, būtu atļauts to darīt, bet viņiem būtu jāsedz papildu izmaksas.</w:t>
            </w:r>
          </w:p>
          <w:p w14:paraId="088F1A81" w14:textId="77777777" w:rsidR="00801FAA" w:rsidRDefault="00801FAA" w:rsidP="00801FAA">
            <w:pPr>
              <w:jc w:val="both"/>
              <w:rPr>
                <w:rFonts w:ascii="Times New Roman" w:hAnsi="Times New Roman"/>
                <w:noProof/>
                <w:sz w:val="24"/>
              </w:rPr>
            </w:pPr>
          </w:p>
          <w:p w14:paraId="74F86FFF" w14:textId="77777777" w:rsidR="00801FAA" w:rsidRPr="004D11C9" w:rsidRDefault="00801FAA" w:rsidP="00801FAA">
            <w:pPr>
              <w:jc w:val="both"/>
              <w:rPr>
                <w:rFonts w:ascii="Times New Roman" w:hAnsi="Times New Roman"/>
                <w:noProof/>
                <w:sz w:val="24"/>
              </w:rPr>
            </w:pPr>
            <w:r>
              <w:rPr>
                <w:rFonts w:ascii="Times New Roman" w:hAnsi="Times New Roman"/>
                <w:sz w:val="24"/>
              </w:rPr>
              <w:t>Saistībā ar atgūšanas tiesību pieejas izmantošanu papildu sarežģījums būtu tas, kā nodrošināt, ka labumu gūst arī privātie maksātāji. Tas varētu būt īpaši problemātiski personām, kas maksā par farmaceitiskajiem līdzekļiem no personiskajiem līdzekļiem, ja vien pārdošanas laikā netiek veikts atgūšanas maksājums. Šo problēmu iespējams novērst, izmantojot paziņotās atlaides aptiekām, lai samazinātu maksimālās izsniegšanas cenas, kas ir norādītas cenrādī.</w:t>
            </w:r>
          </w:p>
          <w:p w14:paraId="79ED7F1F" w14:textId="77777777" w:rsidR="00801FAA" w:rsidRDefault="00801FAA" w:rsidP="00801FAA">
            <w:pPr>
              <w:jc w:val="both"/>
              <w:rPr>
                <w:rFonts w:ascii="Times New Roman" w:hAnsi="Times New Roman"/>
                <w:noProof/>
                <w:sz w:val="24"/>
              </w:rPr>
            </w:pPr>
          </w:p>
          <w:p w14:paraId="2732C146" w14:textId="77777777" w:rsidR="00801FAA" w:rsidRPr="004D11C9" w:rsidRDefault="00801FAA" w:rsidP="00801FAA">
            <w:pPr>
              <w:jc w:val="both"/>
              <w:rPr>
                <w:rFonts w:ascii="Times New Roman" w:hAnsi="Times New Roman"/>
                <w:noProof/>
                <w:sz w:val="24"/>
              </w:rPr>
            </w:pPr>
            <w:r>
              <w:rPr>
                <w:rFonts w:ascii="Times New Roman" w:hAnsi="Times New Roman"/>
                <w:sz w:val="24"/>
              </w:rPr>
              <w:t>Atgūšanas tiesību pieeja būtu saistīta ar būtiskām pastāvīgām izmaksām, kas rodas, uzraugot aptiekām piešķirtās atlaides un norēķinoties ar aptiekām. Atgūšanas tiesību pieejas netiešā ietekme uz aptieku nozari būtu atkarīga no to aptiekām piešķirto atlaižu līmeņa, kuras tām ir atļauts paturēt. Ja atļauts paturēt atlaides, kas atbilst 25 % no ģenerisko zāļu cenām, tas palielinātu kopējo izsniegšanas maksu no aptuveni 2,83 miljardiem ASV dolāru līdz aptuveni 3,45 miljardiem ASV dolāru. Savukārt pašreizējā izsniegšanas maksa un atlaides, ko saņem aptiekas, sasniedz 6,28 miljardus ASV dolāru.</w:t>
            </w:r>
          </w:p>
          <w:p w14:paraId="612D5B64" w14:textId="77777777" w:rsidR="00801FAA" w:rsidRDefault="00801FAA" w:rsidP="00801FAA">
            <w:pPr>
              <w:jc w:val="both"/>
              <w:rPr>
                <w:rFonts w:ascii="Times New Roman" w:hAnsi="Times New Roman"/>
                <w:noProof/>
                <w:sz w:val="24"/>
              </w:rPr>
            </w:pPr>
          </w:p>
          <w:p w14:paraId="2417F7AD" w14:textId="77777777" w:rsidR="00801FAA" w:rsidRPr="004D11C9" w:rsidRDefault="00801FAA" w:rsidP="00801FAA">
            <w:pPr>
              <w:jc w:val="both"/>
              <w:rPr>
                <w:rFonts w:ascii="Times New Roman" w:hAnsi="Times New Roman"/>
                <w:noProof/>
                <w:sz w:val="24"/>
              </w:rPr>
            </w:pPr>
            <w:r>
              <w:rPr>
                <w:rFonts w:ascii="Times New Roman" w:hAnsi="Times New Roman"/>
                <w:sz w:val="24"/>
              </w:rPr>
              <w:t>Lai gan šie neto zaudējumi, visticamāk, izraisītu to, ka liels skaits aptieku pamestu tirgu, maz ticams, ka tas radītu būtiskas aptieku pieejamības problēmas, it īpaši pilsētās, kurās ir liels aptieku blīvums. Pastāv iespēja, ka daži lauku rajoni tiks būtiski ietekmēti un tajos turpmāk būs nepieciešami noteikti koriģējoši pasākumi.</w:t>
            </w:r>
          </w:p>
          <w:p w14:paraId="46857459" w14:textId="77777777" w:rsidR="00801FAA" w:rsidRDefault="00801FAA" w:rsidP="00801FAA">
            <w:pPr>
              <w:jc w:val="both"/>
              <w:rPr>
                <w:rFonts w:ascii="Times New Roman" w:hAnsi="Times New Roman"/>
                <w:noProof/>
                <w:sz w:val="24"/>
              </w:rPr>
            </w:pPr>
          </w:p>
          <w:p w14:paraId="08CD65A2" w14:textId="77777777" w:rsidR="00801FAA" w:rsidRPr="004D11C9" w:rsidRDefault="00801FAA" w:rsidP="00801FAA">
            <w:pPr>
              <w:jc w:val="both"/>
              <w:rPr>
                <w:rFonts w:ascii="Times New Roman" w:hAnsi="Times New Roman"/>
                <w:noProof/>
                <w:sz w:val="24"/>
              </w:rPr>
            </w:pPr>
            <w:r>
              <w:rPr>
                <w:rFonts w:ascii="Times New Roman" w:hAnsi="Times New Roman"/>
                <w:sz w:val="24"/>
              </w:rPr>
              <w:t>Centieni atgūt daudz augstāku aptiekām piešķirto atlaižu līmeni varētu būtiski ietekmēt aptieku tīkla blīvumu un farmaceitu pakalpojumu pieejamību pacientiem. Lai to nepieļautu, var būt nepieciešami alternatīvi līdzekļi aptiekas finansēšanai, piemēram, lielāka izsniegšanas maksa vai finansējums par citiem farmaceita pakalpojumiem, piemēram, par zāļu novērtējumiem, zāļu izrakstīšanu vieglu slimību ārstēšanai, diabēta zāļu pārvaldību, vakcinēšanu, kā arī laboratorijas testu pasūtīšanu un rezultātu interpretēšanu ar zālēm saistītos gadījumos.</w:t>
            </w:r>
          </w:p>
          <w:p w14:paraId="4AC0AF86" w14:textId="77777777" w:rsidR="00801FAA" w:rsidRDefault="00801FAA" w:rsidP="00801FAA">
            <w:pPr>
              <w:jc w:val="both"/>
              <w:rPr>
                <w:rFonts w:ascii="Times New Roman" w:hAnsi="Times New Roman"/>
                <w:noProof/>
                <w:sz w:val="24"/>
              </w:rPr>
            </w:pPr>
          </w:p>
          <w:p w14:paraId="5D1A7FF2" w14:textId="77777777" w:rsidR="00801FAA" w:rsidRPr="004D11C9" w:rsidRDefault="00801FAA" w:rsidP="00801FAA">
            <w:pPr>
              <w:jc w:val="both"/>
              <w:rPr>
                <w:rFonts w:ascii="Times New Roman" w:hAnsi="Times New Roman"/>
                <w:noProof/>
                <w:sz w:val="24"/>
              </w:rPr>
            </w:pPr>
            <w:r>
              <w:rPr>
                <w:rFonts w:ascii="Times New Roman" w:hAnsi="Times New Roman"/>
                <w:sz w:val="24"/>
              </w:rPr>
              <w:t>Aptieku iebildumi pret atlaižu atdošanu lielā mērā būs atkarīgi no šāda pasākuma tīrās ietekmes uz to ieņēmumiem, kā arī no to papildu izmaksu summas, kas tām radušās saistībā ar atskaitīšanos un norēķināšanos par saņemtajām atlaidēm. Būtiska piegādātāju pretestība var rasties atkarībā no piegādātājiem noteiktajām ziņošanas prasībām. Citādi pieeja daudzējādā ziņā saglabā to pašu sistēmu, kurā ģenerisko zāļu piegādātāji pašlaik konkurē.</w:t>
            </w:r>
          </w:p>
          <w:p w14:paraId="5CAB3FB4" w14:textId="77777777" w:rsidR="00801FAA" w:rsidRDefault="00801FAA" w:rsidP="00801FAA">
            <w:pPr>
              <w:tabs>
                <w:tab w:val="left" w:pos="426"/>
              </w:tabs>
              <w:jc w:val="both"/>
              <w:rPr>
                <w:rFonts w:ascii="Times New Roman" w:hAnsi="Times New Roman"/>
                <w:b/>
                <w:i/>
                <w:noProof/>
                <w:sz w:val="24"/>
              </w:rPr>
            </w:pPr>
          </w:p>
          <w:p w14:paraId="30B7BF99" w14:textId="77777777" w:rsidR="00801FAA" w:rsidRPr="004D11C9" w:rsidRDefault="00801FAA" w:rsidP="00801FAA">
            <w:pPr>
              <w:tabs>
                <w:tab w:val="left" w:pos="426"/>
              </w:tabs>
              <w:jc w:val="both"/>
              <w:rPr>
                <w:rFonts w:ascii="Times New Roman" w:hAnsi="Times New Roman"/>
                <w:b/>
                <w:i/>
                <w:noProof/>
                <w:sz w:val="24"/>
              </w:rPr>
            </w:pPr>
            <w:r>
              <w:rPr>
                <w:rFonts w:ascii="Times New Roman" w:hAnsi="Times New Roman"/>
                <w:b/>
                <w:i/>
                <w:sz w:val="24"/>
              </w:rPr>
              <w:t>3. Cenu griesti salīdzinājuma valstīs</w:t>
            </w:r>
          </w:p>
          <w:p w14:paraId="143E16F1" w14:textId="77777777" w:rsidR="00801FAA" w:rsidRPr="004D11C9" w:rsidRDefault="00801FAA" w:rsidP="00801FAA">
            <w:pPr>
              <w:jc w:val="both"/>
              <w:rPr>
                <w:rFonts w:ascii="Times New Roman" w:eastAsia="Arial" w:hAnsi="Times New Roman" w:cs="Arial"/>
                <w:b/>
                <w:bCs/>
                <w:i/>
                <w:noProof/>
                <w:sz w:val="24"/>
                <w:szCs w:val="14"/>
              </w:rPr>
            </w:pPr>
          </w:p>
          <w:p w14:paraId="2D02E488" w14:textId="77777777" w:rsidR="00801FAA" w:rsidRPr="004D11C9" w:rsidRDefault="00801FAA" w:rsidP="00801FAA">
            <w:pPr>
              <w:jc w:val="both"/>
              <w:rPr>
                <w:rFonts w:ascii="Times New Roman" w:hAnsi="Times New Roman"/>
                <w:noProof/>
                <w:sz w:val="24"/>
              </w:rPr>
            </w:pPr>
            <w:r>
              <w:rPr>
                <w:rFonts w:ascii="Times New Roman" w:hAnsi="Times New Roman"/>
                <w:sz w:val="24"/>
              </w:rPr>
              <w:t>Lielus zāļu izmaksu ietaupījumus var radīt arī cenu griestu noteikšana, pamatojoties uz cenām salīdzinājuma valstīs. Veselības ministrijas iepirktie dati par ģenerisko zāļu cenām salīdzinoši zemu izmaksu grozā salīdzinājuma valstīs liecina, ka ārvalstu cenas vidēji ir par 35 % zemākas nekā vietējās cenas. Lielapjoma ģeneriskajām zālēm ārvalstu cenas bija īpaši zemas salīdzinājumā ar vietējām cenām. Izmantojot vidējā svērtā apjoma pieeju, kas atspoguļo dažādu ģenerisko zāļu apjomus, ārvalstu cenas bija par 39 % zemākas par vietējām cenām. Šo cenu griestu piemērošana 2011. gadā būtu radījusi ģenerisko zāļu izmaksu ietaupījumu aptuveni 2,46 miljardu ASV dolāru apmērā.</w:t>
            </w:r>
          </w:p>
          <w:p w14:paraId="63060C19" w14:textId="77777777" w:rsidR="00801FAA" w:rsidRPr="004D11C9" w:rsidRDefault="00801FAA" w:rsidP="00801FAA">
            <w:pPr>
              <w:jc w:val="both"/>
              <w:rPr>
                <w:rFonts w:ascii="Times New Roman" w:eastAsia="Arial" w:hAnsi="Times New Roman" w:cs="Arial"/>
                <w:noProof/>
                <w:sz w:val="24"/>
                <w:szCs w:val="18"/>
              </w:rPr>
            </w:pPr>
          </w:p>
          <w:p w14:paraId="7A0AFAFD" w14:textId="77777777" w:rsidR="00801FAA" w:rsidRPr="004D11C9" w:rsidRDefault="00801FAA" w:rsidP="00801FAA">
            <w:pPr>
              <w:jc w:val="both"/>
              <w:rPr>
                <w:rFonts w:ascii="Times New Roman" w:hAnsi="Times New Roman"/>
                <w:noProof/>
                <w:sz w:val="24"/>
              </w:rPr>
            </w:pPr>
            <w:r>
              <w:rPr>
                <w:rFonts w:ascii="Times New Roman" w:hAnsi="Times New Roman"/>
                <w:sz w:val="24"/>
              </w:rPr>
              <w:t>Lai gan cenu griesti, kas noteikti šajos līmeņos, radītu lielus zāļu izmaksu ietaupījumus, tie ir krietni zemāki par aptiekām piešķirto atlaižu līmeni 55 % apmērā, par kuru ziņojuši vietējie ģenerisko zāļu piegādātāji. Tas liecina par būtiskiem ierobežojumiem pieejamajos datos par zāļu cenām ārvalstīs. Lielākā daļa šo datu atspoguļo vienkāršas ražotāja cenas. Attiecīgi tie ietver konkurētspējīgas atlaides aptiekām vai maksātājiem citās valstīs un parasti neatspoguļo precīzu pamatā esošo konkurētspējīgo cenu.</w:t>
            </w:r>
          </w:p>
          <w:p w14:paraId="124BA8EF" w14:textId="77777777" w:rsidR="00801FAA" w:rsidRDefault="00801FAA" w:rsidP="00801FAA">
            <w:pPr>
              <w:jc w:val="both"/>
              <w:rPr>
                <w:rFonts w:ascii="Times New Roman" w:hAnsi="Times New Roman"/>
                <w:noProof/>
                <w:sz w:val="24"/>
              </w:rPr>
            </w:pPr>
          </w:p>
          <w:p w14:paraId="7B9C9763" w14:textId="77777777" w:rsidR="00801FAA" w:rsidRPr="004D11C9" w:rsidRDefault="00801FAA" w:rsidP="00801FAA">
            <w:pPr>
              <w:jc w:val="both"/>
              <w:rPr>
                <w:rFonts w:ascii="Times New Roman" w:hAnsi="Times New Roman"/>
                <w:noProof/>
                <w:sz w:val="24"/>
              </w:rPr>
            </w:pPr>
            <w:r>
              <w:rPr>
                <w:rFonts w:ascii="Times New Roman" w:hAnsi="Times New Roman"/>
                <w:sz w:val="24"/>
              </w:rPr>
              <w:t>Potenciālā ietekme uz aptieku ieņēmumiem ir atspoguļota turpmākajā tabulā, kurā salīdzināti aptieku neto ieņēmumi no tādu produktu izsniegšanas, kas marķēti ar firmas zīmi, neto ieņēmumi no ģenerisku zāļu izsniegšanas pastāvošajos tirgus apstākļos un neto ieņēmumi no ģenerisku zāļu izsniegšanas, ja piemēro salīdzinājuma valsts cenu griestus, kas samazina pastāvošo ģenerisko zāļu cenu par 39 %.</w:t>
            </w:r>
          </w:p>
          <w:p w14:paraId="4168A481" w14:textId="77777777" w:rsidR="00801FAA" w:rsidRDefault="00801FAA" w:rsidP="00801FAA">
            <w:pPr>
              <w:jc w:val="both"/>
              <w:rPr>
                <w:rFonts w:ascii="Times New Roman" w:hAnsi="Times New Roman"/>
                <w:b/>
                <w:noProof/>
                <w:sz w:val="24"/>
              </w:rPr>
            </w:pPr>
          </w:p>
          <w:p w14:paraId="667BC64C" w14:textId="77777777" w:rsidR="00801FAA" w:rsidRPr="004D11C9" w:rsidRDefault="00801FAA" w:rsidP="00801FAA">
            <w:pPr>
              <w:jc w:val="center"/>
              <w:rPr>
                <w:rFonts w:ascii="Times New Roman" w:hAnsi="Times New Roman"/>
                <w:b/>
                <w:noProof/>
                <w:sz w:val="24"/>
              </w:rPr>
            </w:pPr>
            <w:r>
              <w:rPr>
                <w:rFonts w:ascii="Times New Roman" w:hAnsi="Times New Roman"/>
                <w:b/>
                <w:sz w:val="24"/>
              </w:rPr>
              <w:t>Aptiekas ieņēmumi no zālēm, kas marķētas ar firmas zīmi, un no ģeneriskām zālēm, piemērojot salīdzinājuma valsts cenu griestus</w:t>
            </w:r>
          </w:p>
          <w:p w14:paraId="35733EDB" w14:textId="77777777" w:rsidR="00801FAA" w:rsidRDefault="00801FAA" w:rsidP="00801FAA">
            <w:pPr>
              <w:jc w:val="both"/>
              <w:rPr>
                <w:rFonts w:ascii="Times New Roman" w:eastAsia="Arial" w:hAnsi="Times New Roman" w:cs="Arial"/>
                <w:noProof/>
                <w:sz w:val="24"/>
                <w:szCs w:val="1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2248"/>
              <w:gridCol w:w="2246"/>
              <w:gridCol w:w="2248"/>
              <w:gridCol w:w="2254"/>
            </w:tblGrid>
            <w:tr w:rsidR="00801FAA" w14:paraId="6783533C" w14:textId="77777777" w:rsidTr="00CC3E5E">
              <w:tc>
                <w:tcPr>
                  <w:tcW w:w="2265" w:type="dxa"/>
                </w:tcPr>
                <w:p w14:paraId="213F2AF5" w14:textId="77777777" w:rsidR="00801FAA" w:rsidRDefault="00801FAA" w:rsidP="00801FAA">
                  <w:pPr>
                    <w:jc w:val="center"/>
                    <w:rPr>
                      <w:rFonts w:ascii="Times New Roman" w:eastAsia="Arial" w:hAnsi="Times New Roman" w:cs="Arial"/>
                      <w:noProof/>
                      <w:sz w:val="24"/>
                      <w:szCs w:val="14"/>
                    </w:rPr>
                  </w:pPr>
                  <w:r>
                    <w:rPr>
                      <w:rFonts w:ascii="Times New Roman" w:hAnsi="Times New Roman"/>
                      <w:b/>
                      <w:sz w:val="24"/>
                    </w:rPr>
                    <w:t>Kategorija</w:t>
                  </w:r>
                </w:p>
              </w:tc>
              <w:tc>
                <w:tcPr>
                  <w:tcW w:w="2265" w:type="dxa"/>
                </w:tcPr>
                <w:p w14:paraId="0F5FB2DA" w14:textId="77777777" w:rsidR="00801FAA" w:rsidRDefault="00801FAA" w:rsidP="00801FAA">
                  <w:pPr>
                    <w:jc w:val="center"/>
                    <w:rPr>
                      <w:rFonts w:ascii="Times New Roman" w:eastAsia="Arial" w:hAnsi="Times New Roman" w:cs="Arial"/>
                      <w:noProof/>
                      <w:sz w:val="24"/>
                      <w:szCs w:val="14"/>
                    </w:rPr>
                  </w:pPr>
                  <w:r>
                    <w:rPr>
                      <w:rFonts w:ascii="Times New Roman" w:hAnsi="Times New Roman"/>
                      <w:b/>
                      <w:sz w:val="24"/>
                    </w:rPr>
                    <w:t>Zīmols</w:t>
                  </w:r>
                </w:p>
              </w:tc>
              <w:tc>
                <w:tcPr>
                  <w:tcW w:w="2266" w:type="dxa"/>
                </w:tcPr>
                <w:p w14:paraId="655D115C" w14:textId="77777777" w:rsidR="00801FAA" w:rsidRDefault="00801FAA" w:rsidP="00801FAA">
                  <w:pPr>
                    <w:jc w:val="center"/>
                    <w:rPr>
                      <w:rFonts w:ascii="Times New Roman" w:eastAsia="Arial" w:hAnsi="Times New Roman" w:cs="Arial"/>
                      <w:noProof/>
                      <w:sz w:val="24"/>
                      <w:szCs w:val="14"/>
                    </w:rPr>
                  </w:pPr>
                  <w:r>
                    <w:rPr>
                      <w:rFonts w:ascii="Times New Roman" w:hAnsi="Times New Roman"/>
                      <w:b/>
                      <w:sz w:val="24"/>
                    </w:rPr>
                    <w:t>Ģeneriskās zāles pašlaik</w:t>
                  </w:r>
                </w:p>
              </w:tc>
              <w:tc>
                <w:tcPr>
                  <w:tcW w:w="2266" w:type="dxa"/>
                </w:tcPr>
                <w:p w14:paraId="3E6FF128" w14:textId="77777777" w:rsidR="00801FAA" w:rsidRDefault="00801FAA" w:rsidP="00801FAA">
                  <w:pPr>
                    <w:jc w:val="center"/>
                    <w:rPr>
                      <w:rFonts w:ascii="Times New Roman" w:eastAsia="Arial" w:hAnsi="Times New Roman" w:cs="Arial"/>
                      <w:noProof/>
                      <w:sz w:val="24"/>
                      <w:szCs w:val="14"/>
                    </w:rPr>
                  </w:pPr>
                  <w:r>
                    <w:rPr>
                      <w:rFonts w:ascii="Times New Roman" w:hAnsi="Times New Roman"/>
                      <w:b/>
                      <w:sz w:val="24"/>
                    </w:rPr>
                    <w:t>Salīdzinājuma valsts cenu griesti</w:t>
                  </w:r>
                </w:p>
              </w:tc>
            </w:tr>
            <w:tr w:rsidR="00801FAA" w14:paraId="45595298" w14:textId="77777777" w:rsidTr="00CC3E5E">
              <w:tc>
                <w:tcPr>
                  <w:tcW w:w="2265" w:type="dxa"/>
                </w:tcPr>
                <w:p w14:paraId="341D1E7B" w14:textId="77777777" w:rsidR="00801FAA" w:rsidRDefault="00801FAA" w:rsidP="00801FAA">
                  <w:pPr>
                    <w:jc w:val="both"/>
                    <w:rPr>
                      <w:rFonts w:ascii="Times New Roman" w:eastAsia="Arial" w:hAnsi="Times New Roman" w:cs="Arial"/>
                      <w:noProof/>
                      <w:sz w:val="24"/>
                      <w:szCs w:val="14"/>
                    </w:rPr>
                  </w:pPr>
                  <w:r>
                    <w:rPr>
                      <w:rFonts w:ascii="Times New Roman" w:hAnsi="Times New Roman"/>
                      <w:sz w:val="24"/>
                    </w:rPr>
                    <w:t>Cena</w:t>
                  </w:r>
                </w:p>
              </w:tc>
              <w:tc>
                <w:tcPr>
                  <w:tcW w:w="2265" w:type="dxa"/>
                </w:tcPr>
                <w:p w14:paraId="5C272DEC" w14:textId="77777777" w:rsidR="00801FAA" w:rsidRDefault="00801FAA" w:rsidP="00801FAA">
                  <w:pPr>
                    <w:jc w:val="center"/>
                    <w:rPr>
                      <w:rFonts w:ascii="Times New Roman" w:eastAsia="Arial" w:hAnsi="Times New Roman" w:cs="Arial"/>
                      <w:noProof/>
                      <w:sz w:val="24"/>
                      <w:szCs w:val="14"/>
                    </w:rPr>
                  </w:pPr>
                  <w:r>
                    <w:rPr>
                      <w:rFonts w:ascii="Times New Roman" w:hAnsi="Times New Roman"/>
                      <w:sz w:val="24"/>
                    </w:rPr>
                    <w:t>40,00 USD</w:t>
                  </w:r>
                </w:p>
              </w:tc>
              <w:tc>
                <w:tcPr>
                  <w:tcW w:w="2266" w:type="dxa"/>
                </w:tcPr>
                <w:p w14:paraId="66199D62" w14:textId="77777777" w:rsidR="00801FAA" w:rsidRDefault="00801FAA" w:rsidP="00801FAA">
                  <w:pPr>
                    <w:jc w:val="center"/>
                    <w:rPr>
                      <w:rFonts w:ascii="Times New Roman" w:eastAsia="Arial" w:hAnsi="Times New Roman" w:cs="Arial"/>
                      <w:noProof/>
                      <w:sz w:val="24"/>
                      <w:szCs w:val="14"/>
                    </w:rPr>
                  </w:pPr>
                  <w:r>
                    <w:rPr>
                      <w:rFonts w:ascii="Times New Roman" w:hAnsi="Times New Roman"/>
                      <w:sz w:val="24"/>
                    </w:rPr>
                    <w:t>28,00 USD</w:t>
                  </w:r>
                </w:p>
              </w:tc>
              <w:tc>
                <w:tcPr>
                  <w:tcW w:w="2266" w:type="dxa"/>
                </w:tcPr>
                <w:p w14:paraId="7FB7B2F5" w14:textId="77777777" w:rsidR="00801FAA" w:rsidRDefault="00801FAA" w:rsidP="00801FAA">
                  <w:pPr>
                    <w:jc w:val="center"/>
                    <w:rPr>
                      <w:rFonts w:ascii="Times New Roman" w:eastAsia="Arial" w:hAnsi="Times New Roman" w:cs="Arial"/>
                      <w:noProof/>
                      <w:sz w:val="24"/>
                      <w:szCs w:val="14"/>
                    </w:rPr>
                  </w:pPr>
                  <w:r>
                    <w:rPr>
                      <w:rFonts w:ascii="Times New Roman" w:hAnsi="Times New Roman"/>
                      <w:sz w:val="24"/>
                    </w:rPr>
                    <w:t>17,08 USD</w:t>
                  </w:r>
                </w:p>
              </w:tc>
            </w:tr>
            <w:tr w:rsidR="00801FAA" w14:paraId="159EE851" w14:textId="77777777" w:rsidTr="00CC3E5E">
              <w:tc>
                <w:tcPr>
                  <w:tcW w:w="2265" w:type="dxa"/>
                </w:tcPr>
                <w:p w14:paraId="0EC27926" w14:textId="77777777" w:rsidR="00801FAA" w:rsidRDefault="00801FAA" w:rsidP="00801FAA">
                  <w:pPr>
                    <w:jc w:val="both"/>
                    <w:rPr>
                      <w:rFonts w:ascii="Times New Roman" w:eastAsia="Arial" w:hAnsi="Times New Roman" w:cs="Arial"/>
                      <w:noProof/>
                      <w:sz w:val="24"/>
                      <w:szCs w:val="14"/>
                    </w:rPr>
                  </w:pPr>
                  <w:r>
                    <w:rPr>
                      <w:rFonts w:ascii="Times New Roman" w:hAnsi="Times New Roman"/>
                      <w:sz w:val="24"/>
                    </w:rPr>
                    <w:t>Izsniegšanas maksa</w:t>
                  </w:r>
                </w:p>
              </w:tc>
              <w:tc>
                <w:tcPr>
                  <w:tcW w:w="2265" w:type="dxa"/>
                </w:tcPr>
                <w:p w14:paraId="55AE57CF" w14:textId="77777777" w:rsidR="00801FAA" w:rsidRDefault="00801FAA" w:rsidP="00801FAA">
                  <w:pPr>
                    <w:jc w:val="center"/>
                    <w:rPr>
                      <w:rFonts w:ascii="Times New Roman" w:eastAsia="Arial" w:hAnsi="Times New Roman" w:cs="Arial"/>
                      <w:noProof/>
                      <w:sz w:val="24"/>
                      <w:szCs w:val="14"/>
                    </w:rPr>
                  </w:pPr>
                  <w:r>
                    <w:rPr>
                      <w:rFonts w:ascii="Times New Roman" w:hAnsi="Times New Roman"/>
                      <w:sz w:val="24"/>
                    </w:rPr>
                    <w:t>4,00 USD</w:t>
                  </w:r>
                </w:p>
              </w:tc>
              <w:tc>
                <w:tcPr>
                  <w:tcW w:w="2266" w:type="dxa"/>
                </w:tcPr>
                <w:p w14:paraId="1C6B7219" w14:textId="77777777" w:rsidR="00801FAA" w:rsidRDefault="00801FAA" w:rsidP="00801FAA">
                  <w:pPr>
                    <w:jc w:val="center"/>
                    <w:rPr>
                      <w:rFonts w:ascii="Times New Roman" w:eastAsia="Arial" w:hAnsi="Times New Roman" w:cs="Arial"/>
                      <w:noProof/>
                      <w:sz w:val="24"/>
                      <w:szCs w:val="14"/>
                    </w:rPr>
                  </w:pPr>
                  <w:r>
                    <w:rPr>
                      <w:rFonts w:ascii="Times New Roman" w:hAnsi="Times New Roman"/>
                      <w:sz w:val="24"/>
                    </w:rPr>
                    <w:t>4,00 USD</w:t>
                  </w:r>
                </w:p>
              </w:tc>
              <w:tc>
                <w:tcPr>
                  <w:tcW w:w="2266" w:type="dxa"/>
                </w:tcPr>
                <w:p w14:paraId="6104F103" w14:textId="77777777" w:rsidR="00801FAA" w:rsidRDefault="00801FAA" w:rsidP="00801FAA">
                  <w:pPr>
                    <w:jc w:val="center"/>
                    <w:rPr>
                      <w:rFonts w:ascii="Times New Roman" w:eastAsia="Arial" w:hAnsi="Times New Roman" w:cs="Arial"/>
                      <w:noProof/>
                      <w:sz w:val="24"/>
                      <w:szCs w:val="14"/>
                    </w:rPr>
                  </w:pPr>
                  <w:r>
                    <w:rPr>
                      <w:rFonts w:ascii="Times New Roman" w:hAnsi="Times New Roman"/>
                      <w:sz w:val="24"/>
                    </w:rPr>
                    <w:t>4,00 USD</w:t>
                  </w:r>
                </w:p>
              </w:tc>
            </w:tr>
            <w:tr w:rsidR="00801FAA" w14:paraId="63ECAC60" w14:textId="77777777" w:rsidTr="00CC3E5E">
              <w:tc>
                <w:tcPr>
                  <w:tcW w:w="2265" w:type="dxa"/>
                </w:tcPr>
                <w:p w14:paraId="0C43384E" w14:textId="77777777" w:rsidR="00801FAA" w:rsidRDefault="00801FAA" w:rsidP="00801FAA">
                  <w:pPr>
                    <w:jc w:val="both"/>
                    <w:rPr>
                      <w:rFonts w:ascii="Times New Roman" w:eastAsia="Arial" w:hAnsi="Times New Roman" w:cs="Arial"/>
                      <w:noProof/>
                      <w:sz w:val="24"/>
                      <w:szCs w:val="14"/>
                    </w:rPr>
                  </w:pPr>
                  <w:r>
                    <w:rPr>
                      <w:rFonts w:ascii="Times New Roman" w:hAnsi="Times New Roman"/>
                      <w:sz w:val="24"/>
                    </w:rPr>
                    <w:t>Uzcenojums</w:t>
                  </w:r>
                </w:p>
              </w:tc>
              <w:tc>
                <w:tcPr>
                  <w:tcW w:w="2265" w:type="dxa"/>
                </w:tcPr>
                <w:p w14:paraId="09D3C9C1" w14:textId="77777777" w:rsidR="00801FAA" w:rsidRDefault="00801FAA" w:rsidP="00801FAA">
                  <w:pPr>
                    <w:jc w:val="center"/>
                    <w:rPr>
                      <w:rFonts w:ascii="Times New Roman" w:eastAsia="Arial" w:hAnsi="Times New Roman" w:cs="Arial"/>
                      <w:noProof/>
                      <w:sz w:val="24"/>
                      <w:szCs w:val="14"/>
                    </w:rPr>
                  </w:pPr>
                  <w:r>
                    <w:rPr>
                      <w:rFonts w:ascii="Times New Roman" w:hAnsi="Times New Roman"/>
                      <w:sz w:val="24"/>
                    </w:rPr>
                    <w:t>6,00 USD</w:t>
                  </w:r>
                </w:p>
              </w:tc>
              <w:tc>
                <w:tcPr>
                  <w:tcW w:w="2266" w:type="dxa"/>
                </w:tcPr>
                <w:p w14:paraId="1CEF942F" w14:textId="77777777" w:rsidR="00801FAA" w:rsidRDefault="00801FAA" w:rsidP="00801FAA">
                  <w:pPr>
                    <w:jc w:val="center"/>
                    <w:rPr>
                      <w:rFonts w:ascii="Times New Roman" w:eastAsia="Arial" w:hAnsi="Times New Roman" w:cs="Arial"/>
                      <w:noProof/>
                      <w:sz w:val="24"/>
                      <w:szCs w:val="14"/>
                    </w:rPr>
                  </w:pPr>
                  <w:r>
                    <w:rPr>
                      <w:rFonts w:ascii="Times New Roman" w:hAnsi="Times New Roman"/>
                      <w:sz w:val="24"/>
                    </w:rPr>
                    <w:t>4,20 USD</w:t>
                  </w:r>
                </w:p>
              </w:tc>
              <w:tc>
                <w:tcPr>
                  <w:tcW w:w="2266" w:type="dxa"/>
                </w:tcPr>
                <w:p w14:paraId="2E1482DA" w14:textId="77777777" w:rsidR="00801FAA" w:rsidRDefault="00801FAA" w:rsidP="00801FAA">
                  <w:pPr>
                    <w:jc w:val="center"/>
                    <w:rPr>
                      <w:rFonts w:ascii="Times New Roman" w:eastAsia="Arial" w:hAnsi="Times New Roman" w:cs="Arial"/>
                      <w:noProof/>
                      <w:sz w:val="24"/>
                      <w:szCs w:val="14"/>
                    </w:rPr>
                  </w:pPr>
                  <w:r>
                    <w:rPr>
                      <w:rFonts w:ascii="Times New Roman" w:hAnsi="Times New Roman"/>
                      <w:sz w:val="24"/>
                    </w:rPr>
                    <w:t>2,56 USD</w:t>
                  </w:r>
                </w:p>
              </w:tc>
            </w:tr>
            <w:tr w:rsidR="00801FAA" w14:paraId="717A58A1" w14:textId="77777777" w:rsidTr="00CC3E5E">
              <w:tc>
                <w:tcPr>
                  <w:tcW w:w="2265" w:type="dxa"/>
                </w:tcPr>
                <w:p w14:paraId="099DCE26" w14:textId="77777777" w:rsidR="00801FAA" w:rsidRDefault="00801FAA" w:rsidP="00801FAA">
                  <w:pPr>
                    <w:jc w:val="both"/>
                    <w:rPr>
                      <w:rFonts w:ascii="Times New Roman" w:eastAsia="Arial" w:hAnsi="Times New Roman" w:cs="Arial"/>
                      <w:noProof/>
                      <w:sz w:val="24"/>
                      <w:szCs w:val="14"/>
                    </w:rPr>
                  </w:pPr>
                  <w:r>
                    <w:rPr>
                      <w:rFonts w:ascii="Times New Roman" w:hAnsi="Times New Roman"/>
                      <w:sz w:val="24"/>
                    </w:rPr>
                    <w:t>Cenas atlaide no cenrāža cenas (rabats)</w:t>
                  </w:r>
                </w:p>
              </w:tc>
              <w:tc>
                <w:tcPr>
                  <w:tcW w:w="2265" w:type="dxa"/>
                </w:tcPr>
                <w:p w14:paraId="05FA312B" w14:textId="77777777" w:rsidR="00801FAA" w:rsidRDefault="00801FAA" w:rsidP="00801FAA">
                  <w:pPr>
                    <w:jc w:val="center"/>
                    <w:rPr>
                      <w:rFonts w:ascii="Times New Roman" w:eastAsia="Arial" w:hAnsi="Times New Roman" w:cs="Arial"/>
                      <w:noProof/>
                      <w:sz w:val="24"/>
                      <w:szCs w:val="14"/>
                    </w:rPr>
                  </w:pPr>
                  <w:r>
                    <w:rPr>
                      <w:rFonts w:ascii="Times New Roman" w:hAnsi="Times New Roman"/>
                      <w:sz w:val="24"/>
                    </w:rPr>
                    <w:t>0,00 USD</w:t>
                  </w:r>
                </w:p>
              </w:tc>
              <w:tc>
                <w:tcPr>
                  <w:tcW w:w="2266" w:type="dxa"/>
                </w:tcPr>
                <w:p w14:paraId="6A3CFC49" w14:textId="77777777" w:rsidR="00801FAA" w:rsidRDefault="00801FAA" w:rsidP="00801FAA">
                  <w:pPr>
                    <w:jc w:val="center"/>
                    <w:rPr>
                      <w:rFonts w:ascii="Times New Roman" w:eastAsia="Arial" w:hAnsi="Times New Roman" w:cs="Arial"/>
                      <w:noProof/>
                      <w:sz w:val="24"/>
                      <w:szCs w:val="14"/>
                    </w:rPr>
                  </w:pPr>
                  <w:r>
                    <w:rPr>
                      <w:rFonts w:ascii="Times New Roman" w:hAnsi="Times New Roman"/>
                      <w:sz w:val="24"/>
                    </w:rPr>
                    <w:t>15,40 USD</w:t>
                  </w:r>
                </w:p>
              </w:tc>
              <w:tc>
                <w:tcPr>
                  <w:tcW w:w="2266" w:type="dxa"/>
                </w:tcPr>
                <w:p w14:paraId="40A7692A" w14:textId="77777777" w:rsidR="00801FAA" w:rsidRDefault="00801FAA" w:rsidP="00801FAA">
                  <w:pPr>
                    <w:jc w:val="center"/>
                    <w:rPr>
                      <w:rFonts w:ascii="Times New Roman" w:eastAsia="Arial" w:hAnsi="Times New Roman" w:cs="Arial"/>
                      <w:noProof/>
                      <w:sz w:val="24"/>
                      <w:szCs w:val="14"/>
                    </w:rPr>
                  </w:pPr>
                  <w:r>
                    <w:rPr>
                      <w:rFonts w:ascii="Times New Roman" w:hAnsi="Times New Roman"/>
                      <w:sz w:val="24"/>
                    </w:rPr>
                    <w:t>2,73 USD</w:t>
                  </w:r>
                </w:p>
              </w:tc>
            </w:tr>
            <w:tr w:rsidR="00801FAA" w14:paraId="3BC007E4" w14:textId="77777777" w:rsidTr="00CC3E5E">
              <w:tc>
                <w:tcPr>
                  <w:tcW w:w="2265" w:type="dxa"/>
                </w:tcPr>
                <w:p w14:paraId="7DA719A9" w14:textId="77777777" w:rsidR="00801FAA" w:rsidRDefault="00801FAA" w:rsidP="00801FAA">
                  <w:pPr>
                    <w:jc w:val="both"/>
                    <w:rPr>
                      <w:rFonts w:ascii="Times New Roman" w:eastAsia="Arial" w:hAnsi="Times New Roman" w:cs="Arial"/>
                      <w:noProof/>
                      <w:sz w:val="24"/>
                      <w:szCs w:val="14"/>
                    </w:rPr>
                  </w:pPr>
                  <w:r>
                    <w:rPr>
                      <w:rFonts w:ascii="Times New Roman" w:hAnsi="Times New Roman"/>
                      <w:sz w:val="24"/>
                    </w:rPr>
                    <w:t>Aptieka</w:t>
                  </w:r>
                </w:p>
              </w:tc>
              <w:tc>
                <w:tcPr>
                  <w:tcW w:w="2265" w:type="dxa"/>
                </w:tcPr>
                <w:p w14:paraId="0E906E4B" w14:textId="77777777" w:rsidR="00801FAA" w:rsidRDefault="00801FAA" w:rsidP="00801FAA">
                  <w:pPr>
                    <w:jc w:val="center"/>
                    <w:rPr>
                      <w:rFonts w:ascii="Times New Roman" w:eastAsia="Arial" w:hAnsi="Times New Roman" w:cs="Arial"/>
                      <w:noProof/>
                      <w:sz w:val="24"/>
                      <w:szCs w:val="14"/>
                    </w:rPr>
                  </w:pPr>
                  <w:r>
                    <w:rPr>
                      <w:rFonts w:ascii="Times New Roman" w:hAnsi="Times New Roman"/>
                      <w:sz w:val="24"/>
                    </w:rPr>
                    <w:t>10,00 USD</w:t>
                  </w:r>
                </w:p>
              </w:tc>
              <w:tc>
                <w:tcPr>
                  <w:tcW w:w="2266" w:type="dxa"/>
                </w:tcPr>
                <w:p w14:paraId="55E3FD80" w14:textId="77777777" w:rsidR="00801FAA" w:rsidRDefault="00801FAA" w:rsidP="00801FAA">
                  <w:pPr>
                    <w:jc w:val="center"/>
                    <w:rPr>
                      <w:rFonts w:ascii="Times New Roman" w:eastAsia="Arial" w:hAnsi="Times New Roman" w:cs="Arial"/>
                      <w:noProof/>
                      <w:sz w:val="24"/>
                      <w:szCs w:val="14"/>
                    </w:rPr>
                  </w:pPr>
                  <w:r>
                    <w:rPr>
                      <w:rFonts w:ascii="Times New Roman" w:hAnsi="Times New Roman"/>
                      <w:sz w:val="24"/>
                    </w:rPr>
                    <w:t>19,04 USD</w:t>
                  </w:r>
                </w:p>
              </w:tc>
              <w:tc>
                <w:tcPr>
                  <w:tcW w:w="2266" w:type="dxa"/>
                </w:tcPr>
                <w:p w14:paraId="2680F191" w14:textId="77777777" w:rsidR="00801FAA" w:rsidRDefault="00801FAA" w:rsidP="00801FAA">
                  <w:pPr>
                    <w:jc w:val="center"/>
                    <w:rPr>
                      <w:rFonts w:ascii="Times New Roman" w:eastAsia="Arial" w:hAnsi="Times New Roman" w:cs="Arial"/>
                      <w:noProof/>
                      <w:sz w:val="24"/>
                      <w:szCs w:val="14"/>
                    </w:rPr>
                  </w:pPr>
                  <w:r>
                    <w:rPr>
                      <w:rFonts w:ascii="Times New Roman" w:hAnsi="Times New Roman"/>
                      <w:sz w:val="24"/>
                    </w:rPr>
                    <w:t>9,29 USD</w:t>
                  </w:r>
                </w:p>
              </w:tc>
            </w:tr>
          </w:tbl>
          <w:p w14:paraId="50FB82DB" w14:textId="77777777" w:rsidR="00801FAA" w:rsidRPr="004D11C9" w:rsidRDefault="00801FAA" w:rsidP="00801FAA">
            <w:pPr>
              <w:jc w:val="both"/>
              <w:rPr>
                <w:rFonts w:ascii="Times New Roman" w:eastAsia="Arial" w:hAnsi="Times New Roman" w:cs="Arial"/>
                <w:noProof/>
                <w:sz w:val="24"/>
                <w:szCs w:val="15"/>
              </w:rPr>
            </w:pPr>
          </w:p>
          <w:p w14:paraId="5BD7DAE8" w14:textId="77777777" w:rsidR="00801FAA" w:rsidRPr="004D11C9" w:rsidRDefault="00801FAA" w:rsidP="00801FAA">
            <w:pPr>
              <w:jc w:val="both"/>
              <w:rPr>
                <w:rFonts w:ascii="Times New Roman" w:hAnsi="Times New Roman"/>
                <w:noProof/>
                <w:sz w:val="24"/>
              </w:rPr>
            </w:pPr>
            <w:r>
              <w:rPr>
                <w:rFonts w:ascii="Times New Roman" w:hAnsi="Times New Roman"/>
                <w:sz w:val="24"/>
              </w:rPr>
              <w:t>Kā norādīts tabulā, atbilstoši zemo cenu salīdzinājuma valsts cenu griestiem vidējie aptiekas ieņēmumi no 40 ASV dolāru receptes, ieskaitot aptiekai piešķirto atlaidi, būtu 9,29 ASV dolāri pretstatā 10,00 ASV dolāriem par zālēm, kas marķētas ar firmas zīmi. Attiecīgi šāda pieeja parasti nenodrošinātu būtisku finansiālu stimulu aptiekām izsniegt ģeneriskas zāles.</w:t>
            </w:r>
          </w:p>
          <w:p w14:paraId="02F5DDD6" w14:textId="77777777" w:rsidR="00801FAA" w:rsidRDefault="00801FAA" w:rsidP="00801FAA">
            <w:pPr>
              <w:jc w:val="both"/>
              <w:rPr>
                <w:rFonts w:ascii="Times New Roman" w:hAnsi="Times New Roman"/>
                <w:noProof/>
                <w:sz w:val="24"/>
              </w:rPr>
            </w:pPr>
          </w:p>
          <w:p w14:paraId="2D4C0F45" w14:textId="77777777" w:rsidR="00801FAA" w:rsidRPr="004D11C9" w:rsidRDefault="00801FAA" w:rsidP="00801FAA">
            <w:pPr>
              <w:jc w:val="both"/>
              <w:rPr>
                <w:rFonts w:ascii="Times New Roman" w:hAnsi="Times New Roman"/>
                <w:noProof/>
                <w:sz w:val="24"/>
              </w:rPr>
            </w:pPr>
            <w:r>
              <w:rPr>
                <w:rFonts w:ascii="Times New Roman" w:hAnsi="Times New Roman"/>
                <w:sz w:val="24"/>
              </w:rPr>
              <w:t>Lai novērstu, ka tas ievērojami samazina ģenerisku zāļu izsniegšanu, var izmantot salīdzinājuma valstis ar augstākām cenām, ieviest obligātu ģenerisku zāļu izsniegšanas politiku vai arī dot valstīm papildu stimulus ģenerisku zāļu izsniegšanai, piemēram, palielināt pieļaujamo uzcenojumu ģeneriskām zālēm. Citādi būtu vajadzīgs obligāts aptiekas aizstāšanas režīms vai uz pacientu balstīts aizstāšanas stimuls.</w:t>
            </w:r>
          </w:p>
          <w:p w14:paraId="59F28A35" w14:textId="77777777" w:rsidR="00801FAA" w:rsidRDefault="00801FAA" w:rsidP="00801FAA">
            <w:pPr>
              <w:jc w:val="both"/>
              <w:rPr>
                <w:rFonts w:ascii="Times New Roman" w:eastAsia="Arial" w:hAnsi="Times New Roman" w:cs="Arial"/>
                <w:noProof/>
                <w:sz w:val="24"/>
                <w:szCs w:val="18"/>
              </w:rPr>
            </w:pPr>
          </w:p>
          <w:p w14:paraId="48ACF051" w14:textId="77777777" w:rsidR="00801FAA" w:rsidRPr="004D11C9" w:rsidRDefault="00801FAA" w:rsidP="00801FAA">
            <w:pPr>
              <w:jc w:val="both"/>
              <w:rPr>
                <w:rFonts w:ascii="Times New Roman" w:eastAsia="Arial" w:hAnsi="Times New Roman" w:cs="Arial"/>
                <w:noProof/>
                <w:sz w:val="24"/>
                <w:szCs w:val="18"/>
              </w:rPr>
            </w:pPr>
            <w:r>
              <w:rPr>
                <w:rFonts w:ascii="Times New Roman" w:hAnsi="Times New Roman"/>
                <w:sz w:val="24"/>
              </w:rPr>
              <w:t xml:space="preserve">Lai gan piegādātājiem var būt lieli iebildumi pret salīdzinājuma valsts cenu griestu pieejas </w:t>
            </w:r>
            <w:r>
              <w:rPr>
                <w:rFonts w:ascii="Times New Roman" w:hAnsi="Times New Roman"/>
                <w:sz w:val="24"/>
              </w:rPr>
              <w:lastRenderedPageBreak/>
              <w:t>piemērošanu, cenas, ko izmanto, lai aprēķinātu maksimālās vietējās cenas, faktiski būtu balstītas uz cenām, ko tie paši piegādātāji piemērotu pēc būtības tiem pašiem produktiem ārvalstīs.</w:t>
            </w:r>
          </w:p>
          <w:p w14:paraId="2D8C1DD5" w14:textId="77777777" w:rsidR="00801FAA" w:rsidRDefault="00801FAA" w:rsidP="00801FAA">
            <w:pPr>
              <w:jc w:val="both"/>
              <w:rPr>
                <w:rFonts w:ascii="Times New Roman" w:hAnsi="Times New Roman"/>
                <w:noProof/>
                <w:sz w:val="24"/>
              </w:rPr>
            </w:pPr>
          </w:p>
          <w:p w14:paraId="73613603" w14:textId="77777777" w:rsidR="00801FAA" w:rsidRPr="004D11C9" w:rsidRDefault="00801FAA" w:rsidP="00801FAA">
            <w:pPr>
              <w:jc w:val="both"/>
              <w:rPr>
                <w:rFonts w:ascii="Times New Roman" w:hAnsi="Times New Roman"/>
                <w:noProof/>
                <w:sz w:val="24"/>
              </w:rPr>
            </w:pPr>
            <w:r>
              <w:rPr>
                <w:rFonts w:ascii="Times New Roman" w:hAnsi="Times New Roman"/>
                <w:sz w:val="24"/>
              </w:rPr>
              <w:t>Paredzams, ka šī pieeja saskartos ar ievērojamu pretestību no aptieku puses, jo tā ietekmē to neto ieņēmumus. Tomēr, izmantojot iepriekš minēto valstu grozu, tā nodrošinātu aptiekām neto ieņēmumus 3,07 miljardu ASV dolāru apmērā, kas pārsniegtu to pašreizējos ieņēmumus no noslēgtās izsniegšanas maksas par aptuveni 0,244 miljardiem ASV dolāru jeb par 8,6 %.</w:t>
            </w:r>
          </w:p>
          <w:p w14:paraId="736215C9" w14:textId="77777777" w:rsidR="00801FAA" w:rsidRDefault="00801FAA" w:rsidP="00801FAA">
            <w:pPr>
              <w:jc w:val="both"/>
              <w:rPr>
                <w:rFonts w:ascii="Times New Roman" w:hAnsi="Times New Roman"/>
                <w:noProof/>
                <w:sz w:val="24"/>
              </w:rPr>
            </w:pPr>
          </w:p>
          <w:p w14:paraId="14EAB43C" w14:textId="77777777" w:rsidR="00801FAA" w:rsidRPr="004D11C9" w:rsidRDefault="00801FAA" w:rsidP="00801FAA">
            <w:pPr>
              <w:jc w:val="both"/>
              <w:rPr>
                <w:rFonts w:ascii="Times New Roman" w:hAnsi="Times New Roman"/>
                <w:noProof/>
                <w:sz w:val="24"/>
              </w:rPr>
            </w:pPr>
            <w:r>
              <w:rPr>
                <w:rFonts w:ascii="Times New Roman" w:hAnsi="Times New Roman"/>
                <w:sz w:val="24"/>
              </w:rPr>
              <w:t>Šīs pieejas īstenošana neradītu lielus šķēršļus un izmaksas, un tā līdzinās pieejai, ko pašlaik izmanto, lai aprēķinātu maksimālās patentēto farmaceitisko līdzekļu cenas. Lai iegādātos datus, kas nepieciešami vietējo cenu griestu noteikšanai, būtu vajadzīgas ierobežotas pastāvīgās izmaksas.</w:t>
            </w:r>
          </w:p>
          <w:p w14:paraId="0B113126" w14:textId="77777777" w:rsidR="00801FAA" w:rsidRPr="004D11C9" w:rsidRDefault="00801FAA" w:rsidP="00801FAA">
            <w:pPr>
              <w:jc w:val="both"/>
              <w:rPr>
                <w:rFonts w:ascii="Times New Roman" w:eastAsia="Arial" w:hAnsi="Times New Roman" w:cs="Arial"/>
                <w:noProof/>
                <w:sz w:val="24"/>
                <w:szCs w:val="14"/>
              </w:rPr>
            </w:pPr>
          </w:p>
          <w:p w14:paraId="2D973FFE" w14:textId="77777777" w:rsidR="00801FAA" w:rsidRPr="004D11C9" w:rsidRDefault="00801FAA" w:rsidP="00801FAA">
            <w:pPr>
              <w:tabs>
                <w:tab w:val="left" w:pos="426"/>
              </w:tabs>
              <w:jc w:val="both"/>
              <w:rPr>
                <w:rFonts w:ascii="Times New Roman" w:hAnsi="Times New Roman"/>
                <w:b/>
                <w:i/>
                <w:noProof/>
                <w:sz w:val="24"/>
              </w:rPr>
            </w:pPr>
            <w:r>
              <w:rPr>
                <w:rFonts w:ascii="Times New Roman" w:hAnsi="Times New Roman"/>
                <w:b/>
                <w:i/>
                <w:sz w:val="24"/>
              </w:rPr>
              <w:t>4. Piedāvājumu konkursu izmantošana</w:t>
            </w:r>
          </w:p>
          <w:p w14:paraId="1E7ECE2A" w14:textId="77777777" w:rsidR="00801FAA" w:rsidRDefault="00801FAA" w:rsidP="00801FAA">
            <w:pPr>
              <w:jc w:val="both"/>
              <w:rPr>
                <w:rFonts w:ascii="Times New Roman" w:hAnsi="Times New Roman"/>
                <w:noProof/>
                <w:sz w:val="24"/>
              </w:rPr>
            </w:pPr>
          </w:p>
          <w:p w14:paraId="01B7E167" w14:textId="77777777" w:rsidR="00801FAA" w:rsidRDefault="00801FAA" w:rsidP="00801FAA">
            <w:pPr>
              <w:jc w:val="both"/>
              <w:rPr>
                <w:rFonts w:ascii="Times New Roman" w:hAnsi="Times New Roman"/>
                <w:noProof/>
                <w:sz w:val="24"/>
              </w:rPr>
            </w:pPr>
            <w:r>
              <w:rPr>
                <w:rFonts w:ascii="Times New Roman" w:hAnsi="Times New Roman"/>
                <w:sz w:val="24"/>
              </w:rPr>
              <w:t>Ja ir praktiski iespējams izmantot piedāvājumu konkursus, tie var samazināt ģenerisko zāļu cenas. Tieši orientējot konkurenci uz maksātājiem un radot spēcīgu konkurences spiedienu piegādātājiem, šī pieeja varētu radīt vidējus izmaksu ietaupījumus, kas ievērojami pārsniedz paziņoto aptiekām piešķirto atlaižu līmeni 55 % apmērā.</w:t>
            </w:r>
          </w:p>
          <w:p w14:paraId="064ECC1E" w14:textId="77777777" w:rsidR="00801FAA" w:rsidRPr="004D11C9" w:rsidRDefault="00801FAA" w:rsidP="00801FAA">
            <w:pPr>
              <w:jc w:val="both"/>
              <w:rPr>
                <w:rFonts w:ascii="Times New Roman" w:hAnsi="Times New Roman"/>
                <w:noProof/>
                <w:sz w:val="24"/>
              </w:rPr>
            </w:pPr>
          </w:p>
          <w:p w14:paraId="17F94803" w14:textId="77777777" w:rsidR="00801FAA" w:rsidRDefault="00801FAA" w:rsidP="00801FAA">
            <w:pPr>
              <w:jc w:val="both"/>
              <w:rPr>
                <w:rFonts w:ascii="Times New Roman" w:hAnsi="Times New Roman"/>
                <w:noProof/>
                <w:sz w:val="24"/>
              </w:rPr>
            </w:pPr>
            <w:r>
              <w:rPr>
                <w:rFonts w:ascii="Times New Roman" w:hAnsi="Times New Roman"/>
                <w:sz w:val="24"/>
              </w:rPr>
              <w:t>Iespējamā pāreja uz piedāvājumu konkursu pieeju rada arī vairākas potenciālas problēmas. Tās ir:</w:t>
            </w:r>
          </w:p>
          <w:p w14:paraId="514C4C88" w14:textId="77777777" w:rsidR="00801FAA" w:rsidRPr="004D11C9" w:rsidRDefault="00801FAA" w:rsidP="00801FAA">
            <w:pPr>
              <w:jc w:val="both"/>
              <w:rPr>
                <w:rFonts w:ascii="Times New Roman" w:hAnsi="Times New Roman"/>
                <w:noProof/>
                <w:sz w:val="24"/>
              </w:rPr>
            </w:pPr>
          </w:p>
          <w:p w14:paraId="7720E9DD" w14:textId="77777777" w:rsidR="00801FAA" w:rsidRPr="004D11C9" w:rsidRDefault="00801FAA" w:rsidP="00801FAA">
            <w:pPr>
              <w:numPr>
                <w:ilvl w:val="1"/>
                <w:numId w:val="3"/>
              </w:numPr>
              <w:ind w:left="426" w:hanging="426"/>
              <w:jc w:val="both"/>
              <w:rPr>
                <w:rFonts w:ascii="Times New Roman" w:hAnsi="Times New Roman"/>
                <w:noProof/>
                <w:sz w:val="24"/>
              </w:rPr>
            </w:pPr>
            <w:r>
              <w:rPr>
                <w:rFonts w:ascii="Times New Roman" w:hAnsi="Times New Roman"/>
                <w:sz w:val="24"/>
              </w:rPr>
              <w:t>iespējami piedāvājuma pārtraukumi saistībā ar to, ka uzvarējušie pretendenti nespēj apmierināt pieprasījumu;</w:t>
            </w:r>
          </w:p>
          <w:p w14:paraId="44B8AD62" w14:textId="77777777" w:rsidR="00801FAA" w:rsidRPr="004D11C9" w:rsidRDefault="00801FAA" w:rsidP="00801FAA">
            <w:pPr>
              <w:numPr>
                <w:ilvl w:val="1"/>
                <w:numId w:val="3"/>
              </w:numPr>
              <w:ind w:left="426" w:hanging="426"/>
              <w:jc w:val="both"/>
              <w:rPr>
                <w:rFonts w:ascii="Times New Roman" w:hAnsi="Times New Roman"/>
                <w:noProof/>
                <w:sz w:val="24"/>
              </w:rPr>
            </w:pPr>
            <w:r>
              <w:rPr>
                <w:rFonts w:ascii="Times New Roman" w:hAnsi="Times New Roman"/>
                <w:sz w:val="24"/>
              </w:rPr>
              <w:t>iespējama efektīvas konkurences samazināšanās ģenerisko zāļu jomā laika gaitā un</w:t>
            </w:r>
          </w:p>
          <w:p w14:paraId="7BE06A3B" w14:textId="77777777" w:rsidR="00801FAA" w:rsidRPr="004D11C9" w:rsidRDefault="00801FAA" w:rsidP="00801FAA">
            <w:pPr>
              <w:numPr>
                <w:ilvl w:val="1"/>
                <w:numId w:val="3"/>
              </w:numPr>
              <w:ind w:left="426" w:hanging="426"/>
              <w:jc w:val="both"/>
              <w:rPr>
                <w:rFonts w:ascii="Times New Roman" w:hAnsi="Times New Roman"/>
                <w:noProof/>
                <w:sz w:val="24"/>
              </w:rPr>
            </w:pPr>
            <w:r>
              <w:rPr>
                <w:rFonts w:ascii="Times New Roman" w:hAnsi="Times New Roman"/>
                <w:sz w:val="24"/>
              </w:rPr>
              <w:t>krājumu iestrēgšana aptiekās, ja notiek piegādātāju maiņa.</w:t>
            </w:r>
          </w:p>
          <w:p w14:paraId="6B584D45" w14:textId="77777777" w:rsidR="00801FAA" w:rsidRDefault="00801FAA" w:rsidP="00801FAA">
            <w:pPr>
              <w:jc w:val="both"/>
              <w:rPr>
                <w:rFonts w:ascii="Times New Roman" w:hAnsi="Times New Roman"/>
                <w:noProof/>
                <w:sz w:val="24"/>
              </w:rPr>
            </w:pPr>
          </w:p>
          <w:p w14:paraId="35994960" w14:textId="77777777" w:rsidR="00801FAA" w:rsidRPr="004D11C9" w:rsidRDefault="00801FAA" w:rsidP="00801FAA">
            <w:pPr>
              <w:jc w:val="both"/>
              <w:rPr>
                <w:rFonts w:ascii="Times New Roman" w:hAnsi="Times New Roman"/>
                <w:noProof/>
                <w:sz w:val="24"/>
              </w:rPr>
            </w:pPr>
            <w:r>
              <w:rPr>
                <w:rFonts w:ascii="Times New Roman" w:hAnsi="Times New Roman"/>
                <w:sz w:val="24"/>
              </w:rPr>
              <w:t>Turklāt šī pieeja var nebūt efektīva attiecībā uz ģeneriskajām zālēm, kam ir neliels piegādātāju skaits.</w:t>
            </w:r>
          </w:p>
          <w:p w14:paraId="54A0C4B6" w14:textId="77777777" w:rsidR="00801FAA" w:rsidRDefault="00801FAA" w:rsidP="00801FAA">
            <w:pPr>
              <w:jc w:val="both"/>
              <w:rPr>
                <w:rFonts w:ascii="Times New Roman" w:hAnsi="Times New Roman"/>
                <w:noProof/>
                <w:sz w:val="24"/>
              </w:rPr>
            </w:pPr>
          </w:p>
          <w:p w14:paraId="36A755FB" w14:textId="77777777" w:rsidR="00801FAA" w:rsidRDefault="00801FAA" w:rsidP="00801FAA">
            <w:pPr>
              <w:jc w:val="both"/>
              <w:rPr>
                <w:rFonts w:ascii="Times New Roman" w:hAnsi="Times New Roman"/>
                <w:noProof/>
                <w:sz w:val="24"/>
              </w:rPr>
            </w:pPr>
            <w:r>
              <w:rPr>
                <w:rFonts w:ascii="Times New Roman" w:hAnsi="Times New Roman"/>
                <w:sz w:val="24"/>
              </w:rPr>
              <w:t>Piedāvājuma konkursa procedūras rūpīga izstrāde ievērojami mazinātu šīs bažas. Piemēram, lai mazinātu piegādes pārtraukuma draudus, pretendentiem varētu būt jāpierāda sava spēja apmierināt pieprasījumu, par atbilstošiem var atzīt vairākus piegādātājus vai arī piegādātājiem var pieprasīt izdot saistību izpildes garantijas, kas segtu ar pieprasījuma neapmierināšanu saistītās izmaksas.</w:t>
            </w:r>
          </w:p>
          <w:p w14:paraId="4C9A4C2F" w14:textId="77777777" w:rsidR="00801FAA" w:rsidRPr="004D11C9" w:rsidRDefault="00801FAA" w:rsidP="00801FAA">
            <w:pPr>
              <w:jc w:val="both"/>
              <w:rPr>
                <w:rFonts w:ascii="Times New Roman" w:hAnsi="Times New Roman"/>
                <w:noProof/>
                <w:sz w:val="24"/>
              </w:rPr>
            </w:pPr>
          </w:p>
          <w:p w14:paraId="56698449" w14:textId="77777777" w:rsidR="00801FAA" w:rsidRPr="004D11C9" w:rsidRDefault="00801FAA" w:rsidP="00801FAA">
            <w:pPr>
              <w:jc w:val="both"/>
              <w:rPr>
                <w:rFonts w:ascii="Times New Roman" w:hAnsi="Times New Roman"/>
                <w:noProof/>
                <w:sz w:val="24"/>
              </w:rPr>
            </w:pPr>
            <w:r>
              <w:rPr>
                <w:rFonts w:ascii="Times New Roman" w:hAnsi="Times New Roman"/>
                <w:sz w:val="24"/>
              </w:rPr>
              <w:t>Konkurence var samazināties, ja pieprasījuma koncentrēšana piedāvājuma konkursos samazina aktīvo ģenerisko zāļu piegādātāju skaitu vai ja peļņas norma, kas ir pieejama no piedāvājumu konkursos iekļautajām ģeneriskajām zālēm, tiek uzskatīta par pārāk zemu, lai piegādātāji būtu ieinteresēti ieguldīt izmaksas, kas nepieciešamas produktu izstrādei un apstiprināšanai laišanai attiecīgās valsts tirgū.</w:t>
            </w:r>
          </w:p>
          <w:p w14:paraId="2904BCDD" w14:textId="77777777" w:rsidR="00801FAA" w:rsidRDefault="00801FAA" w:rsidP="00801FAA">
            <w:pPr>
              <w:jc w:val="both"/>
              <w:rPr>
                <w:rFonts w:ascii="Times New Roman" w:hAnsi="Times New Roman"/>
                <w:noProof/>
                <w:sz w:val="24"/>
              </w:rPr>
            </w:pPr>
          </w:p>
          <w:p w14:paraId="35CE23AE" w14:textId="77777777" w:rsidR="00801FAA" w:rsidRDefault="00801FAA" w:rsidP="00801FAA">
            <w:pPr>
              <w:jc w:val="both"/>
              <w:rPr>
                <w:rFonts w:ascii="Times New Roman" w:hAnsi="Times New Roman"/>
                <w:noProof/>
                <w:sz w:val="24"/>
              </w:rPr>
            </w:pPr>
            <w:r>
              <w:rPr>
                <w:rFonts w:ascii="Times New Roman" w:hAnsi="Times New Roman"/>
                <w:sz w:val="24"/>
              </w:rPr>
              <w:t>Ņemot vērā nelielo vietējo pieprasījumu salīdzinājumā ar pieprasījumu pēc ģeneriskām zālēm citās valstīs un vietējās ģenerisko zāļu ražošanas trūkumu, praksē nav paredzams, ka piedāvājumu konkursu izmantošanas dēļ uzņēmumi nolems neiesaistīties pētniecības un izstrādes pasākumos, kas nepieciešami ģenerisko zāļu izstrādei. Dažos gadījumos būtisks šķērslis ieiešanai tirgū joprojām var būt izmaksas, kas ir saistītas ar apstiprināšanu laišanai vietējā tirgū.</w:t>
            </w:r>
          </w:p>
          <w:p w14:paraId="403BA94C" w14:textId="77777777" w:rsidR="00801FAA" w:rsidRPr="004D11C9" w:rsidRDefault="00801FAA" w:rsidP="00801FAA">
            <w:pPr>
              <w:jc w:val="both"/>
              <w:rPr>
                <w:rFonts w:ascii="Times New Roman" w:hAnsi="Times New Roman"/>
                <w:noProof/>
                <w:sz w:val="24"/>
              </w:rPr>
            </w:pPr>
          </w:p>
          <w:p w14:paraId="4BDA8F57" w14:textId="77777777" w:rsidR="00801FAA" w:rsidRDefault="00801FAA" w:rsidP="00801FAA">
            <w:pPr>
              <w:jc w:val="both"/>
              <w:rPr>
                <w:rFonts w:ascii="Times New Roman" w:hAnsi="Times New Roman"/>
                <w:noProof/>
                <w:sz w:val="24"/>
              </w:rPr>
            </w:pPr>
            <w:r>
              <w:rPr>
                <w:rFonts w:ascii="Times New Roman" w:hAnsi="Times New Roman"/>
                <w:sz w:val="24"/>
              </w:rPr>
              <w:t>Tomēr tad, ja rodas bažas par efektīvas konkurences samazināšanos, var izmantot dažādas pieejas, lai to novērstu. Piemēram:</w:t>
            </w:r>
          </w:p>
          <w:p w14:paraId="1AB9E86E" w14:textId="77777777" w:rsidR="00801FAA" w:rsidRPr="004D11C9" w:rsidRDefault="00801FAA" w:rsidP="00801FAA">
            <w:pPr>
              <w:jc w:val="both"/>
              <w:rPr>
                <w:rFonts w:ascii="Times New Roman" w:hAnsi="Times New Roman"/>
                <w:noProof/>
                <w:sz w:val="24"/>
              </w:rPr>
            </w:pPr>
          </w:p>
          <w:p w14:paraId="6916860C" w14:textId="77777777" w:rsidR="00801FAA" w:rsidRPr="004D11C9" w:rsidRDefault="00801FAA" w:rsidP="00801FAA">
            <w:pPr>
              <w:numPr>
                <w:ilvl w:val="1"/>
                <w:numId w:val="3"/>
              </w:numPr>
              <w:ind w:left="426" w:hanging="426"/>
              <w:jc w:val="both"/>
              <w:rPr>
                <w:rFonts w:ascii="Times New Roman" w:hAnsi="Times New Roman"/>
                <w:noProof/>
                <w:sz w:val="24"/>
              </w:rPr>
            </w:pPr>
            <w:r>
              <w:rPr>
                <w:rFonts w:ascii="Times New Roman" w:hAnsi="Times New Roman"/>
                <w:sz w:val="24"/>
              </w:rPr>
              <w:t>atļaut piegādātājiem iesniegt konkursa piedāvājumu, ja pēc tam tie saņem apstiprinājumu savu produktu tirdzniecībai;</w:t>
            </w:r>
          </w:p>
          <w:p w14:paraId="20215C25" w14:textId="77777777" w:rsidR="00801FAA" w:rsidRPr="004D11C9" w:rsidRDefault="00801FAA" w:rsidP="00801FAA">
            <w:pPr>
              <w:numPr>
                <w:ilvl w:val="1"/>
                <w:numId w:val="3"/>
              </w:numPr>
              <w:ind w:left="426" w:hanging="426"/>
              <w:jc w:val="both"/>
              <w:rPr>
                <w:rFonts w:ascii="Times New Roman" w:hAnsi="Times New Roman"/>
                <w:noProof/>
                <w:sz w:val="24"/>
              </w:rPr>
            </w:pPr>
            <w:r>
              <w:rPr>
                <w:rFonts w:ascii="Times New Roman" w:hAnsi="Times New Roman"/>
                <w:sz w:val="24"/>
              </w:rPr>
              <w:t>atļaut vairāk nekā vienam piedāvātājam piegādāt piedāvājuma konkursā iesniegtās ģeneriskās zāles un</w:t>
            </w:r>
          </w:p>
          <w:p w14:paraId="3AD8AC7E" w14:textId="77777777" w:rsidR="00801FAA" w:rsidRPr="004D11C9" w:rsidRDefault="00801FAA" w:rsidP="00801FAA">
            <w:pPr>
              <w:numPr>
                <w:ilvl w:val="1"/>
                <w:numId w:val="3"/>
              </w:numPr>
              <w:ind w:left="426" w:hanging="426"/>
              <w:jc w:val="both"/>
              <w:rPr>
                <w:rFonts w:ascii="Times New Roman" w:hAnsi="Times New Roman"/>
                <w:noProof/>
                <w:sz w:val="24"/>
              </w:rPr>
            </w:pPr>
            <w:r>
              <w:rPr>
                <w:rFonts w:ascii="Times New Roman" w:hAnsi="Times New Roman"/>
                <w:sz w:val="24"/>
              </w:rPr>
              <w:t>izsludināt konkursu par tiesībām piegādāt ģeneriskās zāles valsts reģioniem.</w:t>
            </w:r>
          </w:p>
          <w:p w14:paraId="255E2854" w14:textId="77777777" w:rsidR="00801FAA" w:rsidRDefault="00801FAA" w:rsidP="00801FAA">
            <w:pPr>
              <w:jc w:val="both"/>
              <w:rPr>
                <w:rFonts w:ascii="Times New Roman" w:hAnsi="Times New Roman"/>
                <w:noProof/>
                <w:sz w:val="24"/>
              </w:rPr>
            </w:pPr>
          </w:p>
          <w:p w14:paraId="283DEE17" w14:textId="77777777" w:rsidR="00801FAA" w:rsidRDefault="00801FAA" w:rsidP="00801FAA">
            <w:pPr>
              <w:jc w:val="both"/>
              <w:rPr>
                <w:rFonts w:ascii="Times New Roman" w:hAnsi="Times New Roman"/>
                <w:noProof/>
                <w:sz w:val="24"/>
              </w:rPr>
            </w:pPr>
            <w:r>
              <w:rPr>
                <w:rFonts w:ascii="Times New Roman" w:hAnsi="Times New Roman"/>
                <w:sz w:val="24"/>
              </w:rPr>
              <w:t xml:space="preserve">Iespējamie risinājumi, kā novērst ievērojama produktu daudzuma iestrēgšanu, ir, piemēram, ievērojami agrāka līgumu slēgšana vai iepriekš noteikta ģenerisku zāļu daudzumu iegāde, pamatojoties uz prognozēto pieprasījumu. Lai panāktu, ka </w:t>
            </w:r>
            <w:bookmarkStart w:id="184" w:name="_bookmark98"/>
            <w:bookmarkEnd w:id="184"/>
            <w:r>
              <w:rPr>
                <w:rFonts w:ascii="Times New Roman" w:hAnsi="Times New Roman"/>
                <w:sz w:val="24"/>
              </w:rPr>
              <w:t>piedāvājumu konkursi ir efektīvi zemu cenu nodrošināšanai, var paredzēt, ka tie tiks izmantoti vienīgi gadījumos, kad ir pienācīgs skaits savstarpēji konkurējošu piegādātāju, attiecībā uz pārējām ģeneriskajām zālēm piemērojot cenu griestus pastāvošajā līmenī vai zem tā.</w:t>
            </w:r>
          </w:p>
          <w:p w14:paraId="6AE3BE72" w14:textId="77777777" w:rsidR="00801FAA" w:rsidRPr="004D11C9" w:rsidRDefault="00801FAA" w:rsidP="00801FAA">
            <w:pPr>
              <w:jc w:val="both"/>
              <w:rPr>
                <w:rFonts w:ascii="Times New Roman" w:hAnsi="Times New Roman"/>
                <w:noProof/>
                <w:sz w:val="24"/>
              </w:rPr>
            </w:pPr>
          </w:p>
          <w:p w14:paraId="3E0E104D" w14:textId="77777777" w:rsidR="00801FAA" w:rsidRDefault="00801FAA" w:rsidP="00801FAA">
            <w:pPr>
              <w:jc w:val="both"/>
              <w:rPr>
                <w:rFonts w:ascii="Times New Roman" w:hAnsi="Times New Roman"/>
                <w:noProof/>
                <w:sz w:val="24"/>
              </w:rPr>
            </w:pPr>
            <w:r>
              <w:rPr>
                <w:rFonts w:ascii="Times New Roman" w:hAnsi="Times New Roman"/>
                <w:sz w:val="24"/>
              </w:rPr>
              <w:t>Piedāvājumu konkursu sistēmā būtu problemātiski izmantot aptieku uzcenojumus tam, lai stimulētu aptiekas izsniegt ģeneriskās zāles, jo daudzu plaši izplatītu produktu cenas būtu noteiktas ievērojami zemākas par attiecīgā ar firmas zīmi marķētā produkta cenu. Attiecīgi, lai nodrošinātu augstu ģenerisko zāļu izsniegšanas līmeni piedāvājumu konkursu sistēmā, būtu jāievieš obligātas aizstāšanas vai maksimālās atmaksāšanas sistēma vai būtu jāpārveido pastāvošā izsniegšanas maksas sistēma.</w:t>
            </w:r>
          </w:p>
          <w:p w14:paraId="3C944199" w14:textId="77777777" w:rsidR="00801FAA" w:rsidRPr="004D11C9" w:rsidRDefault="00801FAA" w:rsidP="00801FAA">
            <w:pPr>
              <w:jc w:val="both"/>
              <w:rPr>
                <w:rFonts w:ascii="Times New Roman" w:hAnsi="Times New Roman"/>
                <w:noProof/>
                <w:sz w:val="24"/>
              </w:rPr>
            </w:pPr>
          </w:p>
          <w:p w14:paraId="1EA56C71" w14:textId="77777777" w:rsidR="00801FAA" w:rsidRPr="004D11C9" w:rsidRDefault="00801FAA" w:rsidP="00801FAA">
            <w:pPr>
              <w:jc w:val="both"/>
              <w:rPr>
                <w:rFonts w:ascii="Times New Roman" w:hAnsi="Times New Roman"/>
                <w:noProof/>
                <w:sz w:val="24"/>
              </w:rPr>
            </w:pPr>
            <w:r>
              <w:rPr>
                <w:rFonts w:ascii="Times New Roman" w:hAnsi="Times New Roman"/>
                <w:sz w:val="24"/>
              </w:rPr>
              <w:t>Lai aizstātu pastāvošo konkurences procesu ar tādu procesu, kura pamatā ir piedāvājumu konkursu izmantošana, būtu jāpārvar vairāki citi šķēršļi. Veselības ministrijai būtu jāiegūst jaunas piedāvājumu konkursu izmantošanas spējas. Piedāvājumu konkursu periodiska izmantošana būtu saistīta arī ar ievērojamām pastāvīgajām izmaksām.</w:t>
            </w:r>
          </w:p>
          <w:p w14:paraId="4B3DE711" w14:textId="77777777" w:rsidR="00801FAA" w:rsidRDefault="00801FAA" w:rsidP="00801FAA">
            <w:pPr>
              <w:jc w:val="both"/>
              <w:rPr>
                <w:rFonts w:ascii="Times New Roman" w:hAnsi="Times New Roman"/>
                <w:noProof/>
                <w:sz w:val="24"/>
              </w:rPr>
            </w:pPr>
          </w:p>
          <w:p w14:paraId="20D663F9" w14:textId="77777777" w:rsidR="00801FAA" w:rsidRDefault="00801FAA" w:rsidP="00801FAA">
            <w:pPr>
              <w:jc w:val="both"/>
              <w:rPr>
                <w:rFonts w:ascii="Times New Roman" w:hAnsi="Times New Roman"/>
                <w:noProof/>
                <w:sz w:val="24"/>
              </w:rPr>
            </w:pPr>
            <w:r>
              <w:rPr>
                <w:rFonts w:ascii="Times New Roman" w:hAnsi="Times New Roman"/>
                <w:sz w:val="24"/>
              </w:rPr>
              <w:t>Būtu jāpārskata arī izsniegšanas maksa, lai nodrošinātu, ka cenu samazināšanās un pilnīga aptiekām piešķiramo atlaižu zaudēšana, kas izrietētu no piedāvājumu konkursu izmantošanas, pārmērīgi neietekmē aptieku tīklu. To varētu panākt, pārstrukturējot izsniegšanas maksu vai palielinot finansējumu par citiem medicīniskajiem pakalpojumiem, ko sniedz farmaceiti. Augstajam farmaceitisko līdzekļu izmaksu ietaupījumam, ko varētu paredzēt piedāvājumu konkursu sistēmā, ir jānodrošina pietiekams finansējums, lai uzlabotu farmaceitu pašreizējo funkciju veselības aprūpes sistēmā.</w:t>
            </w:r>
          </w:p>
          <w:p w14:paraId="5BC61767" w14:textId="77777777" w:rsidR="00801FAA" w:rsidRPr="004D11C9" w:rsidRDefault="00801FAA" w:rsidP="00801FAA">
            <w:pPr>
              <w:jc w:val="both"/>
              <w:rPr>
                <w:rFonts w:ascii="Times New Roman" w:hAnsi="Times New Roman"/>
                <w:noProof/>
                <w:sz w:val="24"/>
              </w:rPr>
            </w:pPr>
          </w:p>
          <w:p w14:paraId="597CC35A" w14:textId="77777777" w:rsidR="00801FAA" w:rsidRPr="004D11C9" w:rsidRDefault="00801FAA" w:rsidP="00801FAA">
            <w:pPr>
              <w:jc w:val="both"/>
              <w:rPr>
                <w:rFonts w:ascii="Times New Roman" w:hAnsi="Times New Roman"/>
                <w:noProof/>
                <w:sz w:val="24"/>
              </w:rPr>
            </w:pPr>
            <w:r>
              <w:rPr>
                <w:rFonts w:ascii="Times New Roman" w:hAnsi="Times New Roman"/>
                <w:sz w:val="24"/>
              </w:rPr>
              <w:t>Pārejai uz piedāvājumu konkursu izmantošanu, visticamāk, stingri iebilstu ģenerisko zāļu piegādātāji, jo tā palielinātu konkurences spiedienu uz tiem un būtiski mainītu pastāvošo izplatīšanas tīklu. Paredzams, ka arī aptiekām būtu lieli iebildumi, taču, visticamāk, tos varētu ievērojami mazināt, uzlabojot pastāvošos aptieku finansēšanas mehānismus.</w:t>
            </w:r>
          </w:p>
          <w:p w14:paraId="225F33FB" w14:textId="77777777" w:rsidR="00801FAA" w:rsidRPr="004D11C9" w:rsidRDefault="00801FAA" w:rsidP="00801FAA">
            <w:pPr>
              <w:jc w:val="both"/>
              <w:rPr>
                <w:rFonts w:ascii="Times New Roman" w:eastAsia="Arial" w:hAnsi="Times New Roman" w:cs="Arial"/>
                <w:noProof/>
                <w:sz w:val="24"/>
                <w:szCs w:val="14"/>
              </w:rPr>
            </w:pPr>
          </w:p>
          <w:p w14:paraId="3959E752" w14:textId="77777777" w:rsidR="00801FAA" w:rsidRPr="004D11C9" w:rsidRDefault="00801FAA" w:rsidP="00801FAA">
            <w:pPr>
              <w:tabs>
                <w:tab w:val="left" w:pos="453"/>
              </w:tabs>
              <w:jc w:val="both"/>
              <w:rPr>
                <w:rFonts w:ascii="Times New Roman" w:hAnsi="Times New Roman"/>
                <w:b/>
                <w:noProof/>
                <w:sz w:val="24"/>
              </w:rPr>
            </w:pPr>
            <w:r>
              <w:rPr>
                <w:rFonts w:ascii="Times New Roman" w:hAnsi="Times New Roman"/>
                <w:b/>
                <w:sz w:val="24"/>
              </w:rPr>
              <w:t>B. Iespējamo risinājumu salīdzināšana</w:t>
            </w:r>
          </w:p>
          <w:p w14:paraId="490C0509" w14:textId="77777777" w:rsidR="00801FAA" w:rsidRPr="004D11C9" w:rsidRDefault="00801FAA" w:rsidP="00801FAA">
            <w:pPr>
              <w:jc w:val="both"/>
              <w:rPr>
                <w:rFonts w:ascii="Times New Roman" w:eastAsia="Arial" w:hAnsi="Times New Roman" w:cs="Arial"/>
                <w:b/>
                <w:bCs/>
                <w:noProof/>
                <w:sz w:val="24"/>
                <w:szCs w:val="13"/>
              </w:rPr>
            </w:pPr>
          </w:p>
          <w:p w14:paraId="6D2A18B6" w14:textId="77777777" w:rsidR="00801FAA" w:rsidRPr="004D11C9" w:rsidRDefault="00801FAA" w:rsidP="00801FAA">
            <w:pPr>
              <w:jc w:val="both"/>
              <w:rPr>
                <w:rFonts w:ascii="Times New Roman" w:hAnsi="Times New Roman"/>
                <w:b/>
                <w:i/>
                <w:noProof/>
                <w:sz w:val="24"/>
              </w:rPr>
            </w:pPr>
            <w:r>
              <w:rPr>
                <w:rFonts w:ascii="Times New Roman" w:hAnsi="Times New Roman"/>
                <w:b/>
                <w:i/>
                <w:sz w:val="24"/>
              </w:rPr>
              <w:t>Ietekme uz farmaceitisko līdzekļu izmaksām</w:t>
            </w:r>
          </w:p>
          <w:p w14:paraId="0302F448" w14:textId="77777777" w:rsidR="00801FAA" w:rsidRPr="004D11C9" w:rsidRDefault="00801FAA" w:rsidP="00801FAA">
            <w:pPr>
              <w:jc w:val="both"/>
              <w:rPr>
                <w:rFonts w:ascii="Times New Roman" w:eastAsia="Arial" w:hAnsi="Times New Roman" w:cs="Arial"/>
                <w:b/>
                <w:bCs/>
                <w:i/>
                <w:noProof/>
                <w:sz w:val="24"/>
                <w:szCs w:val="14"/>
              </w:rPr>
            </w:pPr>
          </w:p>
          <w:p w14:paraId="236232DE" w14:textId="77777777" w:rsidR="00801FAA" w:rsidRDefault="00801FAA" w:rsidP="00801FAA">
            <w:pPr>
              <w:jc w:val="both"/>
              <w:rPr>
                <w:rFonts w:ascii="Times New Roman" w:hAnsi="Times New Roman"/>
                <w:noProof/>
                <w:sz w:val="24"/>
              </w:rPr>
            </w:pPr>
            <w:r>
              <w:rPr>
                <w:rFonts w:ascii="Times New Roman" w:hAnsi="Times New Roman"/>
                <w:sz w:val="24"/>
              </w:rPr>
              <w:t xml:space="preserve">Starp visiem izskatītajiem iespējamajiem risinājumiem piedāvājumu konkursu izmantošanai ir labākais potenciāls nodrošināt lielākos farmaceitisko līdzekļu izmaksu ietaupījumus. Tie varētu būt vienādi ar pašreizējo aprēķināto aptiekām piešķirto atlaižu līmeni (55 %), ko ir paziņojuši ģenerisko zāļu piegādātāji, vai pārsniegt to, vai pārsniegt 2,9 miljardus ASV dolāru </w:t>
            </w:r>
            <w:r>
              <w:rPr>
                <w:rFonts w:ascii="Times New Roman" w:hAnsi="Times New Roman"/>
                <w:sz w:val="24"/>
              </w:rPr>
              <w:lastRenderedPageBreak/>
              <w:t>atbilstoši 2011. gada farmaceitisko līdzekļu izmaksām. Turpretī iespējamie ietaupījumi “atgūšanas tiesību” pieejas gadījumā, visticamāk, būs ievērojami mazāki par paziņotajām 55 % atlaidēm, kas tiek piešķirtas aptiekām, atkarībā no ieviestās ziņošanas sistēmas spējas aptvert visa veida pamudinājumus, ko ģenerisko zāļu piegādātāji sniedz aptiekām, lai motivētu tās turēt krājumā šo piegādātāju produktus. Savukārt, piemērojot salīdzinājuma valsts pieeju, paredzams, ka maksimālie ietaupījumi nepārsniegs 2,46 miljardus ASV dolāru atbilstoši farmaceitisko līdzekļu izmaksām 2011. gadā.</w:t>
            </w:r>
          </w:p>
          <w:p w14:paraId="094637C9" w14:textId="77777777" w:rsidR="00801FAA" w:rsidRPr="004D11C9" w:rsidRDefault="00801FAA" w:rsidP="00801FAA">
            <w:pPr>
              <w:jc w:val="both"/>
              <w:rPr>
                <w:rFonts w:ascii="Times New Roman" w:hAnsi="Times New Roman"/>
                <w:noProof/>
                <w:sz w:val="24"/>
              </w:rPr>
            </w:pPr>
          </w:p>
          <w:p w14:paraId="65D6C8EC" w14:textId="77777777" w:rsidR="00801FAA" w:rsidRPr="004D11C9" w:rsidRDefault="00801FAA" w:rsidP="00801FAA">
            <w:pPr>
              <w:jc w:val="both"/>
              <w:rPr>
                <w:rFonts w:ascii="Times New Roman" w:hAnsi="Times New Roman"/>
                <w:b/>
                <w:i/>
                <w:noProof/>
                <w:sz w:val="24"/>
              </w:rPr>
            </w:pPr>
            <w:r>
              <w:rPr>
                <w:rFonts w:ascii="Times New Roman" w:hAnsi="Times New Roman"/>
                <w:b/>
                <w:i/>
                <w:sz w:val="24"/>
              </w:rPr>
              <w:t>Īstenošana, pastāvīgās izmaksas un šķēršļi</w:t>
            </w:r>
          </w:p>
          <w:p w14:paraId="7BE6FAB2" w14:textId="77777777" w:rsidR="00801FAA" w:rsidRPr="004D11C9" w:rsidRDefault="00801FAA" w:rsidP="00801FAA">
            <w:pPr>
              <w:jc w:val="both"/>
              <w:rPr>
                <w:rFonts w:ascii="Times New Roman" w:eastAsia="Arial" w:hAnsi="Times New Roman" w:cs="Arial"/>
                <w:b/>
                <w:bCs/>
                <w:i/>
                <w:noProof/>
                <w:sz w:val="24"/>
                <w:szCs w:val="14"/>
              </w:rPr>
            </w:pPr>
          </w:p>
          <w:p w14:paraId="672C6D42" w14:textId="77777777" w:rsidR="00801FAA" w:rsidRDefault="00801FAA" w:rsidP="00801FAA">
            <w:pPr>
              <w:jc w:val="both"/>
              <w:rPr>
                <w:rFonts w:ascii="Times New Roman" w:hAnsi="Times New Roman"/>
                <w:noProof/>
                <w:sz w:val="24"/>
              </w:rPr>
            </w:pPr>
            <w:r>
              <w:rPr>
                <w:rFonts w:ascii="Times New Roman" w:hAnsi="Times New Roman"/>
                <w:sz w:val="24"/>
              </w:rPr>
              <w:t>Izplatīta problēma saistībā ar visu iepriekš minēto pieeju īstenošanu ir augsta ģenerisko zāļu izsniegšanas līmeņa nepārtraukta nodrošināšana. Pašreizējā konkurences sistēmā aptiekām piešķirto ģenerisko zāļu atlaižu augstais līmenis ir efektīvi veicinājis aizstāšanu, taču novedis pie neefektīvas aptieku nozares attīstības.</w:t>
            </w:r>
          </w:p>
          <w:p w14:paraId="2E685AB7" w14:textId="77777777" w:rsidR="00801FAA" w:rsidRPr="004D11C9" w:rsidRDefault="00801FAA" w:rsidP="00801FAA">
            <w:pPr>
              <w:jc w:val="both"/>
              <w:rPr>
                <w:rFonts w:ascii="Times New Roman" w:hAnsi="Times New Roman"/>
                <w:noProof/>
                <w:sz w:val="24"/>
              </w:rPr>
            </w:pPr>
          </w:p>
          <w:p w14:paraId="746CDADF" w14:textId="77777777" w:rsidR="00801FAA" w:rsidRPr="004D11C9" w:rsidRDefault="00801FAA" w:rsidP="00801FAA">
            <w:pPr>
              <w:jc w:val="both"/>
              <w:rPr>
                <w:rFonts w:ascii="Times New Roman" w:hAnsi="Times New Roman"/>
                <w:noProof/>
                <w:sz w:val="24"/>
              </w:rPr>
            </w:pPr>
            <w:r>
              <w:rPr>
                <w:rFonts w:ascii="Times New Roman" w:hAnsi="Times New Roman"/>
                <w:sz w:val="24"/>
              </w:rPr>
              <w:t>Lai risinātu šo jautājumu, ģenerisko zāļu izsniegšanas veicināšana ir jāturpina, izmantojot izsniegšanas maksu, atļaujot aizstāšanu ar ģeneriskajām zālēm vai ierobežojot kompensēšanu līdz ģenerisko zāļu cenu līmeņiem. Kā norādīts iepriekš, aptieku stimulu turpmāka izmantošana, lai veicinātu aizstāšanu ar ģeneriskajām zālēm, piemērojot tādus paņēmienus kā atlaižu saglabāšana aptiekām un ģenerisko zāļu uzcenojumi, ievērojami mazinātu ieguvumus, ko sniedz zemākas farmaceitisko līdzekļu cenas. Lai to izdarītu, izsniegšanas maksa ir jāpalielina par vairāk nekā 0,6 miljardiem ASV dolāru, bet pat tad nav izslēgts, ka ģenerisko zāļu izsniegšana samazināsies. Turklāt stimulu izmantošana, lai veicinātu ģenerisko zāļu izsniegšanu aptiekās, radītu izsniegšanas maksas sistēmu, kas neatbilst faktiskajām aptiekas izmaksām.</w:t>
            </w:r>
          </w:p>
          <w:p w14:paraId="0F15864A" w14:textId="77777777" w:rsidR="00801FAA" w:rsidRPr="004D11C9" w:rsidRDefault="00801FAA" w:rsidP="00801FAA">
            <w:pPr>
              <w:jc w:val="both"/>
              <w:rPr>
                <w:rFonts w:ascii="Times New Roman" w:eastAsia="Arial" w:hAnsi="Times New Roman" w:cs="Arial"/>
                <w:noProof/>
                <w:sz w:val="24"/>
                <w:szCs w:val="15"/>
              </w:rPr>
            </w:pPr>
          </w:p>
          <w:p w14:paraId="47CD804D" w14:textId="77777777" w:rsidR="00801FAA" w:rsidRPr="004D11C9" w:rsidRDefault="00801FAA" w:rsidP="00801FAA">
            <w:pPr>
              <w:jc w:val="both"/>
              <w:rPr>
                <w:rFonts w:ascii="Times New Roman" w:hAnsi="Times New Roman"/>
                <w:noProof/>
                <w:sz w:val="24"/>
              </w:rPr>
            </w:pPr>
            <w:r>
              <w:rPr>
                <w:rFonts w:ascii="Times New Roman" w:hAnsi="Times New Roman"/>
                <w:sz w:val="24"/>
              </w:rPr>
              <w:t>Citu alternatīvu vidū obligātai prasībai nodrošināt aizstāšanu ar ģeneriskām zālēm būtu nepieciešama uzraudzības un izpildes sistēmas izveide, un arī tad ģenerisko zāļu izsniegšana var samazināties. Kompensēšanas ierobežošana līdz ģenerisko zāļu cenu līmeņiem var samazināt ģenerisko zāļu izsniegšanu, tomēr papildu izmaksas segtu pacienti.</w:t>
            </w:r>
          </w:p>
          <w:p w14:paraId="31BFE563" w14:textId="77777777" w:rsidR="00801FAA" w:rsidRDefault="00801FAA" w:rsidP="00801FAA">
            <w:pPr>
              <w:jc w:val="both"/>
              <w:rPr>
                <w:rFonts w:ascii="Times New Roman" w:hAnsi="Times New Roman"/>
                <w:noProof/>
                <w:sz w:val="24"/>
              </w:rPr>
            </w:pPr>
          </w:p>
          <w:p w14:paraId="29CFD185" w14:textId="77777777" w:rsidR="00801FAA" w:rsidRPr="004D11C9" w:rsidRDefault="00801FAA" w:rsidP="00801FAA">
            <w:pPr>
              <w:jc w:val="both"/>
              <w:rPr>
                <w:rFonts w:ascii="Times New Roman" w:hAnsi="Times New Roman"/>
                <w:noProof/>
                <w:sz w:val="24"/>
              </w:rPr>
            </w:pPr>
            <w:r>
              <w:rPr>
                <w:rFonts w:ascii="Times New Roman" w:hAnsi="Times New Roman"/>
                <w:sz w:val="24"/>
              </w:rPr>
              <w:t>Savukārt no visiem iepriekš minētajiem risinājumiem salīdzinājuma valstu pieeja rada vismazākos īstenošanas šķēršļus un pastāvīgās izmaksas, jo tā saglabā pastāvošo konkurences sistēmu un izmanto pamatpieeju, kas jau tiek piemērota attiecībā uz patentētiem farmaceitiskajiem līdzekļiem.</w:t>
            </w:r>
          </w:p>
          <w:p w14:paraId="24A5AAE4" w14:textId="77777777" w:rsidR="00801FAA" w:rsidRDefault="00801FAA" w:rsidP="00801FAA">
            <w:pPr>
              <w:jc w:val="both"/>
              <w:rPr>
                <w:rFonts w:ascii="Times New Roman" w:hAnsi="Times New Roman"/>
                <w:noProof/>
                <w:sz w:val="24"/>
              </w:rPr>
            </w:pPr>
          </w:p>
          <w:p w14:paraId="0299C2ED" w14:textId="77777777" w:rsidR="00801FAA" w:rsidRDefault="00801FAA" w:rsidP="00801FAA">
            <w:pPr>
              <w:jc w:val="both"/>
              <w:rPr>
                <w:rFonts w:ascii="Times New Roman" w:hAnsi="Times New Roman"/>
                <w:noProof/>
                <w:sz w:val="24"/>
              </w:rPr>
            </w:pPr>
            <w:r>
              <w:rPr>
                <w:rFonts w:ascii="Times New Roman" w:hAnsi="Times New Roman"/>
                <w:sz w:val="24"/>
              </w:rPr>
              <w:t>Atgūšanas tiesību pieeja saglabātu pastāvošo konkurences sistēmu. Tomēr ar šīs pieejas īstenošanu un uzturēšanu būtu saistīti būtiski šķēršļi un izmaksas, kas izrietētu no nepieciešamības iegūt precīzu informāciju par faktisko aptiekām piešķirto atlaižu lielumu un sadalīt atlaides aptiekām.</w:t>
            </w:r>
          </w:p>
          <w:p w14:paraId="5FD7A642" w14:textId="77777777" w:rsidR="00801FAA" w:rsidRPr="004D11C9" w:rsidRDefault="00801FAA" w:rsidP="00801FAA">
            <w:pPr>
              <w:jc w:val="both"/>
              <w:rPr>
                <w:rFonts w:ascii="Times New Roman" w:hAnsi="Times New Roman"/>
                <w:noProof/>
                <w:sz w:val="24"/>
              </w:rPr>
            </w:pPr>
          </w:p>
          <w:p w14:paraId="6F12199A" w14:textId="77777777" w:rsidR="00801FAA" w:rsidRDefault="00801FAA" w:rsidP="00801FAA">
            <w:pPr>
              <w:jc w:val="both"/>
              <w:rPr>
                <w:rFonts w:ascii="Times New Roman" w:hAnsi="Times New Roman"/>
                <w:noProof/>
                <w:sz w:val="24"/>
              </w:rPr>
            </w:pPr>
            <w:r>
              <w:rPr>
                <w:rFonts w:ascii="Times New Roman" w:hAnsi="Times New Roman"/>
                <w:sz w:val="24"/>
              </w:rPr>
              <w:t>Visaugstākās īstenošanas izmaksas un šķēršļi būtu piedāvājumu konkursu izmantošanas gadījumā, jo būtu jāizveido atbilstošs piedāvājumu konkursu process un sistēma, jāattīsta spējas organizēt šādus piedāvājumu konkursus un jāreorganizē ģenerisko zāļu izplatīšana. Šī pieeja radītu arī ievērojamas pastāvīgās piedāvājumu konkursu izmaksas.</w:t>
            </w:r>
          </w:p>
          <w:p w14:paraId="246D21CF" w14:textId="77777777" w:rsidR="00801FAA" w:rsidRPr="004D11C9" w:rsidRDefault="00801FAA" w:rsidP="00801FAA">
            <w:pPr>
              <w:jc w:val="both"/>
              <w:rPr>
                <w:rFonts w:ascii="Times New Roman" w:hAnsi="Times New Roman"/>
                <w:noProof/>
                <w:sz w:val="24"/>
              </w:rPr>
            </w:pPr>
          </w:p>
          <w:p w14:paraId="09B6B53B" w14:textId="77777777" w:rsidR="00801FAA" w:rsidRPr="004D11C9" w:rsidRDefault="00801FAA" w:rsidP="00801FAA">
            <w:pPr>
              <w:jc w:val="both"/>
              <w:rPr>
                <w:rFonts w:ascii="Times New Roman" w:hAnsi="Times New Roman"/>
                <w:b/>
                <w:i/>
                <w:noProof/>
                <w:sz w:val="24"/>
              </w:rPr>
            </w:pPr>
            <w:r>
              <w:rPr>
                <w:rFonts w:ascii="Times New Roman" w:hAnsi="Times New Roman"/>
                <w:b/>
                <w:i/>
                <w:sz w:val="24"/>
              </w:rPr>
              <w:t>Ietekme uz veselības aprūpes sistēmas kvalitāti un efektivitāti</w:t>
            </w:r>
          </w:p>
          <w:p w14:paraId="4153404C" w14:textId="77777777" w:rsidR="00801FAA" w:rsidRPr="004D11C9" w:rsidRDefault="00801FAA" w:rsidP="00801FAA">
            <w:pPr>
              <w:jc w:val="both"/>
              <w:rPr>
                <w:rFonts w:ascii="Times New Roman" w:eastAsia="Arial" w:hAnsi="Times New Roman" w:cs="Arial"/>
                <w:b/>
                <w:bCs/>
                <w:i/>
                <w:noProof/>
                <w:sz w:val="24"/>
                <w:szCs w:val="14"/>
              </w:rPr>
            </w:pPr>
          </w:p>
          <w:p w14:paraId="31D66F5D" w14:textId="77777777" w:rsidR="00801FAA" w:rsidRDefault="00801FAA" w:rsidP="00801FAA">
            <w:pPr>
              <w:jc w:val="both"/>
              <w:rPr>
                <w:rFonts w:ascii="Times New Roman" w:hAnsi="Times New Roman"/>
                <w:noProof/>
                <w:sz w:val="24"/>
              </w:rPr>
            </w:pPr>
            <w:r>
              <w:rPr>
                <w:rFonts w:ascii="Times New Roman" w:hAnsi="Times New Roman"/>
                <w:sz w:val="24"/>
              </w:rPr>
              <w:t xml:space="preserve">Kopīga problēma, kas pastāv saistībā ar visiem iepriekš izklāstītajiem risinājumiem, ir farmaceitu pakalpojumu pieejamības nodrošināšana pacientiem. Visskaidrāk to ir iespējams </w:t>
            </w:r>
            <w:r>
              <w:rPr>
                <w:rFonts w:ascii="Times New Roman" w:hAnsi="Times New Roman"/>
                <w:sz w:val="24"/>
              </w:rPr>
              <w:lastRenderedPageBreak/>
              <w:t>panākt, izmantojot piedāvājumu konkursu procesu. No iepriekš minētajiem risinājumiem piedāvājumu konkursu izmantošana ir vienīgais risinājums, kas skaidri norāda konkurējošas ģenerisko zāļu cenas un aptieku neto ieņēmumus no to izsniegšanas darbības. Piedāvājumu konkursu pieeja, nodrošinot ievērojami lielākus farmaceitisko līdzekļu ietaupījumus nekā pārējie risinājumi, nodrošina arī lielāku līdzekļu avotu tam, lai veicinātu farmaceitu pakalpojumu labāku izmantošanu veselības aprūpes sistēmā.</w:t>
            </w:r>
          </w:p>
          <w:p w14:paraId="0A7B0EC4" w14:textId="77777777" w:rsidR="00801FAA" w:rsidRPr="004D11C9" w:rsidRDefault="00801FAA" w:rsidP="00801FAA">
            <w:pPr>
              <w:jc w:val="both"/>
              <w:rPr>
                <w:rFonts w:ascii="Times New Roman" w:hAnsi="Times New Roman"/>
                <w:noProof/>
                <w:sz w:val="24"/>
              </w:rPr>
            </w:pPr>
          </w:p>
          <w:p w14:paraId="2DF22FB9" w14:textId="77777777" w:rsidR="00801FAA" w:rsidRPr="004D11C9" w:rsidRDefault="00801FAA" w:rsidP="00801FAA">
            <w:pPr>
              <w:jc w:val="both"/>
              <w:rPr>
                <w:rFonts w:ascii="Times New Roman" w:hAnsi="Times New Roman"/>
                <w:b/>
                <w:i/>
                <w:noProof/>
                <w:sz w:val="24"/>
              </w:rPr>
            </w:pPr>
            <w:r>
              <w:rPr>
                <w:rFonts w:ascii="Times New Roman" w:hAnsi="Times New Roman"/>
                <w:b/>
                <w:i/>
                <w:sz w:val="24"/>
              </w:rPr>
              <w:t>Iebildumi</w:t>
            </w:r>
          </w:p>
          <w:p w14:paraId="3F1DA0BA" w14:textId="77777777" w:rsidR="00801FAA" w:rsidRPr="004D11C9" w:rsidRDefault="00801FAA" w:rsidP="00801FAA">
            <w:pPr>
              <w:jc w:val="both"/>
              <w:rPr>
                <w:rFonts w:ascii="Times New Roman" w:eastAsia="Arial" w:hAnsi="Times New Roman" w:cs="Arial"/>
                <w:b/>
                <w:bCs/>
                <w:i/>
                <w:noProof/>
                <w:sz w:val="24"/>
                <w:szCs w:val="14"/>
              </w:rPr>
            </w:pPr>
          </w:p>
          <w:p w14:paraId="6EABD536" w14:textId="77777777" w:rsidR="00801FAA" w:rsidRDefault="00801FAA" w:rsidP="00801FAA">
            <w:pPr>
              <w:jc w:val="both"/>
              <w:rPr>
                <w:rFonts w:ascii="Times New Roman" w:hAnsi="Times New Roman"/>
                <w:noProof/>
                <w:sz w:val="24"/>
              </w:rPr>
            </w:pPr>
            <w:r>
              <w:rPr>
                <w:rFonts w:ascii="Times New Roman" w:hAnsi="Times New Roman"/>
                <w:sz w:val="24"/>
              </w:rPr>
              <w:t>Visticamāk, nozares dalībniekiem vislielākie iebildumi būtu par piedāvājumu konkursu izmantošanas pieeju. Citi iepriekš minētie risinājumi saglabā pastāvošo konkurences regulējumu galvenokārt neskartu, savukārt piedāvājumu konkursu izmantošana būtiski un tieši maina konkurences uzsvaru uz ieguvuma radīšanu maksātājiem. Īpaši spēcīgi iebildumi var rasties ģenerisko zāļu piegādātājiem, kas tiks pakļauti jaunam konkurences spiedienam.</w:t>
            </w:r>
          </w:p>
          <w:p w14:paraId="511F6A0F" w14:textId="77777777" w:rsidR="00801FAA" w:rsidRPr="004D11C9" w:rsidRDefault="00801FAA" w:rsidP="00801FAA">
            <w:pPr>
              <w:jc w:val="both"/>
              <w:rPr>
                <w:rFonts w:ascii="Times New Roman" w:hAnsi="Times New Roman"/>
                <w:noProof/>
                <w:sz w:val="24"/>
              </w:rPr>
            </w:pPr>
          </w:p>
          <w:p w14:paraId="3D349B97" w14:textId="77777777" w:rsidR="00801FAA" w:rsidRPr="004D11C9" w:rsidRDefault="00801FAA" w:rsidP="00801FAA">
            <w:pPr>
              <w:jc w:val="both"/>
              <w:rPr>
                <w:rFonts w:ascii="Times New Roman" w:hAnsi="Times New Roman"/>
                <w:noProof/>
                <w:sz w:val="24"/>
              </w:rPr>
            </w:pPr>
            <w:r>
              <w:rPr>
                <w:rFonts w:ascii="Times New Roman" w:hAnsi="Times New Roman"/>
                <w:sz w:val="24"/>
              </w:rPr>
              <w:t>Jāparedz arī liela aptieku pretestība piedāvājumu konkursu izmantošanai, jo tā likvidētu aptiekām piešķiramās atlaides kā aptieku finansējuma avotu. Aptieku iebildumus var mazināt, piedāvājot alternatīvus papildinājumus to kompensācijai un, iespējams, paplašinot to funkcijas veselības aprūpes jomā. Lieli aptieku iebildumi paredzami arī par citiem iepriekš minētajiem risinājumiem atkarībā no to neto ietekmes uz aptieku peļņu.</w:t>
            </w:r>
          </w:p>
          <w:p w14:paraId="2641B70A" w14:textId="77777777" w:rsidR="00801FAA" w:rsidRDefault="00801FAA" w:rsidP="00801FAA">
            <w:pPr>
              <w:jc w:val="both"/>
              <w:rPr>
                <w:rFonts w:ascii="Times New Roman" w:hAnsi="Times New Roman"/>
                <w:noProof/>
                <w:sz w:val="24"/>
              </w:rPr>
            </w:pPr>
          </w:p>
          <w:p w14:paraId="446216BD" w14:textId="20FF1C24" w:rsidR="00801FAA" w:rsidRDefault="00801FAA" w:rsidP="004D11C9">
            <w:pPr>
              <w:jc w:val="both"/>
              <w:rPr>
                <w:rFonts w:ascii="Times New Roman" w:hAnsi="Times New Roman"/>
                <w:noProof/>
                <w:sz w:val="24"/>
              </w:rPr>
            </w:pPr>
            <w:r>
              <w:rPr>
                <w:rFonts w:ascii="Times New Roman" w:hAnsi="Times New Roman"/>
                <w:sz w:val="24"/>
              </w:rPr>
              <w:t>Pārējiem apstākļiem neatšķiroties, par salīdzinājuma valsts pieeju varētu būt paredzami mazāki iebildumi nekā par atgūšanas tiesību pieeju, jo tā uzliek mazāku ziņošanas slogu aptiekām un piegādātājiem.</w:t>
            </w:r>
          </w:p>
        </w:tc>
      </w:tr>
    </w:tbl>
    <w:p w14:paraId="100DC62B" w14:textId="77777777" w:rsidR="00801FAA" w:rsidRPr="004D11C9" w:rsidRDefault="00801FAA" w:rsidP="004D11C9">
      <w:pPr>
        <w:jc w:val="both"/>
        <w:rPr>
          <w:rFonts w:ascii="Times New Roman" w:hAnsi="Times New Roman"/>
          <w:noProof/>
          <w:sz w:val="24"/>
        </w:rPr>
      </w:pPr>
    </w:p>
    <w:p w14:paraId="4AAF70CA" w14:textId="75E75316" w:rsidR="00801FAA" w:rsidRDefault="00801FAA">
      <w:pPr>
        <w:rPr>
          <w:rFonts w:ascii="Times New Roman" w:eastAsia="Arial" w:hAnsi="Times New Roman" w:cs="Arial"/>
          <w:noProof/>
          <w:sz w:val="24"/>
          <w:szCs w:val="27"/>
        </w:rPr>
      </w:pPr>
      <w:r>
        <w:br w:type="page"/>
      </w:r>
    </w:p>
    <w:p w14:paraId="2EA4E6B1" w14:textId="77777777" w:rsidR="000A6469" w:rsidRPr="004D11C9" w:rsidRDefault="000A6469" w:rsidP="004D11C9">
      <w:pPr>
        <w:jc w:val="both"/>
        <w:rPr>
          <w:rFonts w:ascii="Times New Roman" w:eastAsia="Times New Roman" w:hAnsi="Times New Roman" w:cs="Times New Roman"/>
          <w:noProof/>
          <w:sz w:val="24"/>
          <w:szCs w:val="29"/>
        </w:rPr>
      </w:pPr>
      <w:bookmarkStart w:id="185" w:name="_bookmark97"/>
      <w:bookmarkEnd w:id="185"/>
    </w:p>
    <w:p w14:paraId="44BEF117" w14:textId="6A838810" w:rsidR="000A6469" w:rsidRPr="004D11C9" w:rsidRDefault="000A6469" w:rsidP="00887892">
      <w:pPr>
        <w:pStyle w:val="Heading1"/>
        <w:spacing w:before="0"/>
        <w:ind w:left="0"/>
        <w:jc w:val="both"/>
        <w:rPr>
          <w:rFonts w:ascii="Times New Roman" w:hAnsi="Times New Roman"/>
          <w:noProof/>
          <w:sz w:val="24"/>
        </w:rPr>
      </w:pPr>
      <w:bookmarkStart w:id="186" w:name="Chapter_7_Recommendations"/>
      <w:bookmarkStart w:id="187" w:name="_bookmark99"/>
      <w:bookmarkStart w:id="188" w:name="_Toc62650493"/>
      <w:bookmarkEnd w:id="186"/>
      <w:bookmarkEnd w:id="187"/>
      <w:r w:rsidRPr="001A796E">
        <w:rPr>
          <w:rFonts w:ascii="Times New Roman" w:hAnsi="Times New Roman"/>
          <w:sz w:val="28"/>
          <w:szCs w:val="56"/>
        </w:rPr>
        <w:t>7. nodaļa</w:t>
      </w:r>
      <w:r w:rsidR="00887892">
        <w:rPr>
          <w:rFonts w:ascii="Times New Roman" w:hAnsi="Times New Roman"/>
          <w:sz w:val="24"/>
        </w:rPr>
        <w:br/>
      </w:r>
      <w:r>
        <w:rPr>
          <w:rFonts w:ascii="Times New Roman" w:hAnsi="Times New Roman"/>
          <w:sz w:val="24"/>
        </w:rPr>
        <w:t>Ieteikumi</w:t>
      </w:r>
      <w:bookmarkEnd w:id="188"/>
    </w:p>
    <w:p w14:paraId="7A1F49B5" w14:textId="77777777" w:rsidR="00801FAA" w:rsidRPr="004D11C9" w:rsidRDefault="00801FAA" w:rsidP="004D11C9">
      <w:pPr>
        <w:jc w:val="both"/>
        <w:rPr>
          <w:rFonts w:ascii="Times New Roman" w:eastAsia="Arial" w:hAnsi="Times New Roman" w:cs="Arial"/>
          <w:b/>
          <w:bCs/>
          <w:noProof/>
          <w:sz w:val="24"/>
          <w:szCs w:val="36"/>
        </w:rPr>
      </w:pPr>
    </w:p>
    <w:p w14:paraId="1D1FF954"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Iespējamo risinājumu salīdzināšanas mērķis ir sniegt valstij vienu vai vairākus galīgos ieteikumus par rīcību.</w:t>
      </w:r>
    </w:p>
    <w:p w14:paraId="6EACCF79" w14:textId="77777777" w:rsidR="000A6469" w:rsidRPr="004D11C9" w:rsidRDefault="000A6469" w:rsidP="004D11C9">
      <w:pPr>
        <w:jc w:val="both"/>
        <w:rPr>
          <w:rFonts w:ascii="Times New Roman" w:eastAsia="Arial" w:hAnsi="Times New Roman" w:cs="Arial"/>
          <w:noProof/>
          <w:sz w:val="24"/>
          <w:szCs w:val="21"/>
        </w:rPr>
      </w:pPr>
    </w:p>
    <w:p w14:paraId="76A04B7E" w14:textId="77CB68A2" w:rsidR="000A6469" w:rsidRPr="004D11C9" w:rsidRDefault="00801FAA" w:rsidP="00801FAA">
      <w:pPr>
        <w:pStyle w:val="Heading3"/>
        <w:tabs>
          <w:tab w:val="left" w:pos="558"/>
        </w:tabs>
        <w:ind w:left="0"/>
        <w:rPr>
          <w:rFonts w:ascii="Times New Roman" w:hAnsi="Times New Roman"/>
          <w:noProof/>
          <w:sz w:val="24"/>
        </w:rPr>
      </w:pPr>
      <w:bookmarkStart w:id="189" w:name="1._Selecting_the_best_option"/>
      <w:bookmarkStart w:id="190" w:name="_bookmark100"/>
      <w:bookmarkStart w:id="191" w:name="_Toc62650494"/>
      <w:bookmarkEnd w:id="189"/>
      <w:bookmarkEnd w:id="190"/>
      <w:r>
        <w:rPr>
          <w:rFonts w:ascii="Times New Roman" w:hAnsi="Times New Roman"/>
          <w:sz w:val="24"/>
        </w:rPr>
        <w:t>1. Labākā iespējamā risinājuma izraudzīšanās</w:t>
      </w:r>
      <w:bookmarkEnd w:id="191"/>
    </w:p>
    <w:p w14:paraId="7E7D0865" w14:textId="77777777" w:rsidR="000A6469" w:rsidRPr="004D11C9" w:rsidRDefault="000A6469" w:rsidP="004D11C9">
      <w:pPr>
        <w:jc w:val="both"/>
        <w:rPr>
          <w:rFonts w:ascii="Times New Roman" w:eastAsia="Arial" w:hAnsi="Times New Roman" w:cs="Arial"/>
          <w:b/>
          <w:bCs/>
          <w:noProof/>
          <w:sz w:val="24"/>
          <w:szCs w:val="21"/>
        </w:rPr>
      </w:pPr>
    </w:p>
    <w:p w14:paraId="1DB812FD"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Piemērojot iepriekšējā nodaļā noteiktos kritērijus, var spriest par labāko iespējamo risinājumu, otro labāko risinājumu un tā tālāk. Dažkārt ir iespējams tikai viens saprātīgs risinājums, pat ja tiek mēģināts atrast vairākus risinājumus.</w:t>
      </w:r>
    </w:p>
    <w:p w14:paraId="39BD36F9" w14:textId="77777777" w:rsidR="000A6469" w:rsidRPr="004D11C9" w:rsidRDefault="000A6469" w:rsidP="004D11C9">
      <w:pPr>
        <w:jc w:val="both"/>
        <w:rPr>
          <w:rFonts w:ascii="Times New Roman" w:eastAsia="Arial" w:hAnsi="Times New Roman" w:cs="Arial"/>
          <w:noProof/>
          <w:sz w:val="24"/>
          <w:szCs w:val="20"/>
        </w:rPr>
      </w:pPr>
    </w:p>
    <w:p w14:paraId="2AF2B7BD" w14:textId="1582D123"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Visvienkāršākajā gadījumā, ja dažādu risinājumu sniegtie ieguvumi un radītās izmaksas tiek aprēķinātas naudas izteiksmē, risinājums, kas sniedz vislielākos neto ieguvumus, tiktu ierindots augstāk par citiem risinājumiem.</w:t>
      </w:r>
    </w:p>
    <w:p w14:paraId="3C7F99DD" w14:textId="45DF1799" w:rsidR="000A6469" w:rsidRPr="004D11C9" w:rsidRDefault="000A6469" w:rsidP="004D11C9">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801FAA" w14:paraId="64D2AA35" w14:textId="77777777" w:rsidTr="00801FAA">
        <w:tc>
          <w:tcPr>
            <w:tcW w:w="9062" w:type="dxa"/>
          </w:tcPr>
          <w:p w14:paraId="027F32F6" w14:textId="2F852D8C" w:rsidR="00801FAA" w:rsidRDefault="00801FAA" w:rsidP="00801FAA">
            <w:pPr>
              <w:jc w:val="center"/>
              <w:rPr>
                <w:rFonts w:ascii="Times New Roman" w:eastAsia="Arial" w:hAnsi="Times New Roman" w:cs="Arial"/>
                <w:noProof/>
                <w:sz w:val="24"/>
                <w:szCs w:val="20"/>
              </w:rPr>
            </w:pPr>
            <w:r>
              <w:rPr>
                <w:rFonts w:ascii="Times New Roman" w:hAnsi="Times New Roman"/>
                <w:b/>
                <w:sz w:val="24"/>
              </w:rPr>
              <w:t>59. ierāmējums. Neto ieguvumu salīdzināšana, lai noteiktu labāko risinājumi</w:t>
            </w:r>
          </w:p>
        </w:tc>
      </w:tr>
      <w:tr w:rsidR="00801FAA" w14:paraId="1152FBBF" w14:textId="77777777" w:rsidTr="00801FAA">
        <w:tc>
          <w:tcPr>
            <w:tcW w:w="9062" w:type="dxa"/>
          </w:tcPr>
          <w:p w14:paraId="48D98A63" w14:textId="77777777" w:rsidR="00801FAA" w:rsidRDefault="00801FAA" w:rsidP="00801FAA">
            <w:pPr>
              <w:jc w:val="both"/>
              <w:rPr>
                <w:rFonts w:ascii="Times New Roman" w:hAnsi="Times New Roman"/>
                <w:noProof/>
                <w:sz w:val="24"/>
              </w:rPr>
            </w:pPr>
            <w:r>
              <w:rPr>
                <w:rFonts w:ascii="Times New Roman" w:hAnsi="Times New Roman"/>
                <w:sz w:val="24"/>
              </w:rPr>
              <w:t>Ja izmaksas un ieguvumi atbilst tiem, kas norādīti turpmāk, B risinājums sniedz vislielāko neto ieguvumu, A risinājums sniedz otru lielāko neto ieguvumu, savukārt C risinājums sniedz mazāko neto ieguvumu.</w:t>
            </w:r>
          </w:p>
          <w:p w14:paraId="5C9ED7F2" w14:textId="77777777" w:rsidR="00801FAA" w:rsidRPr="004D11C9" w:rsidRDefault="00801FAA" w:rsidP="00801FAA">
            <w:pPr>
              <w:jc w:val="both"/>
              <w:rPr>
                <w:rFonts w:ascii="Times New Roman" w:eastAsia="Arial" w:hAnsi="Times New Roman" w:cs="Arial"/>
                <w:noProof/>
                <w:sz w:val="24"/>
                <w:szCs w:val="18"/>
              </w:rPr>
            </w:pPr>
          </w:p>
          <w:p w14:paraId="54CF52E7" w14:textId="77777777" w:rsidR="00801FAA" w:rsidRPr="00801FAA" w:rsidRDefault="00801FAA" w:rsidP="00801FAA">
            <w:pPr>
              <w:jc w:val="center"/>
              <w:rPr>
                <w:rFonts w:ascii="Times New Roman" w:eastAsia="Arial" w:hAnsi="Times New Roman" w:cs="Arial"/>
                <w:noProof/>
                <w:sz w:val="24"/>
                <w:szCs w:val="18"/>
              </w:rPr>
            </w:pPr>
            <w:r>
              <w:rPr>
                <w:rFonts w:ascii="Times New Roman" w:hAnsi="Times New Roman"/>
                <w:b/>
                <w:sz w:val="24"/>
              </w:rPr>
              <w:t>4. tabula. Neto ieguvuma aprēķināšanas piemēri</w:t>
            </w:r>
          </w:p>
          <w:p w14:paraId="30AC48A7" w14:textId="77777777" w:rsidR="00801FAA" w:rsidRPr="004D11C9" w:rsidRDefault="00801FAA" w:rsidP="00801FAA">
            <w:pPr>
              <w:jc w:val="both"/>
              <w:rPr>
                <w:rFonts w:ascii="Times New Roman" w:eastAsia="Arial" w:hAnsi="Times New Roman" w:cs="Arial"/>
                <w:noProof/>
                <w:sz w:val="24"/>
                <w:szCs w:val="11"/>
              </w:rPr>
            </w:pPr>
          </w:p>
          <w:tbl>
            <w:tblPr>
              <w:tblW w:w="5000" w:type="pct"/>
              <w:tblCellMar>
                <w:top w:w="28" w:type="dxa"/>
                <w:left w:w="28" w:type="dxa"/>
                <w:bottom w:w="28" w:type="dxa"/>
                <w:right w:w="28" w:type="dxa"/>
              </w:tblCellMar>
              <w:tblLook w:val="01E0" w:firstRow="1" w:lastRow="1" w:firstColumn="1" w:lastColumn="1" w:noHBand="0" w:noVBand="0"/>
            </w:tblPr>
            <w:tblGrid>
              <w:gridCol w:w="2590"/>
              <w:gridCol w:w="2204"/>
              <w:gridCol w:w="1763"/>
              <w:gridCol w:w="2437"/>
            </w:tblGrid>
            <w:tr w:rsidR="00801FAA" w:rsidRPr="004D11C9" w14:paraId="65BB58FF" w14:textId="77777777" w:rsidTr="00CC3E5E">
              <w:tc>
                <w:tcPr>
                  <w:tcW w:w="1440" w:type="pct"/>
                  <w:tcBorders>
                    <w:top w:val="single" w:sz="5" w:space="0" w:color="000000"/>
                    <w:left w:val="single" w:sz="5" w:space="0" w:color="F4791F"/>
                    <w:bottom w:val="single" w:sz="5" w:space="0" w:color="000000"/>
                    <w:right w:val="nil"/>
                  </w:tcBorders>
                  <w:shd w:val="clear" w:color="auto" w:fill="FAD3B4"/>
                </w:tcPr>
                <w:p w14:paraId="5C6BF540" w14:textId="77777777" w:rsidR="00801FAA" w:rsidRPr="004D11C9" w:rsidRDefault="00801FAA" w:rsidP="00801FAA">
                  <w:pPr>
                    <w:jc w:val="center"/>
                    <w:rPr>
                      <w:rFonts w:ascii="Times New Roman" w:hAnsi="Times New Roman"/>
                      <w:noProof/>
                      <w:sz w:val="24"/>
                    </w:rPr>
                  </w:pPr>
                </w:p>
              </w:tc>
              <w:tc>
                <w:tcPr>
                  <w:tcW w:w="1225" w:type="pct"/>
                  <w:tcBorders>
                    <w:top w:val="single" w:sz="5" w:space="0" w:color="000000"/>
                    <w:left w:val="nil"/>
                    <w:bottom w:val="single" w:sz="5" w:space="0" w:color="000000"/>
                    <w:right w:val="nil"/>
                  </w:tcBorders>
                  <w:shd w:val="clear" w:color="auto" w:fill="FAD3B4"/>
                </w:tcPr>
                <w:p w14:paraId="34AC7623" w14:textId="77777777" w:rsidR="00801FAA" w:rsidRPr="004D11C9" w:rsidRDefault="00801FAA" w:rsidP="00801FAA">
                  <w:pPr>
                    <w:pStyle w:val="TableParagraph"/>
                    <w:jc w:val="center"/>
                    <w:rPr>
                      <w:rFonts w:ascii="Times New Roman" w:hAnsi="Times New Roman"/>
                      <w:b/>
                      <w:noProof/>
                      <w:sz w:val="24"/>
                    </w:rPr>
                  </w:pPr>
                  <w:bookmarkStart w:id="192" w:name="_bookmark101"/>
                  <w:bookmarkEnd w:id="192"/>
                  <w:r>
                    <w:rPr>
                      <w:rFonts w:ascii="Times New Roman" w:hAnsi="Times New Roman"/>
                      <w:b/>
                      <w:sz w:val="24"/>
                    </w:rPr>
                    <w:t>Ieguvumi</w:t>
                  </w:r>
                </w:p>
              </w:tc>
              <w:tc>
                <w:tcPr>
                  <w:tcW w:w="980" w:type="pct"/>
                  <w:tcBorders>
                    <w:top w:val="single" w:sz="5" w:space="0" w:color="000000"/>
                    <w:left w:val="nil"/>
                    <w:bottom w:val="single" w:sz="5" w:space="0" w:color="000000"/>
                    <w:right w:val="nil"/>
                  </w:tcBorders>
                  <w:shd w:val="clear" w:color="auto" w:fill="FAD3B4"/>
                </w:tcPr>
                <w:p w14:paraId="573CE70B" w14:textId="77777777" w:rsidR="00801FAA" w:rsidRPr="004D11C9" w:rsidRDefault="00801FAA" w:rsidP="00801FAA">
                  <w:pPr>
                    <w:pStyle w:val="TableParagraph"/>
                    <w:jc w:val="center"/>
                    <w:rPr>
                      <w:rFonts w:ascii="Times New Roman" w:hAnsi="Times New Roman"/>
                      <w:b/>
                      <w:noProof/>
                      <w:sz w:val="24"/>
                    </w:rPr>
                  </w:pPr>
                  <w:r>
                    <w:rPr>
                      <w:rFonts w:ascii="Times New Roman" w:hAnsi="Times New Roman"/>
                      <w:b/>
                      <w:sz w:val="24"/>
                    </w:rPr>
                    <w:t>Izmaksas</w:t>
                  </w:r>
                </w:p>
              </w:tc>
              <w:tc>
                <w:tcPr>
                  <w:tcW w:w="1354" w:type="pct"/>
                  <w:tcBorders>
                    <w:top w:val="single" w:sz="5" w:space="0" w:color="000000"/>
                    <w:left w:val="nil"/>
                    <w:bottom w:val="single" w:sz="5" w:space="0" w:color="000000"/>
                    <w:right w:val="single" w:sz="5" w:space="0" w:color="F4791F"/>
                  </w:tcBorders>
                  <w:shd w:val="clear" w:color="auto" w:fill="FAD3B4"/>
                </w:tcPr>
                <w:p w14:paraId="56787207" w14:textId="77777777" w:rsidR="00801FAA" w:rsidRPr="004D11C9" w:rsidRDefault="00801FAA" w:rsidP="00801FAA">
                  <w:pPr>
                    <w:pStyle w:val="TableParagraph"/>
                    <w:jc w:val="center"/>
                    <w:rPr>
                      <w:rFonts w:ascii="Times New Roman" w:hAnsi="Times New Roman"/>
                      <w:b/>
                      <w:noProof/>
                      <w:sz w:val="24"/>
                    </w:rPr>
                  </w:pPr>
                  <w:r>
                    <w:rPr>
                      <w:rFonts w:ascii="Times New Roman" w:hAnsi="Times New Roman"/>
                      <w:b/>
                      <w:sz w:val="24"/>
                    </w:rPr>
                    <w:t>Neto ieguvums</w:t>
                  </w:r>
                </w:p>
              </w:tc>
            </w:tr>
            <w:tr w:rsidR="00801FAA" w:rsidRPr="004D11C9" w14:paraId="255C45EB" w14:textId="77777777" w:rsidTr="00CC3E5E">
              <w:tc>
                <w:tcPr>
                  <w:tcW w:w="1440" w:type="pct"/>
                  <w:tcBorders>
                    <w:top w:val="single" w:sz="5" w:space="0" w:color="000000"/>
                    <w:left w:val="single" w:sz="5" w:space="0" w:color="F4791F"/>
                    <w:bottom w:val="nil"/>
                    <w:right w:val="nil"/>
                  </w:tcBorders>
                  <w:shd w:val="clear" w:color="auto" w:fill="FAD3B4"/>
                </w:tcPr>
                <w:p w14:paraId="5F522266" w14:textId="77777777" w:rsidR="00801FAA" w:rsidRPr="004D11C9" w:rsidRDefault="00801FAA" w:rsidP="00801FAA">
                  <w:pPr>
                    <w:pStyle w:val="TableParagraph"/>
                    <w:jc w:val="center"/>
                    <w:rPr>
                      <w:rFonts w:ascii="Times New Roman" w:hAnsi="Times New Roman"/>
                      <w:noProof/>
                      <w:sz w:val="24"/>
                    </w:rPr>
                  </w:pPr>
                  <w:r>
                    <w:rPr>
                      <w:rFonts w:ascii="Times New Roman" w:hAnsi="Times New Roman"/>
                      <w:sz w:val="24"/>
                    </w:rPr>
                    <w:t>A risinājums</w:t>
                  </w:r>
                </w:p>
              </w:tc>
              <w:tc>
                <w:tcPr>
                  <w:tcW w:w="1225" w:type="pct"/>
                  <w:tcBorders>
                    <w:top w:val="single" w:sz="5" w:space="0" w:color="000000"/>
                    <w:left w:val="nil"/>
                    <w:bottom w:val="nil"/>
                    <w:right w:val="nil"/>
                  </w:tcBorders>
                  <w:shd w:val="clear" w:color="auto" w:fill="FAD3B4"/>
                </w:tcPr>
                <w:p w14:paraId="6CFE953E" w14:textId="77777777" w:rsidR="00801FAA" w:rsidRPr="004D11C9" w:rsidRDefault="00801FAA" w:rsidP="00801FAA">
                  <w:pPr>
                    <w:pStyle w:val="TableParagraph"/>
                    <w:jc w:val="center"/>
                    <w:rPr>
                      <w:rFonts w:ascii="Times New Roman" w:hAnsi="Times New Roman"/>
                      <w:noProof/>
                      <w:sz w:val="24"/>
                    </w:rPr>
                  </w:pPr>
                  <w:r>
                    <w:rPr>
                      <w:rFonts w:ascii="Times New Roman" w:hAnsi="Times New Roman"/>
                      <w:sz w:val="24"/>
                    </w:rPr>
                    <w:t>300</w:t>
                  </w:r>
                </w:p>
              </w:tc>
              <w:tc>
                <w:tcPr>
                  <w:tcW w:w="980" w:type="pct"/>
                  <w:tcBorders>
                    <w:top w:val="single" w:sz="5" w:space="0" w:color="000000"/>
                    <w:left w:val="nil"/>
                    <w:bottom w:val="nil"/>
                    <w:right w:val="nil"/>
                  </w:tcBorders>
                  <w:shd w:val="clear" w:color="auto" w:fill="FAD3B4"/>
                </w:tcPr>
                <w:p w14:paraId="7DB064D4" w14:textId="77777777" w:rsidR="00801FAA" w:rsidRPr="004D11C9" w:rsidRDefault="00801FAA" w:rsidP="00801FAA">
                  <w:pPr>
                    <w:pStyle w:val="TableParagraph"/>
                    <w:jc w:val="center"/>
                    <w:rPr>
                      <w:rFonts w:ascii="Times New Roman" w:hAnsi="Times New Roman"/>
                      <w:noProof/>
                      <w:sz w:val="24"/>
                    </w:rPr>
                  </w:pPr>
                  <w:r>
                    <w:rPr>
                      <w:rFonts w:ascii="Times New Roman" w:hAnsi="Times New Roman"/>
                      <w:sz w:val="24"/>
                    </w:rPr>
                    <w:t>10</w:t>
                  </w:r>
                </w:p>
              </w:tc>
              <w:tc>
                <w:tcPr>
                  <w:tcW w:w="1354" w:type="pct"/>
                  <w:tcBorders>
                    <w:top w:val="single" w:sz="5" w:space="0" w:color="000000"/>
                    <w:left w:val="nil"/>
                    <w:bottom w:val="nil"/>
                    <w:right w:val="single" w:sz="5" w:space="0" w:color="F4791F"/>
                  </w:tcBorders>
                  <w:shd w:val="clear" w:color="auto" w:fill="FAD3B4"/>
                </w:tcPr>
                <w:p w14:paraId="73191C36" w14:textId="77777777" w:rsidR="00801FAA" w:rsidRPr="004D11C9" w:rsidRDefault="00801FAA" w:rsidP="00801FAA">
                  <w:pPr>
                    <w:pStyle w:val="TableParagraph"/>
                    <w:jc w:val="center"/>
                    <w:rPr>
                      <w:rFonts w:ascii="Times New Roman" w:hAnsi="Times New Roman"/>
                      <w:noProof/>
                      <w:sz w:val="24"/>
                    </w:rPr>
                  </w:pPr>
                  <w:r>
                    <w:rPr>
                      <w:rFonts w:ascii="Times New Roman" w:hAnsi="Times New Roman"/>
                      <w:sz w:val="24"/>
                    </w:rPr>
                    <w:t>290</w:t>
                  </w:r>
                </w:p>
              </w:tc>
            </w:tr>
            <w:tr w:rsidR="00801FAA" w:rsidRPr="004D11C9" w14:paraId="12211F2C" w14:textId="77777777" w:rsidTr="00CC3E5E">
              <w:tc>
                <w:tcPr>
                  <w:tcW w:w="1440" w:type="pct"/>
                  <w:tcBorders>
                    <w:top w:val="nil"/>
                    <w:left w:val="single" w:sz="5" w:space="0" w:color="F4791F"/>
                    <w:bottom w:val="nil"/>
                    <w:right w:val="nil"/>
                  </w:tcBorders>
                  <w:shd w:val="clear" w:color="auto" w:fill="FAD3B4"/>
                </w:tcPr>
                <w:p w14:paraId="5FF31D6A" w14:textId="77777777" w:rsidR="00801FAA" w:rsidRPr="004D11C9" w:rsidRDefault="00801FAA" w:rsidP="00801FAA">
                  <w:pPr>
                    <w:pStyle w:val="TableParagraph"/>
                    <w:jc w:val="center"/>
                    <w:rPr>
                      <w:rFonts w:ascii="Times New Roman" w:hAnsi="Times New Roman"/>
                      <w:noProof/>
                      <w:sz w:val="24"/>
                    </w:rPr>
                  </w:pPr>
                  <w:r>
                    <w:rPr>
                      <w:rFonts w:ascii="Times New Roman" w:hAnsi="Times New Roman"/>
                      <w:sz w:val="24"/>
                    </w:rPr>
                    <w:t>B risinājums</w:t>
                  </w:r>
                </w:p>
              </w:tc>
              <w:tc>
                <w:tcPr>
                  <w:tcW w:w="1225" w:type="pct"/>
                  <w:tcBorders>
                    <w:top w:val="nil"/>
                    <w:left w:val="nil"/>
                    <w:bottom w:val="nil"/>
                    <w:right w:val="nil"/>
                  </w:tcBorders>
                  <w:shd w:val="clear" w:color="auto" w:fill="FAD3B4"/>
                </w:tcPr>
                <w:p w14:paraId="0CBC4B92" w14:textId="77777777" w:rsidR="00801FAA" w:rsidRPr="004D11C9" w:rsidRDefault="00801FAA" w:rsidP="00801FAA">
                  <w:pPr>
                    <w:pStyle w:val="TableParagraph"/>
                    <w:jc w:val="center"/>
                    <w:rPr>
                      <w:rFonts w:ascii="Times New Roman" w:hAnsi="Times New Roman"/>
                      <w:noProof/>
                      <w:sz w:val="24"/>
                    </w:rPr>
                  </w:pPr>
                  <w:r>
                    <w:rPr>
                      <w:rFonts w:ascii="Times New Roman" w:hAnsi="Times New Roman"/>
                      <w:sz w:val="24"/>
                    </w:rPr>
                    <w:t>440</w:t>
                  </w:r>
                </w:p>
              </w:tc>
              <w:tc>
                <w:tcPr>
                  <w:tcW w:w="980" w:type="pct"/>
                  <w:tcBorders>
                    <w:top w:val="nil"/>
                    <w:left w:val="nil"/>
                    <w:bottom w:val="nil"/>
                    <w:right w:val="nil"/>
                  </w:tcBorders>
                  <w:shd w:val="clear" w:color="auto" w:fill="FAD3B4"/>
                </w:tcPr>
                <w:p w14:paraId="2EABCE45" w14:textId="77777777" w:rsidR="00801FAA" w:rsidRPr="004D11C9" w:rsidRDefault="00801FAA" w:rsidP="00801FAA">
                  <w:pPr>
                    <w:pStyle w:val="TableParagraph"/>
                    <w:jc w:val="center"/>
                    <w:rPr>
                      <w:rFonts w:ascii="Times New Roman" w:hAnsi="Times New Roman"/>
                      <w:noProof/>
                      <w:sz w:val="24"/>
                    </w:rPr>
                  </w:pPr>
                  <w:r>
                    <w:rPr>
                      <w:rFonts w:ascii="Times New Roman" w:hAnsi="Times New Roman"/>
                      <w:sz w:val="24"/>
                    </w:rPr>
                    <w:t>10</w:t>
                  </w:r>
                </w:p>
              </w:tc>
              <w:tc>
                <w:tcPr>
                  <w:tcW w:w="1354" w:type="pct"/>
                  <w:tcBorders>
                    <w:top w:val="nil"/>
                    <w:left w:val="nil"/>
                    <w:bottom w:val="nil"/>
                    <w:right w:val="single" w:sz="5" w:space="0" w:color="F4791F"/>
                  </w:tcBorders>
                  <w:shd w:val="clear" w:color="auto" w:fill="FAD3B4"/>
                </w:tcPr>
                <w:p w14:paraId="101509AE" w14:textId="77777777" w:rsidR="00801FAA" w:rsidRPr="004D11C9" w:rsidRDefault="00801FAA" w:rsidP="00801FAA">
                  <w:pPr>
                    <w:pStyle w:val="TableParagraph"/>
                    <w:jc w:val="center"/>
                    <w:rPr>
                      <w:rFonts w:ascii="Times New Roman" w:hAnsi="Times New Roman"/>
                      <w:noProof/>
                      <w:sz w:val="24"/>
                    </w:rPr>
                  </w:pPr>
                  <w:r>
                    <w:rPr>
                      <w:rFonts w:ascii="Times New Roman" w:hAnsi="Times New Roman"/>
                      <w:sz w:val="24"/>
                    </w:rPr>
                    <w:t>430</w:t>
                  </w:r>
                </w:p>
              </w:tc>
            </w:tr>
            <w:tr w:rsidR="00801FAA" w:rsidRPr="004D11C9" w14:paraId="1404FA9F" w14:textId="77777777" w:rsidTr="00CC3E5E">
              <w:tc>
                <w:tcPr>
                  <w:tcW w:w="1440" w:type="pct"/>
                  <w:tcBorders>
                    <w:top w:val="nil"/>
                    <w:left w:val="single" w:sz="5" w:space="0" w:color="F4791F"/>
                    <w:bottom w:val="single" w:sz="5" w:space="0" w:color="000000"/>
                    <w:right w:val="nil"/>
                  </w:tcBorders>
                  <w:shd w:val="clear" w:color="auto" w:fill="FAD3B4"/>
                </w:tcPr>
                <w:p w14:paraId="1BB58EFD" w14:textId="77777777" w:rsidR="00801FAA" w:rsidRPr="004D11C9" w:rsidRDefault="00801FAA" w:rsidP="00801FAA">
                  <w:pPr>
                    <w:pStyle w:val="TableParagraph"/>
                    <w:jc w:val="center"/>
                    <w:rPr>
                      <w:rFonts w:ascii="Times New Roman" w:hAnsi="Times New Roman"/>
                      <w:noProof/>
                      <w:sz w:val="24"/>
                    </w:rPr>
                  </w:pPr>
                  <w:r>
                    <w:rPr>
                      <w:rFonts w:ascii="Times New Roman" w:hAnsi="Times New Roman"/>
                      <w:sz w:val="24"/>
                    </w:rPr>
                    <w:t>C risinājums</w:t>
                  </w:r>
                </w:p>
              </w:tc>
              <w:tc>
                <w:tcPr>
                  <w:tcW w:w="1225" w:type="pct"/>
                  <w:tcBorders>
                    <w:top w:val="nil"/>
                    <w:left w:val="nil"/>
                    <w:bottom w:val="single" w:sz="5" w:space="0" w:color="000000"/>
                    <w:right w:val="nil"/>
                  </w:tcBorders>
                  <w:shd w:val="clear" w:color="auto" w:fill="FAD3B4"/>
                </w:tcPr>
                <w:p w14:paraId="1F3B35A3" w14:textId="77777777" w:rsidR="00801FAA" w:rsidRPr="004D11C9" w:rsidRDefault="00801FAA" w:rsidP="00801FAA">
                  <w:pPr>
                    <w:pStyle w:val="TableParagraph"/>
                    <w:jc w:val="center"/>
                    <w:rPr>
                      <w:rFonts w:ascii="Times New Roman" w:hAnsi="Times New Roman"/>
                      <w:noProof/>
                      <w:sz w:val="24"/>
                    </w:rPr>
                  </w:pPr>
                  <w:r>
                    <w:rPr>
                      <w:rFonts w:ascii="Times New Roman" w:hAnsi="Times New Roman"/>
                      <w:sz w:val="24"/>
                    </w:rPr>
                    <w:t>30</w:t>
                  </w:r>
                </w:p>
              </w:tc>
              <w:tc>
                <w:tcPr>
                  <w:tcW w:w="980" w:type="pct"/>
                  <w:tcBorders>
                    <w:top w:val="nil"/>
                    <w:left w:val="nil"/>
                    <w:bottom w:val="single" w:sz="5" w:space="0" w:color="000000"/>
                    <w:right w:val="nil"/>
                  </w:tcBorders>
                  <w:shd w:val="clear" w:color="auto" w:fill="FAD3B4"/>
                </w:tcPr>
                <w:p w14:paraId="3D856AC2" w14:textId="77777777" w:rsidR="00801FAA" w:rsidRPr="004D11C9" w:rsidRDefault="00801FAA" w:rsidP="00801FAA">
                  <w:pPr>
                    <w:pStyle w:val="TableParagraph"/>
                    <w:jc w:val="center"/>
                    <w:rPr>
                      <w:rFonts w:ascii="Times New Roman" w:hAnsi="Times New Roman"/>
                      <w:noProof/>
                      <w:sz w:val="24"/>
                    </w:rPr>
                  </w:pPr>
                  <w:r>
                    <w:rPr>
                      <w:rFonts w:ascii="Times New Roman" w:hAnsi="Times New Roman"/>
                      <w:sz w:val="24"/>
                    </w:rPr>
                    <w:t>5</w:t>
                  </w:r>
                </w:p>
              </w:tc>
              <w:tc>
                <w:tcPr>
                  <w:tcW w:w="1354" w:type="pct"/>
                  <w:tcBorders>
                    <w:top w:val="nil"/>
                    <w:left w:val="nil"/>
                    <w:bottom w:val="single" w:sz="5" w:space="0" w:color="000000"/>
                    <w:right w:val="single" w:sz="5" w:space="0" w:color="F4791F"/>
                  </w:tcBorders>
                  <w:shd w:val="clear" w:color="auto" w:fill="FAD3B4"/>
                </w:tcPr>
                <w:p w14:paraId="425D6553" w14:textId="77777777" w:rsidR="00801FAA" w:rsidRPr="004D11C9" w:rsidRDefault="00801FAA" w:rsidP="00801FAA">
                  <w:pPr>
                    <w:pStyle w:val="TableParagraph"/>
                    <w:jc w:val="center"/>
                    <w:rPr>
                      <w:rFonts w:ascii="Times New Roman" w:hAnsi="Times New Roman"/>
                      <w:noProof/>
                      <w:sz w:val="24"/>
                    </w:rPr>
                  </w:pPr>
                  <w:r>
                    <w:rPr>
                      <w:rFonts w:ascii="Times New Roman" w:hAnsi="Times New Roman"/>
                      <w:sz w:val="24"/>
                    </w:rPr>
                    <w:t>25</w:t>
                  </w:r>
                </w:p>
              </w:tc>
            </w:tr>
            <w:tr w:rsidR="00801FAA" w:rsidRPr="004D11C9" w14:paraId="4D2D12DA" w14:textId="77777777" w:rsidTr="00CC3E5E">
              <w:tc>
                <w:tcPr>
                  <w:tcW w:w="5000" w:type="pct"/>
                  <w:gridSpan w:val="4"/>
                  <w:tcBorders>
                    <w:top w:val="single" w:sz="5" w:space="0" w:color="000000"/>
                    <w:left w:val="single" w:sz="5" w:space="0" w:color="F4791F"/>
                    <w:bottom w:val="single" w:sz="5" w:space="0" w:color="F4791F"/>
                    <w:right w:val="single" w:sz="5" w:space="0" w:color="F4791F"/>
                  </w:tcBorders>
                  <w:shd w:val="clear" w:color="auto" w:fill="FAD3B4"/>
                </w:tcPr>
                <w:p w14:paraId="1E0F5498" w14:textId="77777777" w:rsidR="00801FAA" w:rsidRPr="004D11C9" w:rsidRDefault="00801FAA" w:rsidP="00801FAA">
                  <w:pPr>
                    <w:jc w:val="both"/>
                    <w:rPr>
                      <w:rFonts w:ascii="Times New Roman" w:hAnsi="Times New Roman"/>
                      <w:noProof/>
                      <w:sz w:val="24"/>
                    </w:rPr>
                  </w:pPr>
                </w:p>
              </w:tc>
            </w:tr>
          </w:tbl>
          <w:p w14:paraId="00D89EDC" w14:textId="77777777" w:rsidR="00801FAA" w:rsidRDefault="00801FAA" w:rsidP="004D11C9">
            <w:pPr>
              <w:jc w:val="both"/>
              <w:rPr>
                <w:rFonts w:ascii="Times New Roman" w:eastAsia="Arial" w:hAnsi="Times New Roman" w:cs="Arial"/>
                <w:noProof/>
                <w:sz w:val="24"/>
                <w:szCs w:val="20"/>
              </w:rPr>
            </w:pPr>
          </w:p>
        </w:tc>
      </w:tr>
    </w:tbl>
    <w:p w14:paraId="309BFEBC" w14:textId="77777777" w:rsidR="00801FAA" w:rsidRPr="004D11C9" w:rsidRDefault="00801FAA" w:rsidP="004D11C9">
      <w:pPr>
        <w:jc w:val="both"/>
        <w:rPr>
          <w:rFonts w:ascii="Times New Roman" w:eastAsia="Arial" w:hAnsi="Times New Roman" w:cs="Arial"/>
          <w:noProof/>
          <w:sz w:val="24"/>
          <w:szCs w:val="14"/>
        </w:rPr>
      </w:pPr>
    </w:p>
    <w:p w14:paraId="110D0700"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Ja ieguvumus un izmaksas nav viegli aprēķināt naudas izteiksmē, risinājumu prioritāro secību ir iespējams noteikt, izmantojot citas kvalitatīvas metodes.</w:t>
      </w:r>
    </w:p>
    <w:p w14:paraId="0DECC664" w14:textId="77777777" w:rsidR="000A6469" w:rsidRPr="004D11C9" w:rsidRDefault="000A6469" w:rsidP="004D11C9">
      <w:pPr>
        <w:jc w:val="both"/>
        <w:rPr>
          <w:rFonts w:ascii="Times New Roman" w:eastAsia="Arial" w:hAnsi="Times New Roman" w:cs="Arial"/>
          <w:noProof/>
          <w:sz w:val="24"/>
          <w:szCs w:val="18"/>
        </w:rPr>
      </w:pPr>
    </w:p>
    <w:p w14:paraId="4F839303"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Dažkārt būtiskākā jaunā regulējuma ietekme var nebūt saistīta ar cenām, piemēram, tā var izpausties kā inovācijas ietekme vai jauna dalībnieka ienākšana tirgū, un tā var ievērojami veicināt konkurenci.</w:t>
      </w:r>
    </w:p>
    <w:p w14:paraId="05ABCC22" w14:textId="77777777" w:rsidR="000A6469" w:rsidRPr="004D11C9" w:rsidRDefault="000A6469" w:rsidP="004D11C9">
      <w:pPr>
        <w:jc w:val="both"/>
        <w:rPr>
          <w:rFonts w:ascii="Times New Roman" w:eastAsia="Arial" w:hAnsi="Times New Roman" w:cs="Arial"/>
          <w:noProof/>
          <w:sz w:val="24"/>
          <w:szCs w:val="21"/>
        </w:rPr>
      </w:pPr>
    </w:p>
    <w:p w14:paraId="2AC2F95D" w14:textId="12CC2A48" w:rsidR="000A6469" w:rsidRPr="004D11C9" w:rsidRDefault="00801FAA" w:rsidP="00801FAA">
      <w:pPr>
        <w:pStyle w:val="Heading3"/>
        <w:tabs>
          <w:tab w:val="left" w:pos="401"/>
        </w:tabs>
        <w:ind w:left="0"/>
        <w:rPr>
          <w:rFonts w:ascii="Times New Roman" w:hAnsi="Times New Roman"/>
          <w:noProof/>
          <w:sz w:val="24"/>
        </w:rPr>
      </w:pPr>
      <w:bookmarkStart w:id="193" w:name="2._Presenting_the_recommendation"/>
      <w:bookmarkStart w:id="194" w:name="_bookmark102"/>
      <w:bookmarkStart w:id="195" w:name="_Toc62650495"/>
      <w:bookmarkEnd w:id="193"/>
      <w:bookmarkEnd w:id="194"/>
      <w:r>
        <w:rPr>
          <w:rFonts w:ascii="Times New Roman" w:hAnsi="Times New Roman"/>
          <w:sz w:val="24"/>
        </w:rPr>
        <w:t>2. Iepazīstināšana ar ieteikumu</w:t>
      </w:r>
      <w:bookmarkEnd w:id="195"/>
    </w:p>
    <w:p w14:paraId="14E5236E" w14:textId="77777777" w:rsidR="000A6469" w:rsidRPr="004D11C9" w:rsidRDefault="000A6469" w:rsidP="004D11C9">
      <w:pPr>
        <w:jc w:val="both"/>
        <w:rPr>
          <w:rFonts w:ascii="Times New Roman" w:eastAsia="Arial" w:hAnsi="Times New Roman" w:cs="Arial"/>
          <w:b/>
          <w:bCs/>
          <w:noProof/>
          <w:sz w:val="24"/>
          <w:szCs w:val="21"/>
        </w:rPr>
      </w:pPr>
    </w:p>
    <w:p w14:paraId="358CE0BE"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Lēmuma pieņēmējs vienmēr ir jāiepazīstina ar ieteikumu pirms tā īstenošanas. Pēc tam lēmuma pieņēmējs lems par turpmāko rīcību.</w:t>
      </w:r>
    </w:p>
    <w:p w14:paraId="7896B22F" w14:textId="77777777" w:rsidR="000A6469" w:rsidRPr="004D11C9" w:rsidRDefault="000A6469" w:rsidP="004D11C9">
      <w:pPr>
        <w:jc w:val="both"/>
        <w:rPr>
          <w:rFonts w:ascii="Times New Roman" w:eastAsia="Arial" w:hAnsi="Times New Roman" w:cs="Arial"/>
          <w:noProof/>
          <w:sz w:val="24"/>
          <w:szCs w:val="20"/>
        </w:rPr>
      </w:pPr>
    </w:p>
    <w:p w14:paraId="483EBB1F"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Lēmuma pieņēmējam iesniegtā informācija parasti būs pietiekami pilnīga, lai lēmuma pieņēmējs spētu izprast konkurences ieguvumus, ko sniegtu konkurenci visvairāk veicinošie risinājumi, un skaidri formulēt dažādu risinājumu radītos ieguvumus un kaitējumu, ļaujot skaidri izsekot pie iznākuma novedošajam argumentācijas procesam.</w:t>
      </w:r>
    </w:p>
    <w:p w14:paraId="299D6C74" w14:textId="77777777" w:rsidR="000A6469" w:rsidRPr="004D11C9" w:rsidRDefault="000A6469" w:rsidP="004D11C9">
      <w:pPr>
        <w:jc w:val="both"/>
        <w:rPr>
          <w:rFonts w:ascii="Times New Roman" w:eastAsia="Arial" w:hAnsi="Times New Roman" w:cs="Arial"/>
          <w:noProof/>
          <w:sz w:val="24"/>
          <w:szCs w:val="20"/>
        </w:rPr>
      </w:pPr>
    </w:p>
    <w:p w14:paraId="17566FF7"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Ja politikas izmaiņas tiek ieteiktas vairākos valsts pārvaldes līmeņos (piemēram, valsts un reģionālajos normatīvajos aktos), ieteikumam jābūt sagatavotam tā, lai tas šķistu atbilstošs </w:t>
      </w:r>
      <w:r>
        <w:rPr>
          <w:rFonts w:ascii="Times New Roman" w:hAnsi="Times New Roman"/>
          <w:sz w:val="24"/>
        </w:rPr>
        <w:lastRenderedPageBreak/>
        <w:t>katram attiecīgajam lēmuma pieņēmējam. Ja nepieciešama vairāku valsts pārvaldes līmeņu sadarbība, pastāv lielāka iespējamība, ka izmaiņu ieviešanai būs nepieciešams ilgāks laiks.</w:t>
      </w:r>
    </w:p>
    <w:p w14:paraId="6A1217B1" w14:textId="77777777" w:rsidR="000A6469" w:rsidRPr="004D11C9" w:rsidRDefault="000A6469" w:rsidP="004D11C9">
      <w:pPr>
        <w:jc w:val="both"/>
        <w:rPr>
          <w:rFonts w:ascii="Times New Roman" w:eastAsia="Arial" w:hAnsi="Times New Roman" w:cs="Arial"/>
          <w:noProof/>
          <w:sz w:val="24"/>
          <w:szCs w:val="20"/>
        </w:rPr>
      </w:pPr>
    </w:p>
    <w:p w14:paraId="5323CDA5"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Bieži vien būs daudz ieteikumu, no kuriem katrs attieksies uz citu attiecīgo likumu vai noteikumu normu. Tos var izklāstīt kopsavilkumā, izmantojot tabulu, kas līdzinās šīs nodaļas beigās iekļautajai 5. tabulai. Pēdējā slejā “Ieteikumi” ir izklāstīts ieteikums attiecībā uz katru normu. Iepriekšējās slejās tiek apzināti likumi un noteikumi, noteikti iespējamie konkurences ierobežojumi, izskaidrots normas sākotnējais mērķis un no normām izrietošais konkurences kaitējums (kas šajos gadījumos ir kvalitatīvs skaidrojums). Šī kopsavilkuma diagramma tiks papildināta ar rakstiskiem materiāliem, kuros izskaidrotas iespējamās konkurences problēmas un, ja iespējams, veikti kvantitatīvi ietekmes aprēķini.</w:t>
      </w:r>
    </w:p>
    <w:p w14:paraId="1F9525CF" w14:textId="77777777" w:rsidR="000A6469" w:rsidRPr="004D11C9" w:rsidRDefault="000A6469" w:rsidP="004D11C9">
      <w:pPr>
        <w:jc w:val="both"/>
        <w:rPr>
          <w:rFonts w:ascii="Times New Roman" w:eastAsia="Arial" w:hAnsi="Times New Roman" w:cs="Arial"/>
          <w:noProof/>
          <w:sz w:val="24"/>
          <w:szCs w:val="20"/>
        </w:rPr>
      </w:pPr>
    </w:p>
    <w:p w14:paraId="37D83B22"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Lai gan daudzos gadījumos kvantitatīvas aplēses var nebūt iespējamas, tās tomēr ir jāiekļauj ieteikumā, ja tās ir ticamas. Dažādu iespējamo risinājumu ietekmes skaitliska aprēķināšana ir vērtīga kaut vai tādēļ, ka šādas aplēses var palīdzēt noteikt iznākumu, kas būtu ievērojami objektīvāks par to, kurš izrietētu no interešu grupu spiediena ietekmēta politiskā procesa. Tā ir īpaši vienkārša, ja ir jāsalīdzina tikai divi politikas pasākumi (piemēram, regulējuma retrospektīvā pārskatīšanā, jo pastāv tikai viens pamatots iespējamais risinājums spēkā esošajam regulējumam).</w:t>
      </w:r>
    </w:p>
    <w:p w14:paraId="1C7B5F3C" w14:textId="77777777" w:rsidR="000A6469" w:rsidRPr="004D11C9" w:rsidRDefault="000A6469" w:rsidP="004D11C9">
      <w:pPr>
        <w:jc w:val="both"/>
        <w:rPr>
          <w:rFonts w:ascii="Times New Roman" w:eastAsia="Arial" w:hAnsi="Times New Roman" w:cs="Arial"/>
          <w:noProof/>
          <w:sz w:val="24"/>
          <w:szCs w:val="16"/>
        </w:rPr>
      </w:pPr>
    </w:p>
    <w:p w14:paraId="44013360" w14:textId="527F2DD0" w:rsidR="000A6469" w:rsidRPr="004D11C9" w:rsidRDefault="00801FAA" w:rsidP="00801FAA">
      <w:pPr>
        <w:pStyle w:val="Heading3"/>
        <w:tabs>
          <w:tab w:val="left" w:pos="401"/>
        </w:tabs>
        <w:ind w:left="0"/>
        <w:rPr>
          <w:rFonts w:ascii="Times New Roman" w:hAnsi="Times New Roman"/>
          <w:noProof/>
          <w:sz w:val="24"/>
        </w:rPr>
      </w:pPr>
      <w:bookmarkStart w:id="196" w:name="3._Drafting_the_new_regulation"/>
      <w:bookmarkStart w:id="197" w:name="_bookmark103"/>
      <w:bookmarkStart w:id="198" w:name="_Toc62650496"/>
      <w:bookmarkEnd w:id="196"/>
      <w:bookmarkEnd w:id="197"/>
      <w:r>
        <w:rPr>
          <w:rFonts w:ascii="Times New Roman" w:hAnsi="Times New Roman"/>
          <w:sz w:val="24"/>
        </w:rPr>
        <w:t>3. Jaunā regulējuma sagatavošana</w:t>
      </w:r>
      <w:bookmarkEnd w:id="198"/>
    </w:p>
    <w:p w14:paraId="7D1CB4A6" w14:textId="77777777" w:rsidR="000A6469" w:rsidRPr="004D11C9" w:rsidRDefault="000A6469" w:rsidP="004D11C9">
      <w:pPr>
        <w:jc w:val="both"/>
        <w:rPr>
          <w:rFonts w:ascii="Times New Roman" w:eastAsia="Arial" w:hAnsi="Times New Roman" w:cs="Arial"/>
          <w:b/>
          <w:bCs/>
          <w:noProof/>
          <w:sz w:val="24"/>
          <w:szCs w:val="21"/>
        </w:rPr>
      </w:pPr>
    </w:p>
    <w:p w14:paraId="514B4F25"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Jaunā regulējuma sagatavošana ir ļoti svarīga noteikumu efektīvai īstenošanai. Bieži vien grupa, kas ir iesaistīta regulatīvo risinājumu izvērtēšanā, var nebūt atbilstoša struktūra tehnisko noteikumu sagatavošanai. Piemēram, dažās valstīs visu tiesisko regulējumu sagatavo tiesiskā regulējuma sagatavošanas birojs. Tādēļ politikas veidotāji bieži vien uzticēs tiesiskā regulējuma sagatavošanu citiem. Tomēr grupa, kas veica novērtējumu, var sniegt noderīgu informāciju sagatavotājiem, un sagatavotājiem būtu pozitīvā veidā jākonsultējas ar regulējuma pārbaudītājiem, lai nodrošinātu, ka sagatavotie normatīvie akti rada vēlamo konkurenci veicinošo ietekmi un arī sasniedz galveno regulējuma mērķi.</w:t>
      </w:r>
    </w:p>
    <w:p w14:paraId="51282E9C" w14:textId="77777777" w:rsidR="000A6469" w:rsidRPr="004D11C9" w:rsidRDefault="000A6469" w:rsidP="004D11C9">
      <w:pPr>
        <w:jc w:val="both"/>
        <w:rPr>
          <w:rFonts w:ascii="Times New Roman" w:eastAsia="Arial" w:hAnsi="Times New Roman" w:cs="Arial"/>
          <w:noProof/>
          <w:sz w:val="24"/>
          <w:szCs w:val="21"/>
        </w:rPr>
      </w:pPr>
    </w:p>
    <w:p w14:paraId="0D90ED4B" w14:textId="1BFA32E1" w:rsidR="000A6469" w:rsidRPr="004D11C9" w:rsidRDefault="00801FAA" w:rsidP="00801FAA">
      <w:pPr>
        <w:pStyle w:val="Heading3"/>
        <w:tabs>
          <w:tab w:val="left" w:pos="398"/>
        </w:tabs>
        <w:ind w:left="0"/>
        <w:rPr>
          <w:rFonts w:ascii="Times New Roman" w:hAnsi="Times New Roman"/>
          <w:noProof/>
          <w:sz w:val="24"/>
        </w:rPr>
      </w:pPr>
      <w:bookmarkStart w:id="199" w:name="4._Final_approval"/>
      <w:bookmarkStart w:id="200" w:name="_bookmark104"/>
      <w:bookmarkStart w:id="201" w:name="_Toc62650497"/>
      <w:bookmarkEnd w:id="199"/>
      <w:bookmarkEnd w:id="200"/>
      <w:r>
        <w:rPr>
          <w:rFonts w:ascii="Times New Roman" w:hAnsi="Times New Roman"/>
          <w:sz w:val="24"/>
        </w:rPr>
        <w:t>4. Galīgā apstiprināšana</w:t>
      </w:r>
      <w:bookmarkEnd w:id="201"/>
    </w:p>
    <w:p w14:paraId="0BEC08D4" w14:textId="77777777" w:rsidR="000A6469" w:rsidRPr="004D11C9" w:rsidRDefault="000A6469" w:rsidP="004D11C9">
      <w:pPr>
        <w:jc w:val="both"/>
        <w:rPr>
          <w:rFonts w:ascii="Times New Roman" w:eastAsia="Arial" w:hAnsi="Times New Roman" w:cs="Arial"/>
          <w:b/>
          <w:bCs/>
          <w:noProof/>
          <w:sz w:val="24"/>
          <w:szCs w:val="21"/>
        </w:rPr>
      </w:pPr>
    </w:p>
    <w:p w14:paraId="791B516D"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Galīgajai apstiprināšanai nepieciešamie pasākumi atšķirsies atkarībā no regulējuma veida vai regulatīvajām izmaiņām. Piemēram, ja ierosinātais regulējums tiek izdots pēc regulatīvās iestādes vēlmes, regulatīvās iestādes padome var tieši pieņemt regulatīvās izmaiņas, tostarp vienkārši atceļot regulējumu. Process var ievērojami atšķirties, ja ierosinātais regulējums ir tiesību akts. Tāpēc šādos gadījumos ir ārkārtīgi svarīgi iegūt vietu likumdošanas kalendārā. Svarīgi zināt, kas uztur likumdošanas kalendāru, un pārliecināties par to, ka ir izveidots atbilstošs politiskais process, lai regulējuma pieņemšana notiktu paredzētajā secībā. Lai ierosināto regulējumu iekļautu likumdošanas kalendārā, var būt vajadzīgi pārliecinoši argumenti par priekšlikuma priekšrocībām un par tā saistību ar valdības prioritātēm. Tas ir viens no iemesliem, kāpēc var būt noderīga izmaiņu radīto ekonomisko ieguvumu kvantitatīvā noteikšana, izmantojot iepriekš izklāstītās metodes.</w:t>
      </w:r>
    </w:p>
    <w:p w14:paraId="280FCD71" w14:textId="77777777" w:rsidR="000A6469" w:rsidRPr="004D11C9" w:rsidRDefault="000A6469" w:rsidP="004D11C9">
      <w:pPr>
        <w:jc w:val="both"/>
        <w:rPr>
          <w:rFonts w:ascii="Times New Roman" w:eastAsia="Arial" w:hAnsi="Times New Roman" w:cs="Arial"/>
          <w:noProof/>
          <w:sz w:val="24"/>
          <w:szCs w:val="21"/>
        </w:rPr>
      </w:pPr>
    </w:p>
    <w:p w14:paraId="014931DC" w14:textId="7ED30B2E" w:rsidR="000A6469" w:rsidRPr="004D11C9" w:rsidRDefault="00801FAA" w:rsidP="00801FAA">
      <w:pPr>
        <w:pStyle w:val="Heading3"/>
        <w:tabs>
          <w:tab w:val="left" w:pos="401"/>
        </w:tabs>
        <w:ind w:left="0"/>
        <w:rPr>
          <w:rFonts w:ascii="Times New Roman" w:hAnsi="Times New Roman"/>
          <w:noProof/>
          <w:sz w:val="24"/>
        </w:rPr>
      </w:pPr>
      <w:bookmarkStart w:id="202" w:name="5._Implementation"/>
      <w:bookmarkStart w:id="203" w:name="_bookmark105"/>
      <w:bookmarkStart w:id="204" w:name="_Toc62650498"/>
      <w:bookmarkEnd w:id="202"/>
      <w:bookmarkEnd w:id="203"/>
      <w:r>
        <w:rPr>
          <w:rFonts w:ascii="Times New Roman" w:hAnsi="Times New Roman"/>
          <w:sz w:val="24"/>
        </w:rPr>
        <w:t>5. Ieviešana</w:t>
      </w:r>
      <w:bookmarkEnd w:id="204"/>
    </w:p>
    <w:p w14:paraId="700A752C" w14:textId="77777777" w:rsidR="000A6469" w:rsidRPr="004D11C9" w:rsidRDefault="000A6469" w:rsidP="004D11C9">
      <w:pPr>
        <w:jc w:val="both"/>
        <w:rPr>
          <w:rFonts w:ascii="Times New Roman" w:eastAsia="Arial" w:hAnsi="Times New Roman" w:cs="Arial"/>
          <w:b/>
          <w:bCs/>
          <w:noProof/>
          <w:sz w:val="24"/>
          <w:szCs w:val="21"/>
        </w:rPr>
      </w:pPr>
    </w:p>
    <w:p w14:paraId="5C3E184A"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Gadījumos, kad jauns regulējums ir pieņemtais risinājums un tas ir oficiāli apstiprināts, ir jāievieš arī regulējuma piemērošanai nepieciešamais institucionālais aparāts. Piemēram, dažkārt noteikumi var būt pieņemti, taču nav stājušies spēkā, jo nav noteikts atbildīgais par regulējuma piemērošanu vai atbildīgā struktūra nepiešķir augstu prioritāti šim regulējumam. </w:t>
      </w:r>
      <w:r>
        <w:rPr>
          <w:rFonts w:ascii="Times New Roman" w:hAnsi="Times New Roman"/>
          <w:sz w:val="24"/>
        </w:rPr>
        <w:lastRenderedPageBreak/>
        <w:t>Kad regulējums ir oficiāli pieņemts, jāveic atbilstoši pasākumi, lai noteiktu izpildes procedūras.</w:t>
      </w:r>
    </w:p>
    <w:p w14:paraId="5536A546" w14:textId="77777777" w:rsidR="000A6469" w:rsidRPr="004D11C9" w:rsidRDefault="000A6469" w:rsidP="004D11C9">
      <w:pPr>
        <w:jc w:val="both"/>
        <w:rPr>
          <w:rFonts w:ascii="Times New Roman" w:eastAsia="Arial" w:hAnsi="Times New Roman" w:cs="Arial"/>
          <w:noProof/>
          <w:sz w:val="24"/>
          <w:szCs w:val="20"/>
        </w:rPr>
      </w:pPr>
    </w:p>
    <w:p w14:paraId="4A8FC9C2" w14:textId="17FBD909"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Datums, kad regulējums stājas spēkā, var būtiski ietekmēt spēju nodrošināt konkurences procesu darbību. Proti, ja tikai viens uzņēmums spēj izpildīt standartu, bet citi to varētu spēt tikai pēc kāda laika, jāapsver, vai regulējumam nebūtu jāstājas spēkā tad, kad pārējiem uzņēmumiem būs bijis laiks izstrādāt savus produktus. Ieviešanas datumi ir jāizraugās tā, lai nodrošinātu, ka ir iespējama efektīva konkurence.</w:t>
      </w:r>
    </w:p>
    <w:p w14:paraId="093BFE95" w14:textId="33C1DBD4" w:rsidR="000A6469" w:rsidRDefault="000A6469" w:rsidP="004D11C9">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801FAA" w14:paraId="292EFB85" w14:textId="77777777" w:rsidTr="00801FAA">
        <w:tc>
          <w:tcPr>
            <w:tcW w:w="9062" w:type="dxa"/>
          </w:tcPr>
          <w:p w14:paraId="3A2B4626" w14:textId="566C4F8A" w:rsidR="00801FAA" w:rsidRDefault="00801FAA" w:rsidP="00801FAA">
            <w:pPr>
              <w:jc w:val="center"/>
              <w:rPr>
                <w:rFonts w:ascii="Times New Roman" w:eastAsia="Arial" w:hAnsi="Times New Roman" w:cs="Arial"/>
                <w:noProof/>
                <w:sz w:val="24"/>
                <w:szCs w:val="20"/>
              </w:rPr>
            </w:pPr>
            <w:r>
              <w:rPr>
                <w:rFonts w:ascii="Times New Roman" w:hAnsi="Times New Roman"/>
                <w:b/>
                <w:sz w:val="24"/>
              </w:rPr>
              <w:t>60. ierāmējums. Ieviešanas laiks un ietekme uz konkurenci</w:t>
            </w:r>
          </w:p>
        </w:tc>
      </w:tr>
      <w:tr w:rsidR="00801FAA" w14:paraId="1A00B7B2" w14:textId="77777777" w:rsidTr="00801FAA">
        <w:tc>
          <w:tcPr>
            <w:tcW w:w="9062" w:type="dxa"/>
          </w:tcPr>
          <w:p w14:paraId="0A73DD62" w14:textId="7D2025DA" w:rsidR="00801FAA" w:rsidRPr="00801FAA" w:rsidRDefault="00801FAA" w:rsidP="004D11C9">
            <w:pPr>
              <w:jc w:val="both"/>
              <w:rPr>
                <w:rFonts w:ascii="Times New Roman" w:eastAsia="Arial" w:hAnsi="Times New Roman" w:cs="Arial"/>
                <w:noProof/>
                <w:sz w:val="24"/>
                <w:szCs w:val="18"/>
              </w:rPr>
            </w:pPr>
            <w:r>
              <w:rPr>
                <w:rFonts w:ascii="Times New Roman" w:hAnsi="Times New Roman"/>
                <w:sz w:val="24"/>
              </w:rPr>
              <w:t>Regulējuma spēkā stāšanās datums var būtiski ietekmēt konkurentu skaitu. Pieņemsim, ka tiek pieņemts regulējums par zema trokšņa līmeņa un zemu emisiju piekarināmajiem motoriem motorlaivām, ko izmanto jūras rezervātos, un šo standartu tiek plānots ieviest sešu mēnešu laikā. Regulējuma pieņemšanas laikā tikai vienam uzņēmumam ir standarta izpildīšanai nepieciešamā tehnoloģija, un tam pieder patents, kas liedz citiem izmantot to pašu tehnoloģiju, un neviens cits uzņēmums sešu mēnešu laikā nespētu sagatavot alternatīvu risinājumu. Rezultātā visi standarta prasību izpildīšanai nepieciešamie pirkumi ir jāveic pie viena uzņēmuma, kas varētu pieprasīt lielu maksu, jo tā produkta iegādi paredz likums. Ja regulators nolemj pagarināt ieviešanas laiku par diviem gadiem, citiem uzņēmumiem būtu laiks sagatavot alternatīvus izgudrojumus un piedāvāt pircējiem savus motorus, kas nozīmētu, ka pircējiem būtu reālas izvēles iespējas un cenu konkurence palīdzētu nodrošināt cenu atbilstību izmaksām.</w:t>
            </w:r>
          </w:p>
        </w:tc>
      </w:tr>
    </w:tbl>
    <w:p w14:paraId="362C091F" w14:textId="1E1FD53E" w:rsidR="000A6469" w:rsidRPr="004D11C9" w:rsidRDefault="000A6469" w:rsidP="004D11C9">
      <w:pPr>
        <w:jc w:val="both"/>
        <w:rPr>
          <w:rFonts w:ascii="Times New Roman" w:eastAsia="Arial" w:hAnsi="Times New Roman" w:cs="Arial"/>
          <w:noProof/>
          <w:sz w:val="24"/>
          <w:szCs w:val="14"/>
        </w:rPr>
      </w:pPr>
      <w:bookmarkStart w:id="205" w:name="_bookmark106"/>
      <w:bookmarkEnd w:id="205"/>
    </w:p>
    <w:p w14:paraId="5266AE12" w14:textId="4A587EE8"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Kompetentajai iestādei, kas atbildīga par regulējuma pieņemšanu, nāksies:</w:t>
      </w:r>
    </w:p>
    <w:p w14:paraId="4830D124" w14:textId="77777777" w:rsidR="000A6469" w:rsidRPr="004D11C9" w:rsidRDefault="000A6469" w:rsidP="004D11C9">
      <w:pPr>
        <w:jc w:val="both"/>
        <w:rPr>
          <w:rFonts w:ascii="Times New Roman" w:eastAsia="Arial" w:hAnsi="Times New Roman" w:cs="Arial"/>
          <w:noProof/>
          <w:sz w:val="24"/>
          <w:szCs w:val="21"/>
        </w:rPr>
      </w:pPr>
    </w:p>
    <w:p w14:paraId="13D41B70" w14:textId="5A847820" w:rsidR="000A6469" w:rsidRPr="004D11C9" w:rsidRDefault="00801FAA" w:rsidP="00801FAA">
      <w:pPr>
        <w:pStyle w:val="BodyText"/>
        <w:tabs>
          <w:tab w:val="left" w:pos="1163"/>
        </w:tabs>
        <w:ind w:left="0" w:firstLine="0"/>
        <w:jc w:val="both"/>
        <w:rPr>
          <w:rFonts w:ascii="Times New Roman" w:hAnsi="Times New Roman"/>
          <w:noProof/>
          <w:sz w:val="24"/>
        </w:rPr>
      </w:pPr>
      <w:r>
        <w:rPr>
          <w:rFonts w:ascii="Times New Roman" w:hAnsi="Times New Roman"/>
          <w:sz w:val="24"/>
        </w:rPr>
        <w:t>1. identificēt atbilstošu iestādi regulējuma piemērošanai;</w:t>
      </w:r>
    </w:p>
    <w:p w14:paraId="4B2D447F" w14:textId="4BADFEF6" w:rsidR="000A6469" w:rsidRPr="004D11C9" w:rsidRDefault="00801FAA" w:rsidP="00801FAA">
      <w:pPr>
        <w:pStyle w:val="BodyText"/>
        <w:tabs>
          <w:tab w:val="left" w:pos="1163"/>
        </w:tabs>
        <w:ind w:left="0" w:firstLine="0"/>
        <w:jc w:val="both"/>
        <w:rPr>
          <w:rFonts w:ascii="Times New Roman" w:hAnsi="Times New Roman"/>
          <w:noProof/>
          <w:sz w:val="24"/>
        </w:rPr>
      </w:pPr>
      <w:r>
        <w:rPr>
          <w:rFonts w:ascii="Times New Roman" w:hAnsi="Times New Roman"/>
          <w:sz w:val="24"/>
        </w:rPr>
        <w:t>2. uzticēt atbildību šai iestādei;</w:t>
      </w:r>
    </w:p>
    <w:p w14:paraId="22A98771" w14:textId="5960CA55" w:rsidR="000A6469" w:rsidRPr="004D11C9" w:rsidRDefault="00801FAA" w:rsidP="00801FAA">
      <w:pPr>
        <w:pStyle w:val="BodyText"/>
        <w:tabs>
          <w:tab w:val="left" w:pos="1163"/>
        </w:tabs>
        <w:ind w:left="0" w:firstLine="0"/>
        <w:jc w:val="both"/>
        <w:rPr>
          <w:rFonts w:ascii="Times New Roman" w:hAnsi="Times New Roman"/>
          <w:noProof/>
          <w:sz w:val="24"/>
        </w:rPr>
      </w:pPr>
      <w:r>
        <w:rPr>
          <w:rFonts w:ascii="Times New Roman" w:hAnsi="Times New Roman"/>
          <w:sz w:val="24"/>
        </w:rPr>
        <w:t>3. nodrošināt, ka atbilstošā iestāde ievieš regulējuma izpildes mehānismu (piemēram, pieprasot, lai mehānismi tiktu ieviesti noteiktā laika posmā);</w:t>
      </w:r>
    </w:p>
    <w:p w14:paraId="5CBDC294" w14:textId="55B943E5" w:rsidR="000A6469" w:rsidRPr="004D11C9" w:rsidRDefault="00801FAA" w:rsidP="00801FAA">
      <w:pPr>
        <w:pStyle w:val="BodyText"/>
        <w:tabs>
          <w:tab w:val="left" w:pos="1163"/>
        </w:tabs>
        <w:ind w:left="0" w:firstLine="0"/>
        <w:jc w:val="both"/>
        <w:rPr>
          <w:rFonts w:ascii="Times New Roman" w:hAnsi="Times New Roman"/>
          <w:noProof/>
          <w:sz w:val="24"/>
        </w:rPr>
      </w:pPr>
      <w:r>
        <w:rPr>
          <w:rFonts w:ascii="Times New Roman" w:hAnsi="Times New Roman"/>
          <w:sz w:val="24"/>
        </w:rPr>
        <w:t>4. nodrošināt, lai skartie uzņēmumi un patērētāji būtu informēti par šo regulējumu (piemēram, semināros, ar vēstuļu starpniecību vai ar citiem līdzekļiem, kas paredzēti saziņas uzturēšanai ar skartajām grupām);</w:t>
      </w:r>
    </w:p>
    <w:p w14:paraId="76DEA15F" w14:textId="4EC3C8CC" w:rsidR="000A6469" w:rsidRPr="004D11C9" w:rsidRDefault="00801FAA" w:rsidP="00801FAA">
      <w:pPr>
        <w:pStyle w:val="BodyText"/>
        <w:tabs>
          <w:tab w:val="left" w:pos="1163"/>
        </w:tabs>
        <w:ind w:left="0" w:firstLine="0"/>
        <w:jc w:val="both"/>
        <w:rPr>
          <w:rFonts w:ascii="Times New Roman" w:hAnsi="Times New Roman"/>
          <w:noProof/>
          <w:sz w:val="24"/>
        </w:rPr>
      </w:pPr>
      <w:r>
        <w:rPr>
          <w:rFonts w:ascii="Times New Roman" w:hAnsi="Times New Roman"/>
          <w:sz w:val="24"/>
        </w:rPr>
        <w:t>5. nodrošināt, ka privātais sektors ir informēts par to, ar ko sazināties par regulējumu, un</w:t>
      </w:r>
    </w:p>
    <w:p w14:paraId="55E1B225" w14:textId="14236137" w:rsidR="000A6469" w:rsidRPr="004D11C9" w:rsidRDefault="00801FAA" w:rsidP="00801FAA">
      <w:pPr>
        <w:pStyle w:val="BodyText"/>
        <w:tabs>
          <w:tab w:val="left" w:pos="1163"/>
        </w:tabs>
        <w:ind w:left="0" w:firstLine="0"/>
        <w:jc w:val="both"/>
        <w:rPr>
          <w:rFonts w:ascii="Times New Roman" w:hAnsi="Times New Roman"/>
          <w:noProof/>
          <w:sz w:val="24"/>
        </w:rPr>
      </w:pPr>
      <w:r>
        <w:rPr>
          <w:rFonts w:ascii="Times New Roman" w:hAnsi="Times New Roman"/>
          <w:sz w:val="24"/>
        </w:rPr>
        <w:t>6. nodrošināt, ka regulatīvie lēmumi tiek pieņemti pietiekami ātri un pamatoti, ja tiek īstenota rīcības brīvība, un ka tos piemēro tādā laikā, kas veicina konkurences procesus.</w:t>
      </w:r>
    </w:p>
    <w:p w14:paraId="1D24D114" w14:textId="77777777" w:rsidR="00867DDD" w:rsidRPr="004D11C9" w:rsidRDefault="00867DDD" w:rsidP="004D11C9">
      <w:pPr>
        <w:jc w:val="both"/>
        <w:rPr>
          <w:rFonts w:ascii="Times New Roman" w:hAnsi="Times New Roman"/>
          <w:noProof/>
          <w:sz w:val="24"/>
        </w:rPr>
      </w:pPr>
    </w:p>
    <w:p w14:paraId="0AF27158" w14:textId="10221ED3" w:rsidR="00D532D3" w:rsidRDefault="00D532D3">
      <w:pPr>
        <w:rPr>
          <w:rFonts w:ascii="Times New Roman" w:eastAsia="Times New Roman" w:hAnsi="Times New Roman" w:cs="Times New Roman"/>
          <w:noProof/>
          <w:sz w:val="24"/>
          <w:szCs w:val="21"/>
        </w:rPr>
      </w:pPr>
      <w:r>
        <w:br w:type="page"/>
      </w:r>
    </w:p>
    <w:p w14:paraId="08054F36" w14:textId="77777777" w:rsidR="000A6469" w:rsidRPr="004D11C9" w:rsidRDefault="000A6469" w:rsidP="004D11C9">
      <w:pPr>
        <w:jc w:val="both"/>
        <w:rPr>
          <w:rFonts w:ascii="Times New Roman" w:eastAsia="Times New Roman" w:hAnsi="Times New Roman" w:cs="Times New Roman"/>
          <w:noProof/>
          <w:sz w:val="24"/>
          <w:szCs w:val="21"/>
        </w:rPr>
      </w:pPr>
    </w:p>
    <w:p w14:paraId="6CF94F9C" w14:textId="30081FD8" w:rsidR="002D6E99" w:rsidRDefault="007D2347" w:rsidP="00D532D3">
      <w:pPr>
        <w:jc w:val="center"/>
        <w:rPr>
          <w:rFonts w:ascii="Times New Roman" w:eastAsia="Times New Roman" w:hAnsi="Times New Roman" w:cs="Times New Roman"/>
          <w:noProof/>
          <w:sz w:val="24"/>
          <w:szCs w:val="20"/>
        </w:rPr>
      </w:pPr>
      <w:r>
        <w:rPr>
          <w:rFonts w:ascii="Times New Roman" w:hAnsi="Times New Roman"/>
          <w:noProof/>
          <w:sz w:val="24"/>
        </w:rPr>
        <mc:AlternateContent>
          <mc:Choice Requires="wps">
            <w:drawing>
              <wp:anchor distT="0" distB="0" distL="114300" distR="114300" simplePos="0" relativeHeight="251700224" behindDoc="0" locked="0" layoutInCell="1" allowOverlap="1" wp14:anchorId="222F6491" wp14:editId="5DB660BB">
                <wp:simplePos x="0" y="0"/>
                <wp:positionH relativeFrom="page">
                  <wp:posOffset>7686675</wp:posOffset>
                </wp:positionH>
                <wp:positionV relativeFrom="page">
                  <wp:posOffset>490855</wp:posOffset>
                </wp:positionV>
                <wp:extent cx="139700" cy="3175635"/>
                <wp:effectExtent l="0" t="0" r="3175" b="635"/>
                <wp:wrapNone/>
                <wp:docPr id="941" name="Text Box 11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317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8FB59" w14:textId="77777777" w:rsidR="009C39FB" w:rsidRPr="000A6469" w:rsidRDefault="009C39FB" w:rsidP="000A6469">
                            <w:pPr>
                              <w:spacing w:line="205" w:lineRule="exact"/>
                              <w:ind w:left="20"/>
                              <w:rPr>
                                <w:rFonts w:ascii="Arial"/>
                                <w:noProof/>
                                <w:sz w:val="18"/>
                              </w:rPr>
                            </w:pPr>
                            <w:r>
                              <w:rPr>
                                <w:rFonts w:ascii="Arial"/>
                                <w:sz w:val="18"/>
                              </w:rPr>
                              <w:t>KONKURENCES NOV</w:t>
                            </w:r>
                            <w:r>
                              <w:rPr>
                                <w:rFonts w:ascii="Arial"/>
                                <w:sz w:val="18"/>
                              </w:rPr>
                              <w:t>Ē</w:t>
                            </w:r>
                            <w:r>
                              <w:rPr>
                                <w:rFonts w:ascii="Arial"/>
                                <w:sz w:val="18"/>
                              </w:rPr>
                              <w:t>RT</w:t>
                            </w:r>
                            <w:r>
                              <w:rPr>
                                <w:rFonts w:ascii="Arial"/>
                                <w:sz w:val="18"/>
                              </w:rPr>
                              <w:t>ĒŠ</w:t>
                            </w:r>
                            <w:r>
                              <w:rPr>
                                <w:rFonts w:ascii="Arial"/>
                                <w:sz w:val="18"/>
                              </w:rPr>
                              <w:t>ANAS ROKASGR</w:t>
                            </w:r>
                            <w:r>
                              <w:rPr>
                                <w:rFonts w:ascii="Arial"/>
                                <w:sz w:val="18"/>
                              </w:rPr>
                              <w:t>Ā</w:t>
                            </w:r>
                            <w:r>
                              <w:rPr>
                                <w:rFonts w:ascii="Arial"/>
                                <w:sz w:val="18"/>
                              </w:rPr>
                              <w:t>MATA</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F6491" id="_x0000_t202" coordsize="21600,21600" o:spt="202" path="m,l,21600r21600,l21600,xe">
                <v:stroke joinstyle="miter"/>
                <v:path gradientshapeok="t" o:connecttype="rect"/>
              </v:shapetype>
              <v:shape id="Text Box 11888" o:spid="_x0000_s1026" type="#_x0000_t202" style="position:absolute;left:0;text-align:left;margin-left:605.25pt;margin-top:38.65pt;width:11pt;height:250.0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" filled="f" stroked="f">
                <v:textbox style="layout-flow:vertical" inset="0,0,0,0">
                  <w:txbxContent>
                    <w:p w14:paraId="41B8FB59" w14:textId="77777777" w:rsidR="009C39FB" w:rsidRPr="000A6469" w:rsidRDefault="009C39FB" w:rsidP="000A6469">
                      <w:pPr>
                        <w:spacing w:line="205" w:lineRule="exact"/>
                        <w:ind w:left="20"/>
                        <w:rPr>
                          <w:rFonts w:ascii="Arial"/>
                          <w:noProof/>
                          <w:sz w:val="18"/>
                        </w:rPr>
                      </w:pPr>
                      <w:r>
                        <w:rPr>
                          <w:rFonts w:ascii="Arial"/>
                          <w:sz w:val="18"/>
                        </w:rPr>
                        <w:t>KONKURENCES NOV</w:t>
                      </w:r>
                      <w:r>
                        <w:rPr>
                          <w:rFonts w:ascii="Arial"/>
                          <w:sz w:val="18"/>
                        </w:rPr>
                        <w:t>Ē</w:t>
                      </w:r>
                      <w:r>
                        <w:rPr>
                          <w:rFonts w:ascii="Arial"/>
                          <w:sz w:val="18"/>
                        </w:rPr>
                        <w:t>RT</w:t>
                      </w:r>
                      <w:r>
                        <w:rPr>
                          <w:rFonts w:ascii="Arial"/>
                          <w:sz w:val="18"/>
                        </w:rPr>
                        <w:t>ĒŠ</w:t>
                      </w:r>
                      <w:r>
                        <w:rPr>
                          <w:rFonts w:ascii="Arial"/>
                          <w:sz w:val="18"/>
                        </w:rPr>
                        <w:t>ANAS ROKASGR</w:t>
                      </w:r>
                      <w:r>
                        <w:rPr>
                          <w:rFonts w:ascii="Arial"/>
                          <w:sz w:val="18"/>
                        </w:rPr>
                        <w:t>Ā</w:t>
                      </w:r>
                      <w:r>
                        <w:rPr>
                          <w:rFonts w:ascii="Arial"/>
                          <w:sz w:val="18"/>
                        </w:rPr>
                        <w:t>MATA</w:t>
                      </w:r>
                    </w:p>
                  </w:txbxContent>
                </v:textbox>
                <w10:wrap anchorx="page" anchory="page"/>
              </v:shape>
            </w:pict>
          </mc:Fallback>
        </mc:AlternateContent>
      </w:r>
      <w:r>
        <w:rPr>
          <w:rFonts w:ascii="Times New Roman" w:hAnsi="Times New Roman"/>
          <w:b/>
          <w:sz w:val="24"/>
        </w:rPr>
        <w:t>5. tabula. Paraugtabula rezultātu uzrādīšanai. Celtniecības materiāli</w:t>
      </w:r>
    </w:p>
    <w:p w14:paraId="1335DAE1" w14:textId="4C7E93E6" w:rsidR="002D6E99" w:rsidRDefault="002D6E99" w:rsidP="004D11C9">
      <w:pPr>
        <w:jc w:val="both"/>
        <w:rPr>
          <w:rFonts w:ascii="Times New Roman" w:eastAsia="Times New Roman" w:hAnsi="Times New Roman" w:cs="Times New Roman"/>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1732"/>
        <w:gridCol w:w="1083"/>
        <w:gridCol w:w="1114"/>
        <w:gridCol w:w="1289"/>
        <w:gridCol w:w="1229"/>
        <w:gridCol w:w="1290"/>
        <w:gridCol w:w="1325"/>
      </w:tblGrid>
      <w:tr w:rsidR="002849D6" w:rsidRPr="00EF2A1F" w14:paraId="371E83BA" w14:textId="77777777" w:rsidTr="00EF2A1F">
        <w:tc>
          <w:tcPr>
            <w:tcW w:w="1732" w:type="dxa"/>
          </w:tcPr>
          <w:p w14:paraId="65D0C431" w14:textId="25722DCF" w:rsidR="00D532D3" w:rsidRPr="00EF2A1F" w:rsidRDefault="00D532D3" w:rsidP="00D532D3">
            <w:pPr>
              <w:jc w:val="center"/>
              <w:rPr>
                <w:rFonts w:ascii="Times New Roman" w:eastAsia="Times New Roman" w:hAnsi="Times New Roman" w:cs="Times New Roman"/>
                <w:noProof/>
                <w:sz w:val="16"/>
                <w:szCs w:val="16"/>
              </w:rPr>
            </w:pPr>
            <w:r>
              <w:rPr>
                <w:rFonts w:ascii="Times New Roman" w:hAnsi="Times New Roman"/>
                <w:sz w:val="16"/>
              </w:rPr>
              <w:t>Normatīvā akta numurs un nosaukums</w:t>
            </w:r>
          </w:p>
        </w:tc>
        <w:tc>
          <w:tcPr>
            <w:tcW w:w="957" w:type="dxa"/>
          </w:tcPr>
          <w:p w14:paraId="15038BB5" w14:textId="61855C8C" w:rsidR="00D532D3" w:rsidRPr="00EF2A1F" w:rsidRDefault="00D532D3" w:rsidP="00D532D3">
            <w:pPr>
              <w:jc w:val="center"/>
              <w:rPr>
                <w:rFonts w:ascii="Times New Roman" w:eastAsia="Times New Roman" w:hAnsi="Times New Roman" w:cs="Times New Roman"/>
                <w:noProof/>
                <w:sz w:val="16"/>
                <w:szCs w:val="16"/>
              </w:rPr>
            </w:pPr>
            <w:r>
              <w:rPr>
                <w:rFonts w:ascii="Times New Roman" w:hAnsi="Times New Roman"/>
                <w:sz w:val="16"/>
              </w:rPr>
              <w:t>Pants</w:t>
            </w:r>
          </w:p>
        </w:tc>
        <w:tc>
          <w:tcPr>
            <w:tcW w:w="850" w:type="dxa"/>
          </w:tcPr>
          <w:p w14:paraId="4413548D" w14:textId="58360C74" w:rsidR="00D532D3" w:rsidRPr="00EF2A1F" w:rsidRDefault="00D532D3" w:rsidP="00D532D3">
            <w:pPr>
              <w:jc w:val="center"/>
              <w:rPr>
                <w:rFonts w:ascii="Times New Roman" w:eastAsia="Times New Roman" w:hAnsi="Times New Roman" w:cs="Times New Roman"/>
                <w:noProof/>
                <w:sz w:val="16"/>
                <w:szCs w:val="16"/>
              </w:rPr>
            </w:pPr>
            <w:r>
              <w:rPr>
                <w:rFonts w:ascii="Times New Roman" w:hAnsi="Times New Roman"/>
                <w:sz w:val="16"/>
              </w:rPr>
              <w:t>Tematiskā kategorija</w:t>
            </w:r>
          </w:p>
        </w:tc>
        <w:tc>
          <w:tcPr>
            <w:tcW w:w="1418" w:type="dxa"/>
          </w:tcPr>
          <w:p w14:paraId="349F8F19" w14:textId="592ACCD3" w:rsidR="00D532D3" w:rsidRPr="00EF2A1F" w:rsidRDefault="00D532D3" w:rsidP="00D532D3">
            <w:pPr>
              <w:jc w:val="center"/>
              <w:rPr>
                <w:rFonts w:ascii="Times New Roman" w:eastAsia="Times New Roman" w:hAnsi="Times New Roman" w:cs="Times New Roman"/>
                <w:noProof/>
                <w:sz w:val="16"/>
                <w:szCs w:val="16"/>
              </w:rPr>
            </w:pPr>
            <w:r>
              <w:rPr>
                <w:rFonts w:ascii="Times New Roman" w:hAnsi="Times New Roman"/>
                <w:sz w:val="16"/>
              </w:rPr>
              <w:t>Īss iespējamā šķēršļa apraksts</w:t>
            </w:r>
          </w:p>
        </w:tc>
        <w:tc>
          <w:tcPr>
            <w:tcW w:w="1275" w:type="dxa"/>
          </w:tcPr>
          <w:p w14:paraId="68417ECE" w14:textId="1E017F91" w:rsidR="00D532D3" w:rsidRPr="00EF2A1F" w:rsidRDefault="00D532D3" w:rsidP="00D532D3">
            <w:pPr>
              <w:jc w:val="center"/>
              <w:rPr>
                <w:rFonts w:ascii="Times New Roman" w:eastAsia="Times New Roman" w:hAnsi="Times New Roman" w:cs="Times New Roman"/>
                <w:noProof/>
                <w:sz w:val="16"/>
                <w:szCs w:val="16"/>
              </w:rPr>
            </w:pPr>
            <w:r>
              <w:rPr>
                <w:rFonts w:ascii="Times New Roman" w:hAnsi="Times New Roman"/>
                <w:sz w:val="16"/>
              </w:rPr>
              <w:t>Politikas veidotāja mērķis</w:t>
            </w:r>
          </w:p>
        </w:tc>
        <w:tc>
          <w:tcPr>
            <w:tcW w:w="1418" w:type="dxa"/>
          </w:tcPr>
          <w:p w14:paraId="33AAA50A" w14:textId="3F3D533D" w:rsidR="00D532D3" w:rsidRPr="00EF2A1F" w:rsidRDefault="00D532D3" w:rsidP="00D532D3">
            <w:pPr>
              <w:jc w:val="center"/>
              <w:rPr>
                <w:rFonts w:ascii="Times New Roman" w:eastAsia="Times New Roman" w:hAnsi="Times New Roman" w:cs="Times New Roman"/>
                <w:noProof/>
                <w:sz w:val="16"/>
                <w:szCs w:val="16"/>
              </w:rPr>
            </w:pPr>
            <w:r>
              <w:rPr>
                <w:rFonts w:ascii="Times New Roman" w:hAnsi="Times New Roman"/>
                <w:sz w:val="16"/>
              </w:rPr>
              <w:t>Kaitējums konkurencei</w:t>
            </w:r>
          </w:p>
        </w:tc>
        <w:tc>
          <w:tcPr>
            <w:tcW w:w="1412" w:type="dxa"/>
          </w:tcPr>
          <w:p w14:paraId="348A424E" w14:textId="66E72E13" w:rsidR="00D532D3" w:rsidRPr="00EF2A1F" w:rsidRDefault="00D532D3" w:rsidP="00D532D3">
            <w:pPr>
              <w:jc w:val="center"/>
              <w:rPr>
                <w:rFonts w:ascii="Times New Roman" w:eastAsia="Times New Roman" w:hAnsi="Times New Roman" w:cs="Times New Roman"/>
                <w:noProof/>
                <w:sz w:val="16"/>
                <w:szCs w:val="16"/>
              </w:rPr>
            </w:pPr>
            <w:r>
              <w:rPr>
                <w:rFonts w:ascii="Times New Roman" w:hAnsi="Times New Roman"/>
                <w:sz w:val="16"/>
              </w:rPr>
              <w:t>Ieteikumi</w:t>
            </w:r>
          </w:p>
        </w:tc>
      </w:tr>
      <w:tr w:rsidR="002849D6" w:rsidRPr="00EF2A1F" w14:paraId="2C397A17" w14:textId="77777777" w:rsidTr="00EF2A1F">
        <w:tc>
          <w:tcPr>
            <w:tcW w:w="1732" w:type="dxa"/>
          </w:tcPr>
          <w:p w14:paraId="28B044CC" w14:textId="5188A87B" w:rsidR="00D532D3" w:rsidRPr="00EF2A1F" w:rsidRDefault="00D532D3" w:rsidP="004D11C9">
            <w:pPr>
              <w:jc w:val="both"/>
              <w:rPr>
                <w:rFonts w:ascii="Times New Roman" w:eastAsia="Times New Roman" w:hAnsi="Times New Roman" w:cs="Times New Roman"/>
                <w:noProof/>
                <w:sz w:val="16"/>
                <w:szCs w:val="16"/>
              </w:rPr>
            </w:pPr>
            <w:r>
              <w:rPr>
                <w:rFonts w:ascii="Times New Roman" w:hAnsi="Times New Roman"/>
                <w:sz w:val="16"/>
              </w:rPr>
              <w:t>Likums Nr. 3054/2002 “Naftas tirgus organizēšana un citi noteikumi”</w:t>
            </w:r>
          </w:p>
        </w:tc>
        <w:tc>
          <w:tcPr>
            <w:tcW w:w="957" w:type="dxa"/>
          </w:tcPr>
          <w:p w14:paraId="0D4C11DE" w14:textId="6E189119" w:rsidR="00D532D3" w:rsidRPr="00EF2A1F" w:rsidRDefault="00DD1FBA" w:rsidP="004D11C9">
            <w:pPr>
              <w:jc w:val="both"/>
              <w:rPr>
                <w:rFonts w:ascii="Times New Roman" w:eastAsia="Times New Roman" w:hAnsi="Times New Roman" w:cs="Times New Roman"/>
                <w:noProof/>
                <w:sz w:val="16"/>
                <w:szCs w:val="16"/>
              </w:rPr>
            </w:pPr>
            <w:r>
              <w:rPr>
                <w:rFonts w:ascii="Times New Roman" w:hAnsi="Times New Roman"/>
                <w:sz w:val="16"/>
              </w:rPr>
              <w:t>6. panta 5. punkts</w:t>
            </w:r>
          </w:p>
        </w:tc>
        <w:tc>
          <w:tcPr>
            <w:tcW w:w="850" w:type="dxa"/>
          </w:tcPr>
          <w:p w14:paraId="3A561743" w14:textId="3F297F18" w:rsidR="00D532D3" w:rsidRPr="00EF2A1F" w:rsidRDefault="00DD1FBA" w:rsidP="004D11C9">
            <w:pPr>
              <w:jc w:val="both"/>
              <w:rPr>
                <w:rFonts w:ascii="Times New Roman" w:eastAsia="Times New Roman" w:hAnsi="Times New Roman" w:cs="Times New Roman"/>
                <w:noProof/>
                <w:sz w:val="16"/>
                <w:szCs w:val="16"/>
              </w:rPr>
            </w:pPr>
            <w:r>
              <w:rPr>
                <w:rFonts w:ascii="Times New Roman" w:hAnsi="Times New Roman"/>
                <w:sz w:val="16"/>
              </w:rPr>
              <w:t>Asfalts</w:t>
            </w:r>
          </w:p>
        </w:tc>
        <w:tc>
          <w:tcPr>
            <w:tcW w:w="1418" w:type="dxa"/>
          </w:tcPr>
          <w:p w14:paraId="13C7463A" w14:textId="2FB6305E" w:rsidR="00D532D3" w:rsidRPr="00EF2A1F" w:rsidRDefault="00DD1FBA" w:rsidP="004D11C9">
            <w:pPr>
              <w:jc w:val="both"/>
              <w:rPr>
                <w:rFonts w:ascii="Times New Roman" w:eastAsia="Times New Roman" w:hAnsi="Times New Roman" w:cs="Times New Roman"/>
                <w:noProof/>
                <w:sz w:val="16"/>
                <w:szCs w:val="16"/>
              </w:rPr>
            </w:pPr>
            <w:r>
              <w:rPr>
                <w:rFonts w:ascii="Times New Roman" w:hAnsi="Times New Roman"/>
                <w:sz w:val="16"/>
              </w:rPr>
              <w:t>Lai juridiska persona varētu saņemt asfalta tirdzniecības licenci, tās akciju kapitāla vērtība nedrīkst būt mazāka par 500 000 eiro.</w:t>
            </w:r>
          </w:p>
        </w:tc>
        <w:tc>
          <w:tcPr>
            <w:tcW w:w="1275" w:type="dxa"/>
          </w:tcPr>
          <w:p w14:paraId="5EDDCD39" w14:textId="6FC8EE47" w:rsidR="00D532D3" w:rsidRPr="00EF2A1F" w:rsidRDefault="002849D6" w:rsidP="004D11C9">
            <w:pPr>
              <w:jc w:val="both"/>
              <w:rPr>
                <w:rFonts w:ascii="Times New Roman" w:eastAsia="Times New Roman" w:hAnsi="Times New Roman" w:cs="Times New Roman"/>
                <w:noProof/>
                <w:sz w:val="16"/>
                <w:szCs w:val="16"/>
              </w:rPr>
            </w:pPr>
            <w:r>
              <w:rPr>
                <w:rFonts w:ascii="Times New Roman" w:hAnsi="Times New Roman"/>
                <w:sz w:val="16"/>
              </w:rPr>
              <w:t>Mērķis ir nodrošināt naftas produktus tirgojošo uzņēmumu finansiālo stāvokli un ilgtspējību, ņemot vērā šo produktu augsto vērtību.</w:t>
            </w:r>
          </w:p>
        </w:tc>
        <w:tc>
          <w:tcPr>
            <w:tcW w:w="1418" w:type="dxa"/>
          </w:tcPr>
          <w:p w14:paraId="7E16FFB6" w14:textId="44C7E2D3" w:rsidR="00D532D3" w:rsidRPr="00EF2A1F" w:rsidRDefault="002849D6" w:rsidP="004D11C9">
            <w:pPr>
              <w:jc w:val="both"/>
              <w:rPr>
                <w:rFonts w:ascii="Times New Roman" w:eastAsia="Times New Roman" w:hAnsi="Times New Roman" w:cs="Times New Roman"/>
                <w:noProof/>
                <w:sz w:val="16"/>
                <w:szCs w:val="16"/>
              </w:rPr>
            </w:pPr>
            <w:r>
              <w:rPr>
                <w:rFonts w:ascii="Times New Roman" w:hAnsi="Times New Roman"/>
                <w:sz w:val="16"/>
              </w:rPr>
              <w:t>Šķērslis, kas kavē mazo piegādātāju ieiešanu tirgū, jo paaugstina ieiešanas izmaksas. Šī norma var ierobežot piegādātāju skaitu, izraisīt lielāku koncentrāciju attiecīgajā tirgū un, iespējams, paaugstināt cenas.</w:t>
            </w:r>
          </w:p>
        </w:tc>
        <w:tc>
          <w:tcPr>
            <w:tcW w:w="1412" w:type="dxa"/>
          </w:tcPr>
          <w:p w14:paraId="535CDA8F" w14:textId="733888D9" w:rsidR="00D532D3" w:rsidRPr="00EF2A1F" w:rsidRDefault="00D532D3" w:rsidP="004D11C9">
            <w:pPr>
              <w:jc w:val="both"/>
              <w:rPr>
                <w:rFonts w:ascii="Times New Roman" w:eastAsia="Times New Roman" w:hAnsi="Times New Roman" w:cs="Times New Roman"/>
                <w:noProof/>
                <w:sz w:val="16"/>
                <w:szCs w:val="16"/>
              </w:rPr>
            </w:pPr>
            <w:r>
              <w:rPr>
                <w:rFonts w:ascii="Times New Roman" w:hAnsi="Times New Roman"/>
                <w:sz w:val="16"/>
              </w:rPr>
              <w:t>Izslēgt minēto normu.</w:t>
            </w:r>
          </w:p>
        </w:tc>
      </w:tr>
      <w:tr w:rsidR="002849D6" w:rsidRPr="00EF2A1F" w14:paraId="03F56138" w14:textId="77777777" w:rsidTr="00EF2A1F">
        <w:tc>
          <w:tcPr>
            <w:tcW w:w="1732" w:type="dxa"/>
          </w:tcPr>
          <w:p w14:paraId="340D8B8A" w14:textId="4F3127DB" w:rsidR="00D532D3" w:rsidRPr="00EF2A1F" w:rsidRDefault="00D532D3" w:rsidP="004D11C9">
            <w:pPr>
              <w:jc w:val="both"/>
              <w:rPr>
                <w:rFonts w:ascii="Times New Roman" w:eastAsia="Times New Roman" w:hAnsi="Times New Roman" w:cs="Times New Roman"/>
                <w:noProof/>
                <w:sz w:val="16"/>
                <w:szCs w:val="16"/>
              </w:rPr>
            </w:pPr>
            <w:r>
              <w:rPr>
                <w:rFonts w:ascii="Times New Roman" w:hAnsi="Times New Roman"/>
                <w:sz w:val="16"/>
              </w:rPr>
              <w:t>Likums Nr. 3054/2002 “Naftas tirgus organizēšana un citi noteikumi”</w:t>
            </w:r>
          </w:p>
        </w:tc>
        <w:tc>
          <w:tcPr>
            <w:tcW w:w="957" w:type="dxa"/>
          </w:tcPr>
          <w:p w14:paraId="06AEF60B" w14:textId="7DEBB875" w:rsidR="00D532D3" w:rsidRPr="00EF2A1F" w:rsidRDefault="00DD1FBA" w:rsidP="004D11C9">
            <w:pPr>
              <w:jc w:val="both"/>
              <w:rPr>
                <w:rFonts w:ascii="Times New Roman" w:eastAsia="Times New Roman" w:hAnsi="Times New Roman" w:cs="Times New Roman"/>
                <w:noProof/>
                <w:sz w:val="16"/>
                <w:szCs w:val="16"/>
              </w:rPr>
            </w:pPr>
            <w:r>
              <w:rPr>
                <w:rFonts w:ascii="Times New Roman" w:hAnsi="Times New Roman"/>
                <w:sz w:val="16"/>
              </w:rPr>
              <w:t>6. panta 5. punkts</w:t>
            </w:r>
          </w:p>
        </w:tc>
        <w:tc>
          <w:tcPr>
            <w:tcW w:w="850" w:type="dxa"/>
          </w:tcPr>
          <w:p w14:paraId="0121AD5C" w14:textId="5C3942BC" w:rsidR="00D532D3" w:rsidRPr="00EF2A1F" w:rsidRDefault="00DD1FBA" w:rsidP="004D11C9">
            <w:pPr>
              <w:jc w:val="both"/>
              <w:rPr>
                <w:rFonts w:ascii="Times New Roman" w:eastAsia="Times New Roman" w:hAnsi="Times New Roman" w:cs="Times New Roman"/>
                <w:noProof/>
                <w:sz w:val="16"/>
                <w:szCs w:val="16"/>
              </w:rPr>
            </w:pPr>
            <w:r>
              <w:rPr>
                <w:rFonts w:ascii="Times New Roman" w:hAnsi="Times New Roman"/>
                <w:sz w:val="16"/>
              </w:rPr>
              <w:t>Asfalts</w:t>
            </w:r>
          </w:p>
        </w:tc>
        <w:tc>
          <w:tcPr>
            <w:tcW w:w="1418" w:type="dxa"/>
          </w:tcPr>
          <w:p w14:paraId="04046018" w14:textId="29EE8B64" w:rsidR="00D532D3" w:rsidRPr="00EF2A1F" w:rsidRDefault="00DD1FBA" w:rsidP="004D11C9">
            <w:pPr>
              <w:jc w:val="both"/>
              <w:rPr>
                <w:rFonts w:ascii="Times New Roman" w:eastAsia="Times New Roman" w:hAnsi="Times New Roman" w:cs="Times New Roman"/>
                <w:noProof/>
                <w:sz w:val="16"/>
                <w:szCs w:val="16"/>
              </w:rPr>
            </w:pPr>
            <w:r>
              <w:rPr>
                <w:rFonts w:ascii="Times New Roman" w:hAnsi="Times New Roman"/>
                <w:sz w:val="16"/>
              </w:rPr>
              <w:t>Lai tirgotu asfaltu, jānodrošina vismaz 2000 m</w:t>
            </w:r>
            <w:r>
              <w:rPr>
                <w:rFonts w:ascii="Times New Roman" w:hAnsi="Times New Roman"/>
                <w:sz w:val="16"/>
                <w:vertAlign w:val="superscript"/>
              </w:rPr>
              <w:t>3</w:t>
            </w:r>
            <w:r>
              <w:rPr>
                <w:rFonts w:ascii="Times New Roman" w:hAnsi="Times New Roman"/>
                <w:sz w:val="16"/>
              </w:rPr>
              <w:t xml:space="preserve"> liela glabāšanas telpa.</w:t>
            </w:r>
          </w:p>
        </w:tc>
        <w:tc>
          <w:tcPr>
            <w:tcW w:w="1275" w:type="dxa"/>
          </w:tcPr>
          <w:p w14:paraId="36E718A4" w14:textId="40BA67F1" w:rsidR="00D532D3" w:rsidRPr="00EF2A1F" w:rsidRDefault="002849D6" w:rsidP="004D11C9">
            <w:pPr>
              <w:jc w:val="both"/>
              <w:rPr>
                <w:rFonts w:ascii="Times New Roman" w:eastAsia="Times New Roman" w:hAnsi="Times New Roman" w:cs="Times New Roman"/>
                <w:noProof/>
                <w:sz w:val="16"/>
                <w:szCs w:val="16"/>
              </w:rPr>
            </w:pPr>
            <w:r>
              <w:rPr>
                <w:rFonts w:ascii="Times New Roman" w:hAnsi="Times New Roman"/>
                <w:sz w:val="16"/>
              </w:rPr>
              <w:t>Nav iespējams noskaidrot šīs normas mērķi. Mūsuprāt, šīs normas mērķis ir nodrošināt pietiekamus konkrētā produkta krājumus.</w:t>
            </w:r>
          </w:p>
        </w:tc>
        <w:tc>
          <w:tcPr>
            <w:tcW w:w="1418" w:type="dxa"/>
          </w:tcPr>
          <w:p w14:paraId="5AA91916" w14:textId="5C165C2B" w:rsidR="00D532D3" w:rsidRPr="00EF2A1F" w:rsidRDefault="002849D6" w:rsidP="004D11C9">
            <w:pPr>
              <w:jc w:val="both"/>
              <w:rPr>
                <w:rFonts w:ascii="Times New Roman" w:eastAsia="Times New Roman" w:hAnsi="Times New Roman" w:cs="Times New Roman"/>
                <w:noProof/>
                <w:sz w:val="16"/>
                <w:szCs w:val="16"/>
              </w:rPr>
            </w:pPr>
            <w:r>
              <w:rPr>
                <w:rFonts w:ascii="Times New Roman" w:hAnsi="Times New Roman"/>
                <w:sz w:val="16"/>
              </w:rPr>
              <w:t>Šķērslis, kas kavē mazo piegādātāju ieiešanu tirgū, jo paaugstina ieiešanas izmaksas. Šī norma var ierobežot piegādātāju skaitu, izraisīt lielāku koncentrāciju attiecīgajā tirgū un, iespējams, paaugstināt cenas.</w:t>
            </w:r>
          </w:p>
        </w:tc>
        <w:tc>
          <w:tcPr>
            <w:tcW w:w="1412" w:type="dxa"/>
          </w:tcPr>
          <w:p w14:paraId="243442DA" w14:textId="66022F95" w:rsidR="00D532D3" w:rsidRPr="00EF2A1F" w:rsidRDefault="00D532D3" w:rsidP="004D11C9">
            <w:pPr>
              <w:jc w:val="both"/>
              <w:rPr>
                <w:rFonts w:ascii="Times New Roman" w:eastAsia="Times New Roman" w:hAnsi="Times New Roman" w:cs="Times New Roman"/>
                <w:noProof/>
                <w:sz w:val="16"/>
                <w:szCs w:val="16"/>
              </w:rPr>
            </w:pPr>
            <w:r>
              <w:rPr>
                <w:rFonts w:ascii="Times New Roman" w:hAnsi="Times New Roman"/>
                <w:sz w:val="16"/>
              </w:rPr>
              <w:t>Izslēgt minēto normu.</w:t>
            </w:r>
          </w:p>
        </w:tc>
      </w:tr>
      <w:tr w:rsidR="002849D6" w:rsidRPr="00EF2A1F" w14:paraId="37B94075" w14:textId="77777777" w:rsidTr="00EF2A1F">
        <w:tc>
          <w:tcPr>
            <w:tcW w:w="1732" w:type="dxa"/>
          </w:tcPr>
          <w:p w14:paraId="779F4169" w14:textId="1DC711A7" w:rsidR="00D532D3" w:rsidRPr="00EF2A1F" w:rsidRDefault="00D532D3" w:rsidP="004D11C9">
            <w:pPr>
              <w:jc w:val="both"/>
              <w:rPr>
                <w:rFonts w:ascii="Times New Roman" w:eastAsia="Times New Roman" w:hAnsi="Times New Roman" w:cs="Times New Roman"/>
                <w:noProof/>
                <w:sz w:val="16"/>
                <w:szCs w:val="16"/>
              </w:rPr>
            </w:pPr>
            <w:r>
              <w:rPr>
                <w:rFonts w:ascii="Times New Roman" w:hAnsi="Times New Roman"/>
                <w:sz w:val="16"/>
              </w:rPr>
              <w:t>Likums Nr. 669/1977 “Karjeru izmantošanas licences”</w:t>
            </w:r>
          </w:p>
        </w:tc>
        <w:tc>
          <w:tcPr>
            <w:tcW w:w="957" w:type="dxa"/>
          </w:tcPr>
          <w:p w14:paraId="339D4F75" w14:textId="05FA2A6F" w:rsidR="00D532D3" w:rsidRPr="00EF2A1F" w:rsidRDefault="00DD1FBA" w:rsidP="004D11C9">
            <w:pPr>
              <w:jc w:val="both"/>
              <w:rPr>
                <w:rFonts w:ascii="Times New Roman" w:eastAsia="Times New Roman" w:hAnsi="Times New Roman" w:cs="Times New Roman"/>
                <w:noProof/>
                <w:sz w:val="16"/>
                <w:szCs w:val="16"/>
              </w:rPr>
            </w:pPr>
            <w:r>
              <w:rPr>
                <w:rFonts w:ascii="Times New Roman" w:hAnsi="Times New Roman"/>
                <w:sz w:val="16"/>
              </w:rPr>
              <w:t>4. panta 3. punkts</w:t>
            </w:r>
          </w:p>
        </w:tc>
        <w:tc>
          <w:tcPr>
            <w:tcW w:w="850" w:type="dxa"/>
          </w:tcPr>
          <w:p w14:paraId="34FE0E27" w14:textId="756D218B" w:rsidR="00D532D3" w:rsidRPr="00EF2A1F" w:rsidRDefault="00DD1FBA" w:rsidP="004D11C9">
            <w:pPr>
              <w:jc w:val="both"/>
              <w:rPr>
                <w:rFonts w:ascii="Times New Roman" w:eastAsia="Times New Roman" w:hAnsi="Times New Roman" w:cs="Times New Roman"/>
                <w:noProof/>
                <w:sz w:val="16"/>
                <w:szCs w:val="16"/>
              </w:rPr>
            </w:pPr>
            <w:r>
              <w:rPr>
                <w:rFonts w:ascii="Times New Roman" w:hAnsi="Times New Roman"/>
                <w:sz w:val="16"/>
              </w:rPr>
              <w:t>Raktuves/karjeri</w:t>
            </w:r>
          </w:p>
        </w:tc>
        <w:tc>
          <w:tcPr>
            <w:tcW w:w="1418" w:type="dxa"/>
          </w:tcPr>
          <w:p w14:paraId="1171AF0F" w14:textId="28851B78" w:rsidR="00D532D3" w:rsidRPr="00EF2A1F" w:rsidRDefault="00DD1FBA" w:rsidP="004D11C9">
            <w:pPr>
              <w:jc w:val="both"/>
              <w:rPr>
                <w:rFonts w:ascii="Times New Roman" w:eastAsia="Times New Roman" w:hAnsi="Times New Roman" w:cs="Times New Roman"/>
                <w:noProof/>
                <w:sz w:val="16"/>
                <w:szCs w:val="16"/>
              </w:rPr>
            </w:pPr>
            <w:r>
              <w:rPr>
                <w:rFonts w:ascii="Times New Roman" w:hAnsi="Times New Roman"/>
                <w:sz w:val="16"/>
              </w:rPr>
              <w:t>Marmora karjeru izmantošanas licence tiek izsniegta attiecībā uz vienu teritoriju, kuras platība nedrīkst būt mazāka par 20 000 m</w:t>
            </w:r>
            <w:r>
              <w:rPr>
                <w:rFonts w:ascii="Times New Roman" w:hAnsi="Times New Roman"/>
                <w:sz w:val="16"/>
                <w:vertAlign w:val="superscript"/>
              </w:rPr>
              <w:t>2</w:t>
            </w:r>
            <w:r>
              <w:rPr>
                <w:rFonts w:ascii="Times New Roman" w:hAnsi="Times New Roman"/>
                <w:sz w:val="16"/>
              </w:rPr>
              <w:t xml:space="preserve"> un lielāka par 100 000 m</w:t>
            </w:r>
            <w:r>
              <w:rPr>
                <w:rFonts w:ascii="Times New Roman" w:hAnsi="Times New Roman"/>
                <w:sz w:val="16"/>
                <w:vertAlign w:val="superscript"/>
              </w:rPr>
              <w:t>2</w:t>
            </w:r>
            <w:r>
              <w:rPr>
                <w:rFonts w:ascii="Times New Roman" w:hAnsi="Times New Roman"/>
                <w:sz w:val="16"/>
              </w:rPr>
              <w:t>.</w:t>
            </w:r>
          </w:p>
        </w:tc>
        <w:tc>
          <w:tcPr>
            <w:tcW w:w="1275" w:type="dxa"/>
          </w:tcPr>
          <w:p w14:paraId="51559177" w14:textId="0BE87A53" w:rsidR="00D532D3" w:rsidRPr="00EF2A1F" w:rsidRDefault="002849D6" w:rsidP="004D11C9">
            <w:pPr>
              <w:jc w:val="both"/>
              <w:rPr>
                <w:rFonts w:ascii="Times New Roman" w:eastAsia="Times New Roman" w:hAnsi="Times New Roman" w:cs="Times New Roman"/>
                <w:noProof/>
                <w:sz w:val="16"/>
                <w:szCs w:val="16"/>
              </w:rPr>
            </w:pPr>
            <w:r>
              <w:rPr>
                <w:rFonts w:ascii="Times New Roman" w:hAnsi="Times New Roman"/>
                <w:sz w:val="16"/>
              </w:rPr>
              <w:t>No Vides ministrijas sniegtās informācijas mēs esam sapratuši, ka šīs normas mērķis ir ierobežot lielu karjeru teritoriju izmantošanu, kas būtiski ietekmētu vidi. No Vides ministrijas mēs esam sapratuši, ka ir atļauts apvienot blakus esošus marmora karjerus (tostarp gan privātos, gan valsts karjerus). Minimālā marmora ieguves platība ir 20 000 m</w:t>
            </w:r>
            <w:r>
              <w:rPr>
                <w:rFonts w:ascii="Times New Roman" w:hAnsi="Times New Roman"/>
                <w:sz w:val="16"/>
                <w:vertAlign w:val="superscript"/>
              </w:rPr>
              <w:t>2</w:t>
            </w:r>
            <w:r>
              <w:rPr>
                <w:rFonts w:ascii="Times New Roman" w:hAnsi="Times New Roman"/>
                <w:sz w:val="16"/>
              </w:rPr>
              <w:t>, jo tā tiek uzskatīta par vismazāko platību, kas nepieciešama marmora ieguvei.</w:t>
            </w:r>
          </w:p>
        </w:tc>
        <w:tc>
          <w:tcPr>
            <w:tcW w:w="1418" w:type="dxa"/>
          </w:tcPr>
          <w:p w14:paraId="5ABA52DA" w14:textId="21AA9C46" w:rsidR="00D532D3" w:rsidRPr="00EF2A1F" w:rsidRDefault="002849D6" w:rsidP="004D11C9">
            <w:pPr>
              <w:jc w:val="both"/>
              <w:rPr>
                <w:rFonts w:ascii="Times New Roman" w:eastAsia="Times New Roman" w:hAnsi="Times New Roman" w:cs="Times New Roman"/>
                <w:noProof/>
                <w:sz w:val="16"/>
                <w:szCs w:val="16"/>
              </w:rPr>
            </w:pPr>
            <w:r>
              <w:rPr>
                <w:rFonts w:ascii="Times New Roman" w:hAnsi="Times New Roman"/>
                <w:sz w:val="16"/>
              </w:rPr>
              <w:t>Marmora karjera minimālais un maksimālais apmērs ir šķērslis ieiešanai tirgū, kas, iespējams, attur potenciālos jaunpienācējus, samazina piegādātāju skaitu un var radīt augstākas cenas. Maksimālā platība, kas noteikta ar šo normu, ir samērīga ar mērķi aizsargāt vidi gadījumos, kad ieguve tiek atļauta tieši, ja ieguves licence ir izsniegta iepriekš. Tās iespējamo ietekmi mazina tas, ka vairāku blakus esošu karjeru ekspluatants var apvienot šos karjerus vienā karjerā.</w:t>
            </w:r>
          </w:p>
        </w:tc>
        <w:tc>
          <w:tcPr>
            <w:tcW w:w="1412" w:type="dxa"/>
          </w:tcPr>
          <w:p w14:paraId="3909601E" w14:textId="35315611" w:rsidR="00D532D3" w:rsidRPr="00EF2A1F" w:rsidRDefault="00D532D3" w:rsidP="004D11C9">
            <w:pPr>
              <w:jc w:val="both"/>
              <w:rPr>
                <w:rFonts w:ascii="Times New Roman" w:eastAsia="Times New Roman" w:hAnsi="Times New Roman" w:cs="Times New Roman"/>
                <w:noProof/>
                <w:sz w:val="16"/>
                <w:szCs w:val="16"/>
              </w:rPr>
            </w:pPr>
            <w:r>
              <w:rPr>
                <w:rFonts w:ascii="Times New Roman" w:hAnsi="Times New Roman"/>
                <w:sz w:val="16"/>
              </w:rPr>
              <w:t>Izslēgt minēto normu par minimālo un maksimālo ieguves platību marmora karjeros, neskarot Prezidenta dekrēta Nr. 285/1979 11. panta 1. punkta a) apakšpunktu, 2. punktu un 17. pantu, attiecībā uz kuriem minētais ierobežojums ir jāpatur spēkā.</w:t>
            </w:r>
          </w:p>
        </w:tc>
      </w:tr>
      <w:tr w:rsidR="002849D6" w:rsidRPr="00EF2A1F" w14:paraId="19C2CA5B" w14:textId="77777777" w:rsidTr="00EF2A1F">
        <w:tc>
          <w:tcPr>
            <w:tcW w:w="1732" w:type="dxa"/>
          </w:tcPr>
          <w:p w14:paraId="58EA8F03" w14:textId="338D4DE8" w:rsidR="00D532D3" w:rsidRPr="00EF2A1F" w:rsidRDefault="00D532D3" w:rsidP="004D11C9">
            <w:pPr>
              <w:jc w:val="both"/>
              <w:rPr>
                <w:rFonts w:ascii="Times New Roman" w:eastAsia="Times New Roman" w:hAnsi="Times New Roman" w:cs="Times New Roman"/>
                <w:noProof/>
                <w:sz w:val="16"/>
                <w:szCs w:val="16"/>
              </w:rPr>
            </w:pPr>
            <w:r>
              <w:rPr>
                <w:rFonts w:ascii="Times New Roman" w:hAnsi="Times New Roman"/>
                <w:sz w:val="16"/>
              </w:rPr>
              <w:t xml:space="preserve">Ministra lēmums </w:t>
            </w:r>
            <w:r>
              <w:rPr>
                <w:rFonts w:ascii="Times New Roman" w:hAnsi="Times New Roman"/>
                <w:sz w:val="16"/>
              </w:rPr>
              <w:sym w:font="Symbol" w:char="F044"/>
            </w:r>
            <w:r>
              <w:rPr>
                <w:rFonts w:ascii="Times New Roman" w:hAnsi="Times New Roman"/>
                <w:sz w:val="16"/>
              </w:rPr>
              <w:t xml:space="preserve">7/OIK.24023/4220/2011 “JMD </w:t>
            </w:r>
            <w:r>
              <w:rPr>
                <w:rFonts w:ascii="Times New Roman" w:hAnsi="Times New Roman"/>
                <w:sz w:val="16"/>
              </w:rPr>
              <w:sym w:font="Symbol" w:char="F044"/>
            </w:r>
            <w:r>
              <w:rPr>
                <w:rFonts w:ascii="Times New Roman" w:hAnsi="Times New Roman"/>
                <w:sz w:val="16"/>
              </w:rPr>
              <w:t>7/A/</w:t>
            </w:r>
            <w:r>
              <w:rPr>
                <w:rFonts w:ascii="Times New Roman" w:hAnsi="Times New Roman"/>
                <w:sz w:val="16"/>
              </w:rPr>
              <w:sym w:font="Symbol" w:char="F046"/>
            </w:r>
            <w:r>
              <w:rPr>
                <w:rFonts w:ascii="Times New Roman" w:hAnsi="Times New Roman"/>
                <w:sz w:val="16"/>
              </w:rPr>
              <w:t>!/12901/580/26-6-1997 “Raktuvju tiesiskajā regulējumā noteikto valsts nodevu un honorāru summas koriģēšana” grozījums (Valdības biļetens 574/B).”</w:t>
            </w:r>
          </w:p>
        </w:tc>
        <w:tc>
          <w:tcPr>
            <w:tcW w:w="957" w:type="dxa"/>
          </w:tcPr>
          <w:p w14:paraId="397D3D02" w14:textId="6C1598AD" w:rsidR="00D532D3" w:rsidRPr="00EF2A1F" w:rsidRDefault="00DD1FBA" w:rsidP="004D11C9">
            <w:pPr>
              <w:jc w:val="both"/>
              <w:rPr>
                <w:rFonts w:ascii="Times New Roman" w:eastAsia="Times New Roman" w:hAnsi="Times New Roman" w:cs="Times New Roman"/>
                <w:noProof/>
                <w:sz w:val="16"/>
                <w:szCs w:val="16"/>
              </w:rPr>
            </w:pPr>
            <w:r>
              <w:rPr>
                <w:rFonts w:ascii="Times New Roman" w:hAnsi="Times New Roman"/>
                <w:sz w:val="16"/>
              </w:rPr>
              <w:t>Vienīgais pants</w:t>
            </w:r>
          </w:p>
        </w:tc>
        <w:tc>
          <w:tcPr>
            <w:tcW w:w="850" w:type="dxa"/>
          </w:tcPr>
          <w:p w14:paraId="149A442E" w14:textId="62E1BD5B" w:rsidR="00D532D3" w:rsidRPr="00EF2A1F" w:rsidRDefault="00DD1FBA" w:rsidP="004D11C9">
            <w:pPr>
              <w:jc w:val="both"/>
              <w:rPr>
                <w:rFonts w:ascii="Times New Roman" w:eastAsia="Times New Roman" w:hAnsi="Times New Roman" w:cs="Times New Roman"/>
                <w:noProof/>
                <w:sz w:val="16"/>
                <w:szCs w:val="16"/>
              </w:rPr>
            </w:pPr>
            <w:r>
              <w:rPr>
                <w:rFonts w:ascii="Times New Roman" w:hAnsi="Times New Roman"/>
                <w:sz w:val="16"/>
              </w:rPr>
              <w:t>Raktuves/karjeri</w:t>
            </w:r>
          </w:p>
        </w:tc>
        <w:tc>
          <w:tcPr>
            <w:tcW w:w="1418" w:type="dxa"/>
          </w:tcPr>
          <w:p w14:paraId="7D365300" w14:textId="5D5FF13E" w:rsidR="00D532D3" w:rsidRPr="00EF2A1F" w:rsidRDefault="002849D6" w:rsidP="004D11C9">
            <w:pPr>
              <w:jc w:val="both"/>
              <w:rPr>
                <w:rFonts w:ascii="Times New Roman" w:eastAsia="Times New Roman" w:hAnsi="Times New Roman" w:cs="Times New Roman"/>
                <w:noProof/>
                <w:sz w:val="16"/>
                <w:szCs w:val="16"/>
              </w:rPr>
            </w:pPr>
            <w:r>
              <w:rPr>
                <w:rFonts w:ascii="Times New Roman" w:hAnsi="Times New Roman"/>
                <w:sz w:val="16"/>
              </w:rPr>
              <w:t xml:space="preserve">Nosaka nodevas, kas jāmaksā saskaņā ar L. Nr.  210/1973, t. i., nodeva 10 000 eiro apmērā, lai pieteiktos raktuves koncesijai, garantijas raksts 20 000 eiro apmērā, lai pieteiktos koncesijai līdz </w:t>
            </w:r>
            <w:r>
              <w:rPr>
                <w:rFonts w:ascii="Times New Roman" w:hAnsi="Times New Roman"/>
                <w:sz w:val="16"/>
              </w:rPr>
              <w:lastRenderedPageBreak/>
              <w:t>5 km</w:t>
            </w:r>
            <w:r>
              <w:rPr>
                <w:rFonts w:ascii="Times New Roman" w:hAnsi="Times New Roman"/>
                <w:sz w:val="16"/>
                <w:vertAlign w:val="superscript"/>
              </w:rPr>
              <w:t>2</w:t>
            </w:r>
            <w:r>
              <w:rPr>
                <w:rFonts w:ascii="Times New Roman" w:hAnsi="Times New Roman"/>
                <w:sz w:val="16"/>
              </w:rPr>
              <w:t>, garantijas raksts 30 000 eiro apmērā, lai pieteiktos koncesijai virs 5 km</w:t>
            </w:r>
            <w:r>
              <w:rPr>
                <w:rFonts w:ascii="Times New Roman" w:hAnsi="Times New Roman"/>
                <w:sz w:val="16"/>
                <w:vertAlign w:val="superscript"/>
              </w:rPr>
              <w:t>2</w:t>
            </w:r>
            <w:r>
              <w:rPr>
                <w:rFonts w:ascii="Times New Roman" w:hAnsi="Times New Roman"/>
                <w:sz w:val="16"/>
              </w:rPr>
              <w:t>.</w:t>
            </w:r>
          </w:p>
        </w:tc>
        <w:tc>
          <w:tcPr>
            <w:tcW w:w="1275" w:type="dxa"/>
          </w:tcPr>
          <w:p w14:paraId="281B3358" w14:textId="48BA3454" w:rsidR="00D532D3" w:rsidRPr="00EF2A1F" w:rsidRDefault="002849D6" w:rsidP="004D11C9">
            <w:pPr>
              <w:jc w:val="both"/>
              <w:rPr>
                <w:rFonts w:ascii="Times New Roman" w:eastAsia="Times New Roman" w:hAnsi="Times New Roman" w:cs="Times New Roman"/>
                <w:noProof/>
                <w:sz w:val="16"/>
                <w:szCs w:val="16"/>
              </w:rPr>
            </w:pPr>
            <w:r>
              <w:rPr>
                <w:rFonts w:ascii="Times New Roman" w:hAnsi="Times New Roman"/>
                <w:sz w:val="16"/>
              </w:rPr>
              <w:lastRenderedPageBreak/>
              <w:t>Nav iespējams noskaidrot šīs normas mērķi. Mūsuprāt, mērķis bija palielināt valsts ieņēmumus.</w:t>
            </w:r>
          </w:p>
        </w:tc>
        <w:tc>
          <w:tcPr>
            <w:tcW w:w="1418" w:type="dxa"/>
          </w:tcPr>
          <w:p w14:paraId="368D72B0" w14:textId="02C6A03A" w:rsidR="00D532D3" w:rsidRPr="00EF2A1F" w:rsidRDefault="00EF2A1F" w:rsidP="004D11C9">
            <w:pPr>
              <w:jc w:val="both"/>
              <w:rPr>
                <w:rFonts w:ascii="Times New Roman" w:eastAsia="Times New Roman" w:hAnsi="Times New Roman" w:cs="Times New Roman"/>
                <w:noProof/>
                <w:sz w:val="16"/>
                <w:szCs w:val="16"/>
              </w:rPr>
            </w:pPr>
            <w:r>
              <w:rPr>
                <w:rFonts w:ascii="Times New Roman" w:hAnsi="Times New Roman"/>
                <w:sz w:val="16"/>
              </w:rPr>
              <w:t>Lai arī šī norma rada administratīvo slogu, mūsu rīcībā nav pierādījumu par konkurences kropļošanu.</w:t>
            </w:r>
          </w:p>
        </w:tc>
        <w:tc>
          <w:tcPr>
            <w:tcW w:w="1412" w:type="dxa"/>
          </w:tcPr>
          <w:p w14:paraId="6B759ADC" w14:textId="212F0A4B" w:rsidR="00D532D3" w:rsidRPr="00EF2A1F" w:rsidRDefault="00D532D3" w:rsidP="004D11C9">
            <w:pPr>
              <w:jc w:val="both"/>
              <w:rPr>
                <w:rFonts w:ascii="Times New Roman" w:eastAsia="Times New Roman" w:hAnsi="Times New Roman" w:cs="Times New Roman"/>
                <w:noProof/>
                <w:sz w:val="16"/>
                <w:szCs w:val="16"/>
              </w:rPr>
            </w:pPr>
            <w:r>
              <w:rPr>
                <w:rFonts w:ascii="Times New Roman" w:hAnsi="Times New Roman"/>
                <w:sz w:val="16"/>
              </w:rPr>
              <w:t>Nav ieteikumu par nepieciešamajām izmaiņām.</w:t>
            </w:r>
          </w:p>
        </w:tc>
      </w:tr>
      <w:tr w:rsidR="002849D6" w:rsidRPr="00EF2A1F" w14:paraId="3BC47F16" w14:textId="77777777" w:rsidTr="00EF2A1F">
        <w:tc>
          <w:tcPr>
            <w:tcW w:w="1732" w:type="dxa"/>
          </w:tcPr>
          <w:p w14:paraId="60D9D634" w14:textId="3FBB6410" w:rsidR="00D532D3" w:rsidRPr="00EF2A1F" w:rsidRDefault="00DD1FBA" w:rsidP="004D11C9">
            <w:pPr>
              <w:jc w:val="both"/>
              <w:rPr>
                <w:rFonts w:ascii="Times New Roman" w:eastAsia="Times New Roman" w:hAnsi="Times New Roman" w:cs="Times New Roman"/>
                <w:noProof/>
                <w:sz w:val="16"/>
                <w:szCs w:val="16"/>
              </w:rPr>
            </w:pPr>
            <w:r>
              <w:rPr>
                <w:rFonts w:ascii="Times New Roman" w:hAnsi="Times New Roman"/>
                <w:sz w:val="16"/>
              </w:rPr>
              <w:t>Prezidenta dekrēta Nr. 405/1996 “Bīstamu izstrādājumu iekraušana un izkraušana ostās”</w:t>
            </w:r>
          </w:p>
        </w:tc>
        <w:tc>
          <w:tcPr>
            <w:tcW w:w="957" w:type="dxa"/>
          </w:tcPr>
          <w:p w14:paraId="1FFB7E3B" w14:textId="51AD74ED" w:rsidR="00D532D3" w:rsidRPr="00EF2A1F" w:rsidRDefault="00DD1FBA" w:rsidP="004D11C9">
            <w:pPr>
              <w:jc w:val="both"/>
              <w:rPr>
                <w:rFonts w:ascii="Times New Roman" w:eastAsia="Times New Roman" w:hAnsi="Times New Roman" w:cs="Times New Roman"/>
                <w:noProof/>
                <w:sz w:val="16"/>
                <w:szCs w:val="16"/>
              </w:rPr>
            </w:pPr>
            <w:r>
              <w:rPr>
                <w:rFonts w:ascii="Times New Roman" w:hAnsi="Times New Roman"/>
                <w:sz w:val="16"/>
              </w:rPr>
              <w:t>C PIELIKUMA 10. punkts</w:t>
            </w:r>
          </w:p>
        </w:tc>
        <w:tc>
          <w:tcPr>
            <w:tcW w:w="850" w:type="dxa"/>
          </w:tcPr>
          <w:p w14:paraId="0E266225" w14:textId="1CD88678" w:rsidR="00D532D3" w:rsidRPr="00EF2A1F" w:rsidRDefault="00DD1FBA" w:rsidP="004D11C9">
            <w:pPr>
              <w:jc w:val="both"/>
              <w:rPr>
                <w:rFonts w:ascii="Times New Roman" w:eastAsia="Times New Roman" w:hAnsi="Times New Roman" w:cs="Times New Roman"/>
                <w:noProof/>
                <w:sz w:val="16"/>
                <w:szCs w:val="16"/>
              </w:rPr>
            </w:pPr>
            <w:r>
              <w:rPr>
                <w:rFonts w:ascii="Times New Roman" w:hAnsi="Times New Roman"/>
                <w:sz w:val="16"/>
              </w:rPr>
              <w:t>Ietvarlikums</w:t>
            </w:r>
          </w:p>
        </w:tc>
        <w:tc>
          <w:tcPr>
            <w:tcW w:w="1418" w:type="dxa"/>
          </w:tcPr>
          <w:p w14:paraId="718FEE92" w14:textId="25ADE62C" w:rsidR="00D532D3" w:rsidRPr="00EF2A1F" w:rsidRDefault="002849D6" w:rsidP="004D11C9">
            <w:pPr>
              <w:jc w:val="both"/>
              <w:rPr>
                <w:rFonts w:ascii="Times New Roman" w:eastAsia="Times New Roman" w:hAnsi="Times New Roman" w:cs="Times New Roman"/>
                <w:noProof/>
                <w:sz w:val="16"/>
                <w:szCs w:val="16"/>
              </w:rPr>
            </w:pPr>
            <w:r>
              <w:rPr>
                <w:rFonts w:ascii="Times New Roman" w:hAnsi="Times New Roman"/>
                <w:sz w:val="16"/>
              </w:rPr>
              <w:t>Minētā norma paredz, ka pasažieru prāmjos bīstamus izstrādājumus ierobežotā daudzumā, kas noteikts C pielikumā, drīkst pārvadāt ne vairāk kā 5 pārvadātāji; izņēmums ir noteikts attiecībā uz 2., 3., 4.1., 4.3. un 5.2. klasē ietilpstošajiem izstrādājumiem – tos vienā pasažieru prāmī drīkst pārvadāt ne vairāk kā divi pārvadātāji.</w:t>
            </w:r>
          </w:p>
        </w:tc>
        <w:tc>
          <w:tcPr>
            <w:tcW w:w="1275" w:type="dxa"/>
          </w:tcPr>
          <w:p w14:paraId="39C03BAB" w14:textId="53F43435" w:rsidR="00D532D3" w:rsidRPr="00EF2A1F" w:rsidRDefault="002849D6" w:rsidP="004D11C9">
            <w:pPr>
              <w:jc w:val="both"/>
              <w:rPr>
                <w:rFonts w:ascii="Times New Roman" w:eastAsia="Times New Roman" w:hAnsi="Times New Roman" w:cs="Times New Roman"/>
                <w:noProof/>
                <w:sz w:val="16"/>
                <w:szCs w:val="16"/>
              </w:rPr>
            </w:pPr>
            <w:r>
              <w:rPr>
                <w:rFonts w:ascii="Times New Roman" w:hAnsi="Times New Roman"/>
                <w:sz w:val="16"/>
              </w:rPr>
              <w:t>Nav iespējams noskaidrot šīs normas mērķi. Mūsuprāt, mērķis ir cilvēku un transportlīdzekļu drošība.</w:t>
            </w:r>
          </w:p>
        </w:tc>
        <w:tc>
          <w:tcPr>
            <w:tcW w:w="1418" w:type="dxa"/>
          </w:tcPr>
          <w:p w14:paraId="1EBDE6DD" w14:textId="3A062732" w:rsidR="00D532D3" w:rsidRPr="00EF2A1F" w:rsidRDefault="00EF2A1F" w:rsidP="004D11C9">
            <w:pPr>
              <w:jc w:val="both"/>
              <w:rPr>
                <w:rFonts w:ascii="Times New Roman" w:eastAsia="Times New Roman" w:hAnsi="Times New Roman" w:cs="Times New Roman"/>
                <w:noProof/>
                <w:sz w:val="16"/>
                <w:szCs w:val="16"/>
              </w:rPr>
            </w:pPr>
            <w:r>
              <w:rPr>
                <w:rFonts w:ascii="Times New Roman" w:hAnsi="Times New Roman"/>
                <w:sz w:val="16"/>
              </w:rPr>
              <w:t>Starptautiskajā jūras bīstamo kravu (</w:t>
            </w:r>
            <w:r>
              <w:rPr>
                <w:rFonts w:ascii="Times New Roman" w:hAnsi="Times New Roman"/>
                <w:i/>
                <w:sz w:val="16"/>
              </w:rPr>
              <w:t>IMDG</w:t>
            </w:r>
            <w:r>
              <w:rPr>
                <w:rFonts w:ascii="Times New Roman" w:hAnsi="Times New Roman"/>
                <w:sz w:val="16"/>
              </w:rPr>
              <w:t>) kodeksā ir noteikts, ka ar pasažieru kuģiem drīkst pārvadāt neierobežotu daudzumu. Valsts noteikumi potenciāli var paaugstināt transporta izmaksas un radīt augstākas cenas.</w:t>
            </w:r>
          </w:p>
        </w:tc>
        <w:tc>
          <w:tcPr>
            <w:tcW w:w="1412" w:type="dxa"/>
          </w:tcPr>
          <w:p w14:paraId="764E7AA8" w14:textId="3DD554AD" w:rsidR="00D532D3" w:rsidRPr="00EF2A1F" w:rsidRDefault="00D532D3" w:rsidP="004D11C9">
            <w:pPr>
              <w:jc w:val="both"/>
              <w:rPr>
                <w:rFonts w:ascii="Times New Roman" w:eastAsia="Times New Roman" w:hAnsi="Times New Roman" w:cs="Times New Roman"/>
                <w:noProof/>
                <w:sz w:val="16"/>
                <w:szCs w:val="16"/>
              </w:rPr>
            </w:pPr>
            <w:r>
              <w:rPr>
                <w:rFonts w:ascii="Times New Roman" w:hAnsi="Times New Roman"/>
                <w:sz w:val="16"/>
              </w:rPr>
              <w:t xml:space="preserve">Prezidenta dekrēts ir jāpārskata, ievērojot </w:t>
            </w:r>
            <w:r>
              <w:rPr>
                <w:rFonts w:ascii="Times New Roman" w:hAnsi="Times New Roman"/>
                <w:i/>
                <w:sz w:val="16"/>
              </w:rPr>
              <w:t>IMDG</w:t>
            </w:r>
            <w:r>
              <w:rPr>
                <w:rFonts w:ascii="Times New Roman" w:hAnsi="Times New Roman"/>
                <w:sz w:val="16"/>
              </w:rPr>
              <w:t xml:space="preserve"> noteikumus, un pilnībā jāsaskaņo ar to. Turklāt tas ir tieši jāgroza katru reizi, kad tiek atjaunināts </w:t>
            </w:r>
            <w:r>
              <w:rPr>
                <w:rFonts w:ascii="Times New Roman" w:hAnsi="Times New Roman"/>
                <w:i/>
                <w:sz w:val="16"/>
              </w:rPr>
              <w:t>IMDG</w:t>
            </w:r>
            <w:r>
              <w:rPr>
                <w:rFonts w:ascii="Times New Roman" w:hAnsi="Times New Roman"/>
                <w:sz w:val="16"/>
              </w:rPr>
              <w:t xml:space="preserve"> kodekss, lai nodrošinātu pilnu savstarpēju atbilstību.</w:t>
            </w:r>
          </w:p>
        </w:tc>
      </w:tr>
    </w:tbl>
    <w:p w14:paraId="44822CC5" w14:textId="77777777" w:rsidR="000A6469" w:rsidRPr="004D11C9" w:rsidRDefault="000A6469" w:rsidP="004D11C9">
      <w:pPr>
        <w:jc w:val="both"/>
        <w:rPr>
          <w:rFonts w:ascii="Times New Roman" w:eastAsia="Times New Roman" w:hAnsi="Times New Roman" w:cs="Times New Roman"/>
          <w:noProof/>
          <w:sz w:val="24"/>
        </w:rPr>
      </w:pPr>
    </w:p>
    <w:p w14:paraId="50FC4D18" w14:textId="68FBB6FF" w:rsidR="000A6469" w:rsidRPr="004D11C9" w:rsidRDefault="007D2347" w:rsidP="004D11C9">
      <w:pPr>
        <w:jc w:val="both"/>
        <w:rPr>
          <w:rFonts w:ascii="Times New Roman" w:hAnsi="Times New Roman"/>
          <w:noProof/>
          <w:sz w:val="24"/>
        </w:rPr>
      </w:pPr>
      <w:r>
        <w:rPr>
          <w:rFonts w:ascii="Times New Roman" w:hAnsi="Times New Roman"/>
          <w:noProof/>
          <w:sz w:val="24"/>
        </w:rPr>
        <mc:AlternateContent>
          <mc:Choice Requires="wpg">
            <w:drawing>
              <wp:anchor distT="0" distB="0" distL="114300" distR="114300" simplePos="0" relativeHeight="251699200" behindDoc="0" locked="0" layoutInCell="1" allowOverlap="1" wp14:anchorId="5695A44F" wp14:editId="15A7FF59">
                <wp:simplePos x="0" y="0"/>
                <wp:positionH relativeFrom="page">
                  <wp:posOffset>7680325</wp:posOffset>
                </wp:positionH>
                <wp:positionV relativeFrom="paragraph">
                  <wp:posOffset>-4455795</wp:posOffset>
                </wp:positionV>
                <wp:extent cx="1270" cy="4537075"/>
                <wp:effectExtent l="12700" t="6985" r="5080" b="8890"/>
                <wp:wrapNone/>
                <wp:docPr id="937" name="Group 118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537075"/>
                          <a:chOff x="12095" y="-7017"/>
                          <a:chExt cx="2" cy="7145"/>
                        </a:xfrm>
                      </wpg:grpSpPr>
                      <wps:wsp>
                        <wps:cNvPr id="938" name="Freeform 11887"/>
                        <wps:cNvSpPr>
                          <a:spLocks/>
                        </wps:cNvSpPr>
                        <wps:spPr bwMode="auto">
                          <a:xfrm>
                            <a:off x="12095" y="-7017"/>
                            <a:ext cx="2" cy="7145"/>
                          </a:xfrm>
                          <a:custGeom>
                            <a:avLst/>
                            <a:gdLst>
                              <a:gd name="T0" fmla="+- 0 -7017 -7017"/>
                              <a:gd name="T1" fmla="*/ -7017 h 7145"/>
                              <a:gd name="T2" fmla="+- 0 128 -7017"/>
                              <a:gd name="T3" fmla="*/ 128 h 7145"/>
                            </a:gdLst>
                            <a:ahLst/>
                            <a:cxnLst>
                              <a:cxn ang="0">
                                <a:pos x="0" y="T1"/>
                              </a:cxn>
                              <a:cxn ang="0">
                                <a:pos x="0" y="T3"/>
                              </a:cxn>
                            </a:cxnLst>
                            <a:rect l="0" t="0" r="r" b="b"/>
                            <a:pathLst>
                              <a:path h="7145">
                                <a:moveTo>
                                  <a:pt x="0" y="0"/>
                                </a:moveTo>
                                <a:lnTo>
                                  <a:pt x="0" y="71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1C2AC0" id="Group 11886" o:spid="_x0000_s1026" style="position:absolute;margin-left:604.75pt;margin-top:-350.85pt;width:.1pt;height:357.25pt;z-index:251699200;mso-position-horizontal-relative:page" coordorigin="12095,-7017" coordsize="2,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">
                <v:shape id="Freeform 11887" o:spid="_x0000_s1027" style="position:absolute;left:12095;top:-7017;width:2;height:7145;visibility:visible;mso-wrap-style:square;v-text-anchor:top" coordsize="2,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" path="m,l,7145e" filled="f" strokeweight=".58pt">
                  <v:path arrowok="t" o:connecttype="custom" o:connectlocs="0,-7017;0,128" o:connectangles="0,0"/>
                </v:shape>
                <w10:wrap anchorx="page"/>
              </v:group>
            </w:pict>
          </mc:Fallback>
        </mc:AlternateContent>
      </w:r>
      <w:r>
        <w:rPr>
          <w:rFonts w:ascii="Times New Roman" w:hAnsi="Times New Roman"/>
          <w:sz w:val="24"/>
        </w:rPr>
        <w:t>Avots: ESAO (2014), “OECD Competition Assessment Reviews: Greece. ESAO. Parīze.</w:t>
      </w:r>
    </w:p>
    <w:p w14:paraId="7A266F27" w14:textId="316EEE18" w:rsidR="000A6469" w:rsidRPr="002D6E99" w:rsidRDefault="000A6469" w:rsidP="004D11C9">
      <w:pPr>
        <w:jc w:val="both"/>
        <w:rPr>
          <w:rFonts w:ascii="Times New Roman" w:eastAsia="Arial" w:hAnsi="Times New Roman" w:cs="Arial"/>
          <w:noProof/>
          <w:sz w:val="24"/>
          <w:szCs w:val="16"/>
        </w:rPr>
      </w:pPr>
      <w:r>
        <w:rPr>
          <w:rFonts w:ascii="Times New Roman" w:hAnsi="Times New Roman"/>
          <w:sz w:val="24"/>
        </w:rPr>
        <w:t>http://www.oecd.org/daf/competition/Greece-Competition-Assessment-2013.pdf</w:t>
      </w:r>
    </w:p>
    <w:p w14:paraId="45AE947A" w14:textId="191A8567" w:rsidR="00EF2A1F" w:rsidRDefault="00EF2A1F">
      <w:pPr>
        <w:rPr>
          <w:rFonts w:ascii="Times New Roman" w:eastAsia="Arial" w:hAnsi="Times New Roman" w:cs="Arial"/>
          <w:noProof/>
          <w:sz w:val="24"/>
          <w:szCs w:val="16"/>
        </w:rPr>
      </w:pPr>
      <w:r>
        <w:br w:type="page"/>
      </w:r>
    </w:p>
    <w:p w14:paraId="1B8F925C" w14:textId="6DEEA072" w:rsidR="002D6E99" w:rsidRDefault="002D6E99" w:rsidP="004D11C9">
      <w:pPr>
        <w:jc w:val="both"/>
        <w:rPr>
          <w:rFonts w:ascii="Times New Roman" w:eastAsia="Arial" w:hAnsi="Times New Roman" w:cs="Arial"/>
          <w:noProof/>
          <w:sz w:val="24"/>
          <w:szCs w:val="27"/>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2D6E99" w14:paraId="057DDA69" w14:textId="77777777" w:rsidTr="002D6E99">
        <w:tc>
          <w:tcPr>
            <w:tcW w:w="9062" w:type="dxa"/>
          </w:tcPr>
          <w:p w14:paraId="3F1376A3" w14:textId="77777777" w:rsidR="002D6E99" w:rsidRDefault="002D6E99" w:rsidP="002D6E99">
            <w:pPr>
              <w:jc w:val="both"/>
              <w:rPr>
                <w:rFonts w:ascii="Times New Roman" w:hAnsi="Times New Roman"/>
                <w:b/>
                <w:noProof/>
                <w:sz w:val="24"/>
              </w:rPr>
            </w:pPr>
            <w:r>
              <w:rPr>
                <w:rFonts w:ascii="Times New Roman" w:hAnsi="Times New Roman"/>
                <w:b/>
                <w:sz w:val="24"/>
              </w:rPr>
              <w:t>Detalizēts piemērs.</w:t>
            </w:r>
          </w:p>
          <w:p w14:paraId="56368AF6" w14:textId="6D10CCB2" w:rsidR="002D6E99" w:rsidRPr="002D6E99" w:rsidRDefault="002D6E99" w:rsidP="004D11C9">
            <w:pPr>
              <w:jc w:val="both"/>
              <w:rPr>
                <w:rFonts w:ascii="Times New Roman" w:hAnsi="Times New Roman"/>
                <w:b/>
                <w:noProof/>
                <w:sz w:val="24"/>
              </w:rPr>
            </w:pPr>
            <w:r>
              <w:rPr>
                <w:rFonts w:ascii="Times New Roman" w:hAnsi="Times New Roman"/>
                <w:b/>
                <w:sz w:val="24"/>
              </w:rPr>
              <w:t>Ieteikums</w:t>
            </w:r>
          </w:p>
        </w:tc>
      </w:tr>
      <w:tr w:rsidR="002D6E99" w14:paraId="0CA9A2F4" w14:textId="77777777" w:rsidTr="002D6E99">
        <w:tc>
          <w:tcPr>
            <w:tcW w:w="9062" w:type="dxa"/>
          </w:tcPr>
          <w:p w14:paraId="21493476" w14:textId="77777777" w:rsidR="002D6E99" w:rsidRPr="004D11C9" w:rsidRDefault="002D6E99" w:rsidP="002D6E99">
            <w:pPr>
              <w:jc w:val="both"/>
              <w:rPr>
                <w:rFonts w:ascii="Times New Roman" w:hAnsi="Times New Roman"/>
                <w:i/>
                <w:noProof/>
                <w:sz w:val="24"/>
              </w:rPr>
            </w:pPr>
            <w:r>
              <w:rPr>
                <w:rFonts w:ascii="Times New Roman" w:hAnsi="Times New Roman"/>
                <w:i/>
                <w:sz w:val="24"/>
              </w:rPr>
              <w:t>Šajā ierāmējumā ir turpināts detalizētā piemēra izklāsts, kas tiek izmantots viscaur šajā rokasgrāmatā.</w:t>
            </w:r>
          </w:p>
          <w:p w14:paraId="106E5123" w14:textId="77777777" w:rsidR="002D6E99" w:rsidRPr="004D11C9" w:rsidRDefault="002D6E99" w:rsidP="002D6E99">
            <w:pPr>
              <w:jc w:val="both"/>
              <w:rPr>
                <w:rFonts w:ascii="Times New Roman" w:eastAsia="Arial" w:hAnsi="Times New Roman" w:cs="Arial"/>
                <w:i/>
                <w:noProof/>
                <w:sz w:val="24"/>
                <w:szCs w:val="14"/>
              </w:rPr>
            </w:pPr>
          </w:p>
          <w:p w14:paraId="732B5D04" w14:textId="77777777" w:rsidR="002D6E99" w:rsidRPr="004D11C9" w:rsidRDefault="002D6E99" w:rsidP="002D6E99">
            <w:pPr>
              <w:jc w:val="both"/>
              <w:rPr>
                <w:rFonts w:ascii="Times New Roman" w:eastAsia="Arial" w:hAnsi="Times New Roman" w:cs="Arial"/>
                <w:b/>
                <w:bCs/>
                <w:noProof/>
                <w:sz w:val="24"/>
                <w:szCs w:val="18"/>
              </w:rPr>
            </w:pPr>
            <w:r>
              <w:rPr>
                <w:rFonts w:ascii="Times New Roman" w:hAnsi="Times New Roman"/>
                <w:b/>
                <w:sz w:val="24"/>
              </w:rPr>
              <w:t xml:space="preserve">Pamatojoties uz ministrijas analīzi, valdībai tiek ieteikts izstrādāt piedāvājumu konkursu procedūru attiecībā uz ģeneriskajām zālēm un apvienot to ar </w:t>
            </w:r>
            <w:r>
              <w:rPr>
                <w:rFonts w:ascii="Times New Roman" w:hAnsi="Times New Roman"/>
                <w:b/>
                <w:i/>
                <w:sz w:val="24"/>
              </w:rPr>
              <w:t>NPIP</w:t>
            </w:r>
            <w:r>
              <w:rPr>
                <w:rFonts w:ascii="Times New Roman" w:hAnsi="Times New Roman"/>
                <w:b/>
                <w:sz w:val="24"/>
              </w:rPr>
              <w:t xml:space="preserve"> maksimālās kompensācijas politiku.</w:t>
            </w:r>
          </w:p>
          <w:p w14:paraId="619C5039" w14:textId="77777777" w:rsidR="002D6E99" w:rsidRDefault="002D6E99" w:rsidP="002D6E99">
            <w:pPr>
              <w:jc w:val="both"/>
              <w:rPr>
                <w:rFonts w:ascii="Times New Roman" w:hAnsi="Times New Roman"/>
                <w:b/>
                <w:noProof/>
                <w:sz w:val="24"/>
              </w:rPr>
            </w:pPr>
          </w:p>
          <w:p w14:paraId="44BE7898" w14:textId="77777777" w:rsidR="002D6E99" w:rsidRPr="004D11C9" w:rsidRDefault="002D6E99" w:rsidP="002D6E99">
            <w:pPr>
              <w:jc w:val="both"/>
              <w:rPr>
                <w:rFonts w:ascii="Times New Roman" w:hAnsi="Times New Roman"/>
                <w:b/>
                <w:noProof/>
                <w:sz w:val="24"/>
              </w:rPr>
            </w:pPr>
            <w:r>
              <w:rPr>
                <w:rFonts w:ascii="Times New Roman" w:hAnsi="Times New Roman"/>
                <w:b/>
                <w:sz w:val="24"/>
              </w:rPr>
              <w:t>Pamatojums.</w:t>
            </w:r>
          </w:p>
          <w:p w14:paraId="5A25298C" w14:textId="77777777" w:rsidR="002D6E99" w:rsidRPr="004D11C9" w:rsidRDefault="002D6E99" w:rsidP="002D6E99">
            <w:pPr>
              <w:jc w:val="both"/>
              <w:rPr>
                <w:rFonts w:ascii="Times New Roman" w:eastAsia="Arial" w:hAnsi="Times New Roman" w:cs="Arial"/>
                <w:b/>
                <w:bCs/>
                <w:noProof/>
                <w:sz w:val="24"/>
                <w:szCs w:val="14"/>
              </w:rPr>
            </w:pPr>
          </w:p>
          <w:p w14:paraId="5EB7C0E4" w14:textId="77777777" w:rsidR="002D6E99" w:rsidRPr="004D11C9" w:rsidRDefault="002D6E99" w:rsidP="002D6E99">
            <w:pPr>
              <w:jc w:val="both"/>
              <w:rPr>
                <w:rFonts w:ascii="Times New Roman" w:hAnsi="Times New Roman"/>
                <w:noProof/>
                <w:sz w:val="24"/>
              </w:rPr>
            </w:pPr>
            <w:r>
              <w:rPr>
                <w:rFonts w:ascii="Times New Roman" w:hAnsi="Times New Roman"/>
                <w:sz w:val="24"/>
              </w:rPr>
              <w:t>Piedāvājumu konkursu procedūra sniedz veselības aprūpes sistēmai vislielākos iespējamos izmaksu ietaupījumus. Izmantojot 2011. gada farmaceitisko līdzekļu izmaksas kā slieksni, piedāvājumu konkursi varētu nodrošināt, ka kopējie zāļu izmaksu ietaupījumi pārsniedz 2,9 miljardus ASV dolāru, kas ir par 0,6 miljardiem ASV dolāru vairāk, nekā būtu iespējams sasniegt, izmantojot salīdzinājuma valsts pieeju. Lai gan ir grūti aprēķināt, cik lielus ietaupījumus reālistiski būtu iespējams gūt, piemērojot atgūšanas tiesību pieeju, jo šādi ietaupījumi ir atkarīgi no cenu efekta, konkurences spiediena palielināšanās gadījumos, kad tiek izmantota piedāvājumu konkursu sistēma, un no spējas efektīvi uzraudzīt aptiekām piešķirtās atlaides, paredzams, ka arī tie būs ievērojami mazāki nekā piedāvājumu konkursu sistēmā.</w:t>
            </w:r>
          </w:p>
          <w:p w14:paraId="4A6FCD49" w14:textId="77777777" w:rsidR="002D6E99" w:rsidRDefault="002D6E99" w:rsidP="002D6E99">
            <w:pPr>
              <w:jc w:val="both"/>
              <w:rPr>
                <w:rFonts w:ascii="Times New Roman" w:hAnsi="Times New Roman"/>
                <w:noProof/>
                <w:sz w:val="24"/>
              </w:rPr>
            </w:pPr>
          </w:p>
          <w:p w14:paraId="3E2336EC" w14:textId="77777777" w:rsidR="002D6E99" w:rsidRPr="004D11C9" w:rsidRDefault="002D6E99" w:rsidP="002D6E99">
            <w:pPr>
              <w:jc w:val="both"/>
              <w:rPr>
                <w:rFonts w:ascii="Times New Roman" w:hAnsi="Times New Roman"/>
                <w:noProof/>
                <w:sz w:val="24"/>
              </w:rPr>
            </w:pPr>
            <w:r>
              <w:rPr>
                <w:rFonts w:ascii="Times New Roman" w:hAnsi="Times New Roman"/>
                <w:sz w:val="24"/>
              </w:rPr>
              <w:t>Piedāvājumu konkursu procedūras priekšrocība ir arī tā, ka tiktu atklātas konkurētspējīgas ģenerisko zāļu cenas un aptieku neto ieņēmumi no farmaceitisko līdzekļu izsniegšanas. Attiecīgi tā nodrošinātu skaidrāku pamatu optimālas aptiekas maksas noteikšanai par zāļu izsniegšanu un citiem medicīniskiem pakalpojumiem. Papildu ietaupījumi, kas paredzami no piedāvājumu konkursiem, nodrošinātu arī iespējamu finansējumu farmaceitu funkcijas stiprināšanai veselības aprūpes sistēmā.</w:t>
            </w:r>
          </w:p>
          <w:p w14:paraId="67FEC78F" w14:textId="77777777" w:rsidR="002D6E99" w:rsidRDefault="002D6E99" w:rsidP="002D6E99">
            <w:pPr>
              <w:jc w:val="both"/>
              <w:rPr>
                <w:rFonts w:ascii="Times New Roman" w:hAnsi="Times New Roman"/>
                <w:noProof/>
                <w:sz w:val="24"/>
              </w:rPr>
            </w:pPr>
          </w:p>
          <w:p w14:paraId="343AB242" w14:textId="77777777" w:rsidR="002D6E99" w:rsidRPr="004D11C9" w:rsidRDefault="002D6E99" w:rsidP="002D6E99">
            <w:pPr>
              <w:jc w:val="both"/>
              <w:rPr>
                <w:rFonts w:ascii="Times New Roman" w:hAnsi="Times New Roman"/>
                <w:noProof/>
                <w:sz w:val="24"/>
              </w:rPr>
            </w:pPr>
            <w:r>
              <w:rPr>
                <w:rFonts w:ascii="Times New Roman" w:hAnsi="Times New Roman"/>
                <w:sz w:val="24"/>
              </w:rPr>
              <w:t>Lai ieviestu piedāvājumu konkursu procedūru, būtu jāpārvar daži būtiski šķēršļi. Būtu jāizstrādā efektīva piedāvājumu konkursu procedūra, jāpārstrādā aptieku atalgojums un jāreorganizē ģenerisko zāļu izplatīšanas sistēma. Piedāvājumu konkursu procedūra būtu saistīta arī ar ievērojamām pastāvīgajām izmaksām. Tomēr šīs izmaksas un šķēršļus atsver iespējamie izmaksu ietaupījumi un veselības aprūpes sistēmas ieguvumi, kas paredzami no piedāvājumu konkursu izmantošanas.</w:t>
            </w:r>
          </w:p>
          <w:p w14:paraId="4AD56ABD" w14:textId="77777777" w:rsidR="002D6E99" w:rsidRDefault="002D6E99" w:rsidP="002D6E99">
            <w:pPr>
              <w:jc w:val="both"/>
              <w:rPr>
                <w:rFonts w:ascii="Times New Roman" w:hAnsi="Times New Roman"/>
                <w:noProof/>
                <w:sz w:val="24"/>
              </w:rPr>
            </w:pPr>
          </w:p>
          <w:p w14:paraId="786CA98D" w14:textId="77777777" w:rsidR="002D6E99" w:rsidRPr="004D11C9" w:rsidRDefault="002D6E99" w:rsidP="002D6E99">
            <w:pPr>
              <w:jc w:val="both"/>
              <w:rPr>
                <w:rFonts w:ascii="Times New Roman" w:hAnsi="Times New Roman"/>
                <w:noProof/>
                <w:sz w:val="24"/>
              </w:rPr>
            </w:pPr>
            <w:r>
              <w:rPr>
                <w:rFonts w:ascii="Times New Roman" w:hAnsi="Times New Roman"/>
                <w:sz w:val="24"/>
              </w:rPr>
              <w:t>Galvenais šķērslis konkursa procedūras īstenošanai, visticamāk, būs iesaistīto pušu iebildumi. Īpaši spēcīgi iebildumi sagaidāmi no ģenerisko zāļu piegādātājiem, kuri būs spiesti darboties pastiprinātas konkurences sistēmā. Paredzami arī spēcīgi aptieku nozares iebildumi, kas, iespējams, atkarīgi no pašreizējās kompensācijas sistēmas uzlabojumiem.</w:t>
            </w:r>
          </w:p>
          <w:p w14:paraId="7BB17EB4" w14:textId="77777777" w:rsidR="002D6E99" w:rsidRDefault="002D6E99" w:rsidP="002D6E99">
            <w:pPr>
              <w:jc w:val="both"/>
              <w:rPr>
                <w:rFonts w:ascii="Times New Roman" w:hAnsi="Times New Roman"/>
                <w:noProof/>
                <w:sz w:val="24"/>
              </w:rPr>
            </w:pPr>
          </w:p>
          <w:p w14:paraId="6356C297" w14:textId="77777777" w:rsidR="002D6E99" w:rsidRPr="004D11C9" w:rsidRDefault="002D6E99" w:rsidP="002D6E99">
            <w:pPr>
              <w:jc w:val="both"/>
              <w:rPr>
                <w:rFonts w:ascii="Times New Roman" w:hAnsi="Times New Roman"/>
                <w:noProof/>
                <w:sz w:val="24"/>
              </w:rPr>
            </w:pPr>
            <w:r>
              <w:rPr>
                <w:rFonts w:ascii="Times New Roman" w:hAnsi="Times New Roman"/>
                <w:sz w:val="24"/>
              </w:rPr>
              <w:t>Kā otru labāko variantu ministrija iesaka pieņemt salīdzinājuma valsts cenu griestu pieeju, izmantojot zemu izmaksu salīdzinājuma valstis. Salīdzinājumā ar aptiekām piešķirto atlaižu atgūšanas tiesību pieeju salīdzinājuma valsts pieeja sniegtu noteiktākus izmaksu ietaupījumus. Salīdzinājumā ar piedāvājumu konkursa pieeju vai aptiekām piešķirto atlaižu atgūšanas tiesību pieeju salīdzinājuma valsts cenu griestiem ir nepieciešami mazāki ieviešanas pasākumi, un tie rada mazākas pastāvīgās izmaksas un šķēršļus.</w:t>
            </w:r>
          </w:p>
          <w:p w14:paraId="1273F6CC" w14:textId="77777777" w:rsidR="002D6E99" w:rsidRDefault="002D6E99" w:rsidP="002D6E99">
            <w:pPr>
              <w:jc w:val="both"/>
              <w:rPr>
                <w:rFonts w:ascii="Times New Roman" w:hAnsi="Times New Roman"/>
                <w:noProof/>
                <w:sz w:val="24"/>
              </w:rPr>
            </w:pPr>
          </w:p>
          <w:p w14:paraId="05CF9EB8" w14:textId="77777777" w:rsidR="002D6E99" w:rsidRPr="002D6E99" w:rsidRDefault="002D6E99" w:rsidP="002D6E99">
            <w:pPr>
              <w:jc w:val="both"/>
              <w:rPr>
                <w:rFonts w:ascii="Times New Roman" w:hAnsi="Times New Roman"/>
                <w:noProof/>
                <w:sz w:val="24"/>
              </w:rPr>
            </w:pPr>
            <w:r>
              <w:rPr>
                <w:rFonts w:ascii="Times New Roman" w:hAnsi="Times New Roman"/>
                <w:sz w:val="24"/>
              </w:rPr>
              <w:t xml:space="preserve">Saistībā ar jebkura iepriekš minētā risinājuma īstenošanu ir ieteicams pieņemt maksimālās </w:t>
            </w:r>
            <w:r>
              <w:rPr>
                <w:rFonts w:ascii="Times New Roman" w:hAnsi="Times New Roman"/>
                <w:sz w:val="24"/>
              </w:rPr>
              <w:lastRenderedPageBreak/>
              <w:t xml:space="preserve">kompensācijas politiku </w:t>
            </w:r>
            <w:r>
              <w:rPr>
                <w:rFonts w:ascii="Times New Roman" w:hAnsi="Times New Roman"/>
                <w:i/>
                <w:sz w:val="24"/>
              </w:rPr>
              <w:t>NPIP</w:t>
            </w:r>
            <w:r>
              <w:rPr>
                <w:rFonts w:ascii="Times New Roman" w:hAnsi="Times New Roman"/>
                <w:sz w:val="24"/>
              </w:rPr>
              <w:t xml:space="preserve"> ietvaros, pamatojoties uz ģenerisko zāļu cenu, lai nodrošinātu ģenerisko zāļu augsta līmeņa izsniegšanu. Lai gan šāda politika var saņemt ievērojamus pacientu grupu iebildumus, tā palīdzētu nodrošināt aizstāšanu ar ģeneriskajām zālēm augstā līmenī, vienlaikus saglabājot pacientiem iespēju maksāt par zālēm, kas marķētas ar firmas zīmi, no personīgiem līdzekļiem vai, ja atbilstīgi, no privātās apdrošināšanas līdzekļiem.</w:t>
            </w:r>
          </w:p>
          <w:p w14:paraId="0908AB93" w14:textId="77777777" w:rsidR="002D6E99" w:rsidRPr="004D11C9" w:rsidRDefault="002D6E99" w:rsidP="002D6E99">
            <w:pPr>
              <w:jc w:val="both"/>
              <w:rPr>
                <w:rFonts w:ascii="Times New Roman" w:eastAsia="Times New Roman" w:hAnsi="Times New Roman" w:cs="Times New Roman"/>
                <w:noProof/>
                <w:sz w:val="24"/>
                <w:szCs w:val="20"/>
              </w:rPr>
            </w:pPr>
          </w:p>
          <w:p w14:paraId="4830A152" w14:textId="314A405A" w:rsidR="002D6E99" w:rsidRPr="002D6E99" w:rsidRDefault="002D6E99" w:rsidP="004D11C9">
            <w:pPr>
              <w:jc w:val="both"/>
              <w:rPr>
                <w:rFonts w:ascii="Times New Roman" w:eastAsia="Arial" w:hAnsi="Times New Roman" w:cs="Arial"/>
                <w:noProof/>
                <w:sz w:val="24"/>
                <w:szCs w:val="18"/>
              </w:rPr>
            </w:pPr>
            <w:r>
              <w:rPr>
                <w:rFonts w:ascii="Times New Roman" w:hAnsi="Times New Roman"/>
                <w:sz w:val="24"/>
              </w:rPr>
              <w:t>Salīdzinājumam – obligātas aptieku aizstāšanas pieejas izmantošana, lai veicinātu aizstāšanu ar ģeneriskām zālēm, radītu ievērojamas izpildes izmaksas, un, iespējams, tā saskartos ar spēcīgākiem pacientu grupu iebildumiem. Tādu finanšu stimulu saglabāšana aptiekām, kas veicinātu ģenerisko zāļu izsniegšanu, ievērojami samazinātu neto ieguvumus no konkurētspējīgām ģenerisko zāļu cenām un radītu nepieciešamību izmantot izsniegšanas maksas struktūru, kuras pamatā nav faktisko izmaksu.</w:t>
            </w:r>
          </w:p>
        </w:tc>
      </w:tr>
    </w:tbl>
    <w:p w14:paraId="768E2B20" w14:textId="47195240" w:rsidR="002D6E99" w:rsidRDefault="002D6E99" w:rsidP="004D11C9">
      <w:pPr>
        <w:jc w:val="both"/>
        <w:rPr>
          <w:rFonts w:ascii="Times New Roman" w:eastAsia="Arial" w:hAnsi="Times New Roman" w:cs="Arial"/>
          <w:noProof/>
          <w:sz w:val="24"/>
          <w:szCs w:val="27"/>
        </w:rPr>
      </w:pPr>
    </w:p>
    <w:p w14:paraId="3175432F" w14:textId="0893872E" w:rsidR="002D6E99" w:rsidRDefault="002D6E99">
      <w:pPr>
        <w:rPr>
          <w:rFonts w:ascii="Times New Roman" w:eastAsia="Arial" w:hAnsi="Times New Roman" w:cs="Arial"/>
          <w:noProof/>
          <w:sz w:val="24"/>
          <w:szCs w:val="27"/>
        </w:rPr>
      </w:pPr>
      <w:r>
        <w:br w:type="page"/>
      </w:r>
    </w:p>
    <w:p w14:paraId="00580CE4" w14:textId="77777777" w:rsidR="000A6469" w:rsidRPr="004D11C9" w:rsidRDefault="000A6469" w:rsidP="004D11C9">
      <w:pPr>
        <w:jc w:val="both"/>
        <w:rPr>
          <w:rFonts w:ascii="Times New Roman" w:eastAsia="Times New Roman" w:hAnsi="Times New Roman" w:cs="Times New Roman"/>
          <w:noProof/>
          <w:sz w:val="24"/>
          <w:szCs w:val="26"/>
        </w:rPr>
      </w:pPr>
      <w:bookmarkStart w:id="206" w:name="_bookmark107"/>
      <w:bookmarkEnd w:id="206"/>
    </w:p>
    <w:p w14:paraId="293354F7" w14:textId="69301265" w:rsidR="000A6469" w:rsidRPr="004D11C9" w:rsidRDefault="000A6469" w:rsidP="00887892">
      <w:pPr>
        <w:pStyle w:val="Heading1"/>
        <w:spacing w:before="0"/>
        <w:ind w:left="0"/>
        <w:jc w:val="both"/>
        <w:rPr>
          <w:rFonts w:ascii="Times New Roman" w:hAnsi="Times New Roman"/>
          <w:noProof/>
          <w:sz w:val="24"/>
        </w:rPr>
      </w:pPr>
      <w:bookmarkStart w:id="207" w:name="Chapter_8_Ex_post_evaluation"/>
      <w:bookmarkStart w:id="208" w:name="_bookmark108"/>
      <w:bookmarkStart w:id="209" w:name="_Toc62650499"/>
      <w:bookmarkEnd w:id="207"/>
      <w:bookmarkEnd w:id="208"/>
      <w:r w:rsidRPr="001A796E">
        <w:rPr>
          <w:rFonts w:ascii="Times New Roman" w:hAnsi="Times New Roman"/>
          <w:sz w:val="28"/>
          <w:szCs w:val="56"/>
        </w:rPr>
        <w:t>8. nodaļa</w:t>
      </w:r>
      <w:r w:rsidR="00887892">
        <w:rPr>
          <w:rFonts w:ascii="Times New Roman" w:hAnsi="Times New Roman"/>
          <w:sz w:val="24"/>
        </w:rPr>
        <w:br/>
      </w:r>
      <w:r>
        <w:rPr>
          <w:rFonts w:ascii="Times New Roman" w:hAnsi="Times New Roman"/>
          <w:sz w:val="24"/>
        </w:rPr>
        <w:t>Retrospektīva novērtēšana</w:t>
      </w:r>
      <w:bookmarkEnd w:id="209"/>
    </w:p>
    <w:p w14:paraId="2978FAB6" w14:textId="77777777" w:rsidR="002D6E99" w:rsidRDefault="002D6E99" w:rsidP="004D11C9">
      <w:pPr>
        <w:pStyle w:val="BodyText"/>
        <w:ind w:left="0" w:firstLine="0"/>
        <w:jc w:val="both"/>
        <w:rPr>
          <w:rFonts w:ascii="Times New Roman" w:hAnsi="Times New Roman"/>
          <w:noProof/>
          <w:sz w:val="24"/>
        </w:rPr>
      </w:pPr>
    </w:p>
    <w:p w14:paraId="4B11AA39" w14:textId="36AD17DB"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Konkurences novērtējumu retrospektīva novērtēšana ir jāveic, lai novērtētu, vai pārbaudes procesā izraudzītais risinājums ir radījis paredzēto ietekmi un vai tas ir labākais risinājums. Tas ļauj vērtētājam identificēt visas pieļautās kļūdas un cēloņus, lai varētu uzlabot konkurences novērtēšanas procesu.</w:t>
      </w:r>
    </w:p>
    <w:p w14:paraId="7FBC26EB" w14:textId="77777777" w:rsidR="000A6469" w:rsidRPr="004D11C9" w:rsidRDefault="000A6469" w:rsidP="004D11C9">
      <w:pPr>
        <w:jc w:val="both"/>
        <w:rPr>
          <w:rFonts w:ascii="Times New Roman" w:eastAsia="Arial" w:hAnsi="Times New Roman" w:cs="Arial"/>
          <w:noProof/>
          <w:sz w:val="24"/>
          <w:szCs w:val="20"/>
        </w:rPr>
      </w:pPr>
    </w:p>
    <w:p w14:paraId="702DF9E2" w14:textId="770C628E"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Konkurences novērtējumi neizbēgami ir saistīti ar pieņēmumiem par pārbaudīto politikas alternatīvu iespējamo ietekmi uz konkurenci, tāpēc pastāv zināma neskaidrība par katra risinājuma faktiskajām izmaksām un ieguvumiem. Ir nepieciešams laiks, lai noteiktu, vai izraudzītais risinājums ir bijis vislabākais risinājums attiecīgā mērķa sasniegšanai, vienlaikus kliedējot bažas par konkurences kropļošanu.</w:t>
      </w:r>
    </w:p>
    <w:p w14:paraId="2ED83E53" w14:textId="77777777" w:rsidR="000A6469" w:rsidRPr="004D11C9" w:rsidRDefault="000A6469" w:rsidP="004D11C9">
      <w:pPr>
        <w:jc w:val="both"/>
        <w:rPr>
          <w:rFonts w:ascii="Times New Roman" w:eastAsia="Arial" w:hAnsi="Times New Roman" w:cs="Arial"/>
          <w:noProof/>
          <w:sz w:val="24"/>
          <w:szCs w:val="20"/>
        </w:rPr>
      </w:pPr>
    </w:p>
    <w:p w14:paraId="38DBCD4B" w14:textId="7AA3FB28"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Izraudzītais risinājums var radīt neparedzētas sekas un izraisīt iznākumu, kas atšķiras no sākotnēji prognozētā iznākuma. Iemesls var būt nepabeigta vai nepilnīga analīze vai faktori, ko nav bijis iespējams paredzēt laikā, kad tika veikts kompetences novērtējums. </w:t>
      </w:r>
      <w:r w:rsidR="004D7318">
        <w:rPr>
          <w:rFonts w:ascii="Times New Roman" w:hAnsi="Times New Roman"/>
          <w:i/>
          <w:iCs/>
          <w:sz w:val="24"/>
        </w:rPr>
        <w:t>Ex-post</w:t>
      </w:r>
      <w:r>
        <w:rPr>
          <w:rFonts w:ascii="Times New Roman" w:hAnsi="Times New Roman"/>
          <w:sz w:val="24"/>
        </w:rPr>
        <w:t xml:space="preserve"> novērtēšana ļautu novērotājiem noteikt, vai sākotnējā analīze ir bijusi pilnīga un pareiza. Retrospektīvā novērtēšanā var konstatēt, ka, lai gan sākotnējā analīze ir bijusi pamatota, ņemot vērā pieejamo informāciju, tomēr galīgie rezultāti liecina, ka izraudzītie politikas risinājumi ir jāpārskata.</w:t>
      </w:r>
    </w:p>
    <w:p w14:paraId="635F9999" w14:textId="2136DCE7" w:rsidR="000A6469" w:rsidRDefault="000A6469" w:rsidP="004D11C9">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2D6E99" w14:paraId="38F46A51" w14:textId="77777777" w:rsidTr="002D6E99">
        <w:tc>
          <w:tcPr>
            <w:tcW w:w="9062" w:type="dxa"/>
          </w:tcPr>
          <w:p w14:paraId="5B67D21C" w14:textId="4DD3BC0D" w:rsidR="002D6E99" w:rsidRDefault="002D6E99" w:rsidP="002D6E99">
            <w:pPr>
              <w:jc w:val="center"/>
              <w:rPr>
                <w:rFonts w:ascii="Times New Roman" w:eastAsia="Arial" w:hAnsi="Times New Roman" w:cs="Arial"/>
                <w:noProof/>
                <w:sz w:val="24"/>
                <w:szCs w:val="20"/>
              </w:rPr>
            </w:pPr>
            <w:r>
              <w:rPr>
                <w:rFonts w:ascii="Times New Roman" w:hAnsi="Times New Roman"/>
                <w:b/>
                <w:sz w:val="24"/>
              </w:rPr>
              <w:t>61. ierāmējums. Valsts atbalsta ietekmes novērtēšana</w:t>
            </w:r>
          </w:p>
        </w:tc>
      </w:tr>
      <w:tr w:rsidR="002D6E99" w14:paraId="68F36499" w14:textId="77777777" w:rsidTr="002D6E99">
        <w:tc>
          <w:tcPr>
            <w:tcW w:w="9062" w:type="dxa"/>
          </w:tcPr>
          <w:p w14:paraId="2890757F" w14:textId="77777777" w:rsidR="002D6E99" w:rsidRPr="004D11C9" w:rsidRDefault="002D6E99" w:rsidP="002D6E99">
            <w:pPr>
              <w:jc w:val="both"/>
              <w:rPr>
                <w:rFonts w:ascii="Times New Roman" w:eastAsia="Arial" w:hAnsi="Times New Roman" w:cs="Arial"/>
                <w:noProof/>
                <w:sz w:val="24"/>
                <w:szCs w:val="18"/>
              </w:rPr>
            </w:pPr>
            <w:r>
              <w:rPr>
                <w:rFonts w:ascii="Times New Roman" w:hAnsi="Times New Roman"/>
                <w:sz w:val="24"/>
              </w:rPr>
              <w:t>Eiropas Komisija nesen ir noteikusi jaunas novērtēšanas prasības valsts atbalsta kontroles jomā. Komisija pieprasīs novērtēt virkni atlasītu valsts atbalsta shēmu, lai noteiktu to ietekmi un ļautu uzlabot turpmākās shēmas un, iespējams, turpmākos valsts atbalsta noteikumus.</w:t>
            </w:r>
          </w:p>
          <w:p w14:paraId="48F85BC8" w14:textId="77777777" w:rsidR="002D6E99" w:rsidRPr="004D11C9" w:rsidRDefault="002D6E99" w:rsidP="002D6E99">
            <w:pPr>
              <w:jc w:val="both"/>
              <w:rPr>
                <w:rFonts w:ascii="Times New Roman" w:eastAsia="Arial" w:hAnsi="Times New Roman" w:cs="Arial"/>
                <w:noProof/>
                <w:sz w:val="24"/>
                <w:szCs w:val="20"/>
              </w:rPr>
            </w:pPr>
          </w:p>
          <w:p w14:paraId="7AE5EEE7" w14:textId="6DD5860F" w:rsidR="002D6E99" w:rsidRPr="004D11C9" w:rsidRDefault="002D6E99" w:rsidP="002D6E99">
            <w:pPr>
              <w:jc w:val="both"/>
              <w:rPr>
                <w:rFonts w:ascii="Times New Roman" w:hAnsi="Times New Roman"/>
                <w:noProof/>
                <w:sz w:val="24"/>
              </w:rPr>
            </w:pPr>
            <w:r>
              <w:rPr>
                <w:rFonts w:ascii="Times New Roman" w:hAnsi="Times New Roman"/>
                <w:sz w:val="24"/>
              </w:rPr>
              <w:t xml:space="preserve">It īpaši novērtēšanas mērķis ir iegūt pamatotus pierādījumus, kas palīdzētu atbildēt uz jautājumiem par to, vai atbalsts patiešām ir mainījis saņēmēju </w:t>
            </w:r>
            <w:r w:rsidR="00B75F48">
              <w:rPr>
                <w:rFonts w:ascii="Times New Roman" w:hAnsi="Times New Roman"/>
                <w:sz w:val="24"/>
              </w:rPr>
              <w:t>uzvedību</w:t>
            </w:r>
            <w:r>
              <w:rPr>
                <w:rFonts w:ascii="Times New Roman" w:hAnsi="Times New Roman"/>
                <w:sz w:val="24"/>
              </w:rPr>
              <w:t>, vai atbalsta ietekme uz dažādiem saņēmējiem ir būtiski atšķīrusies, vai atbalsta shēmai ir bijusi plašāka ietekme uz citu uzņēmumu darbību, vai shēma ir veicinājusi vēlamā politikas mērķa sasniegšanu un vai izraudzītais atbalsta veids ir bijis vispiemērotākais atbalsta veids.</w:t>
            </w:r>
          </w:p>
          <w:p w14:paraId="620B1FA8" w14:textId="77777777" w:rsidR="002D6E99" w:rsidRDefault="002D6E99" w:rsidP="002D6E99">
            <w:pPr>
              <w:jc w:val="both"/>
              <w:rPr>
                <w:rFonts w:ascii="Times New Roman" w:hAnsi="Times New Roman"/>
                <w:noProof/>
                <w:sz w:val="24"/>
              </w:rPr>
            </w:pPr>
          </w:p>
          <w:p w14:paraId="139F7FB8" w14:textId="72E1CF3E" w:rsidR="002D6E99" w:rsidRPr="002D6E99" w:rsidRDefault="002D6E99" w:rsidP="004D11C9">
            <w:pPr>
              <w:jc w:val="both"/>
              <w:rPr>
                <w:rFonts w:ascii="Times New Roman" w:hAnsi="Times New Roman"/>
                <w:noProof/>
                <w:sz w:val="24"/>
              </w:rPr>
            </w:pPr>
            <w:r>
              <w:rPr>
                <w:rFonts w:ascii="Times New Roman" w:hAnsi="Times New Roman"/>
                <w:sz w:val="24"/>
              </w:rPr>
              <w:t>Komisija 2014. gada maijā publicēja metodoloģiskās vadlīnijas, kurās aprakstītas svarīgākās metodes hipotētiskās ietekmes novērtēšanai saskaņā ar jaunāko literatūru un labāko praksi starptautiskā līmenī. Vadlīniju dokumentā ir aprakstīti arī novērtējuma plānu galvenie elementi, lai palīdzētu dalībvalstīm sagatavot un veikt savu atbalsta shēmu novērtējumus.</w:t>
            </w:r>
          </w:p>
        </w:tc>
      </w:tr>
    </w:tbl>
    <w:p w14:paraId="7A53B27D" w14:textId="77777777" w:rsidR="000A6469" w:rsidRPr="004D11C9" w:rsidRDefault="000A6469" w:rsidP="004D11C9">
      <w:pPr>
        <w:jc w:val="both"/>
        <w:rPr>
          <w:rFonts w:ascii="Times New Roman" w:eastAsia="Arial" w:hAnsi="Times New Roman" w:cs="Arial"/>
          <w:noProof/>
          <w:sz w:val="24"/>
          <w:szCs w:val="11"/>
        </w:rPr>
      </w:pPr>
      <w:bookmarkStart w:id="210" w:name="_bookmark109"/>
      <w:bookmarkEnd w:id="210"/>
    </w:p>
    <w:p w14:paraId="77F34E02" w14:textId="712ECE0A"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Tāpēc </w:t>
      </w:r>
      <w:r w:rsidR="00B75F48">
        <w:rPr>
          <w:rFonts w:ascii="Times New Roman" w:hAnsi="Times New Roman"/>
          <w:i/>
          <w:iCs/>
          <w:sz w:val="24"/>
        </w:rPr>
        <w:t>ex-post</w:t>
      </w:r>
      <w:r>
        <w:rPr>
          <w:rFonts w:ascii="Times New Roman" w:hAnsi="Times New Roman"/>
          <w:sz w:val="24"/>
        </w:rPr>
        <w:t xml:space="preserve"> novērtējuma mērķis ir noteikt izraudzītā risinājuma faktisko ietekmi uz konkurenci un pārbaudīt, vai tas ir bijis vispiemērotākais risinājums. Ideālajā gadījumā vērtētāji šo pasākumu īstenos, salīdzinot izraudzītā risinājuma iznākumu ar visām alternatīvām, kas tika apsvērtas novērtēšanas brīdī. Tomēr šāda analīze var būt pārāk sarežģīta un laikietilpīga. Tāpēc parasti tiek izraudzīts viens hipotētisks risinājums.</w:t>
      </w:r>
    </w:p>
    <w:p w14:paraId="4C049272" w14:textId="77777777" w:rsidR="000A6469" w:rsidRPr="004D11C9" w:rsidRDefault="000A6469" w:rsidP="004D11C9">
      <w:pPr>
        <w:jc w:val="both"/>
        <w:rPr>
          <w:rFonts w:ascii="Times New Roman" w:eastAsia="Arial" w:hAnsi="Times New Roman" w:cs="Arial"/>
          <w:noProof/>
          <w:sz w:val="24"/>
          <w:szCs w:val="17"/>
        </w:rPr>
      </w:pPr>
    </w:p>
    <w:p w14:paraId="6672F2A8"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Lai nodrošinātu, ka vingrinājums ir vērtīgs un informatīvs, ļoti svarīgi ir pareizi izraudzīties hipotētisko risinājumu. Kā hipotētisko risinājumu izvēlas to risinājumu, kam būtu dota priekšroka, ja netiktu veikts konkurences ietekmes novērtējums. Ja sākotnējais konkurences novērtējums attiecās uz spēkā esošu politiku, kas pēc tam tika mainīta, hipotētiskajam risinājumam jābūt atceltās politikas turpinājumam. Ja savukārt novērtējums attiecas uz jaunu </w:t>
      </w:r>
      <w:r>
        <w:rPr>
          <w:rFonts w:ascii="Times New Roman" w:hAnsi="Times New Roman"/>
          <w:sz w:val="24"/>
        </w:rPr>
        <w:lastRenderedPageBreak/>
        <w:t>politiku, analīzē izraudzītās politikas ietekme ir jāsalīdzina ar sākotnēji ierosinātās politikas ietekmi. Ja tomēr konkurences ietekmes novērtējumā tika izraudzīts tas pats risinājums, kam jau sākotnēji tika dota priekšroka, kā hipotētisko risinājumu izvēlas labāko alternatīvu, kas tajā laikā tika apsvērta.</w:t>
      </w:r>
    </w:p>
    <w:p w14:paraId="62D40FAA" w14:textId="77777777" w:rsidR="000A6469" w:rsidRPr="004D11C9" w:rsidRDefault="000A6469" w:rsidP="004D11C9">
      <w:pPr>
        <w:jc w:val="both"/>
        <w:rPr>
          <w:rFonts w:ascii="Times New Roman" w:eastAsia="Arial" w:hAnsi="Times New Roman" w:cs="Arial"/>
          <w:noProof/>
          <w:sz w:val="24"/>
          <w:szCs w:val="17"/>
        </w:rPr>
      </w:pPr>
    </w:p>
    <w:p w14:paraId="7C69D787" w14:textId="72875012"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Lai nodrošinātu, ka analīze ir neatkarīga un objektīva, </w:t>
      </w:r>
      <w:r w:rsidR="00B75F48">
        <w:rPr>
          <w:rFonts w:ascii="Times New Roman" w:hAnsi="Times New Roman"/>
          <w:i/>
          <w:iCs/>
          <w:sz w:val="24"/>
        </w:rPr>
        <w:t>ex-post</w:t>
      </w:r>
      <w:r>
        <w:rPr>
          <w:rFonts w:ascii="Times New Roman" w:hAnsi="Times New Roman"/>
          <w:sz w:val="24"/>
        </w:rPr>
        <w:t xml:space="preserve"> novērtēšana ir jāveic citai grupai, nevis tai, kas veica sākotnējo konkurences novērtējumu. Tam jānodrošina, ka hipotētiskā risinājuma un turpmākā izvēli neietekmē vēlme vai vajadzība pierādīt, ka sākotnējā novērtējuma procesā ir gūti pareizi secinājumi. Vērtīgas atziņas ir iespējams gūt tikai tad, ja tiek konstatētas reālas kļūdas.</w:t>
      </w:r>
    </w:p>
    <w:p w14:paraId="037E5008" w14:textId="77777777" w:rsidR="000A6469" w:rsidRPr="004D11C9" w:rsidRDefault="000A6469" w:rsidP="004D11C9">
      <w:pPr>
        <w:jc w:val="both"/>
        <w:rPr>
          <w:rFonts w:ascii="Times New Roman" w:eastAsia="Arial" w:hAnsi="Times New Roman" w:cs="Arial"/>
          <w:noProof/>
          <w:sz w:val="24"/>
          <w:szCs w:val="17"/>
        </w:rPr>
      </w:pPr>
    </w:p>
    <w:p w14:paraId="443D57A7" w14:textId="3D2F163F" w:rsidR="000A6469" w:rsidRPr="004D11C9" w:rsidRDefault="00640060" w:rsidP="004D11C9">
      <w:pPr>
        <w:pStyle w:val="BodyText"/>
        <w:ind w:left="0" w:firstLine="0"/>
        <w:jc w:val="both"/>
        <w:rPr>
          <w:rFonts w:ascii="Times New Roman" w:hAnsi="Times New Roman"/>
          <w:noProof/>
          <w:sz w:val="24"/>
        </w:rPr>
      </w:pPr>
      <w:r>
        <w:rPr>
          <w:rFonts w:ascii="Times New Roman" w:hAnsi="Times New Roman"/>
          <w:i/>
          <w:iCs/>
          <w:sz w:val="24"/>
        </w:rPr>
        <w:t>Ex-post</w:t>
      </w:r>
      <w:r w:rsidR="000A6469">
        <w:rPr>
          <w:rFonts w:ascii="Times New Roman" w:hAnsi="Times New Roman"/>
          <w:sz w:val="24"/>
        </w:rPr>
        <w:t xml:space="preserve"> novērtēšanas rezultātus var ietekmēt arī tas, cik ilgs laiks ir aizritējis kopš lēmuma pieņemšanas. No vienas puses, ja ir aizritējis tikai īss laika periods, var nebūt pietiekami daudz datu, lai pareizi novērtētu visas izraudzītā risinājuma sekas. No otras puses, ja aizrit pārāk daudz laika, ietekmi uz politiku ir grūtāk nodalīt no citiem notikumiem, kas varētu būt ietekmējuši nozari. Tas īpaši attiecas uz ļoti dinamiskām un inovatīvām nozarēm. Tāpēc ir jāpanāk līdzsvars starp šīm divām pretēji vērstajām ietekmēm. Mēs iesakām nogaidīt 2–3 gadus pirms </w:t>
      </w:r>
      <w:r>
        <w:rPr>
          <w:rFonts w:ascii="Times New Roman" w:hAnsi="Times New Roman"/>
          <w:i/>
          <w:iCs/>
          <w:sz w:val="24"/>
        </w:rPr>
        <w:t>ex-post</w:t>
      </w:r>
      <w:r w:rsidR="000A6469">
        <w:rPr>
          <w:rFonts w:ascii="Times New Roman" w:hAnsi="Times New Roman"/>
          <w:sz w:val="24"/>
        </w:rPr>
        <w:t xml:space="preserve"> novērtējuma veikšanas.</w:t>
      </w:r>
    </w:p>
    <w:p w14:paraId="005880D5" w14:textId="6CA1D984" w:rsidR="000A6469" w:rsidRPr="004D11C9" w:rsidRDefault="000A6469" w:rsidP="004D11C9">
      <w:pPr>
        <w:jc w:val="both"/>
        <w:rPr>
          <w:rFonts w:ascii="Times New Roman" w:eastAsia="Arial" w:hAnsi="Times New Roman" w:cs="Arial"/>
          <w:noProof/>
          <w:sz w:val="24"/>
          <w:szCs w:val="17"/>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2D6E99" w14:paraId="61B1F3A9" w14:textId="77777777" w:rsidTr="002D6E99">
        <w:tc>
          <w:tcPr>
            <w:tcW w:w="9062" w:type="dxa"/>
          </w:tcPr>
          <w:p w14:paraId="6686EFFF" w14:textId="1C04B781" w:rsidR="002D6E99" w:rsidRPr="002D6E99" w:rsidRDefault="002D6E99" w:rsidP="002D6E99">
            <w:pPr>
              <w:jc w:val="center"/>
              <w:rPr>
                <w:rFonts w:ascii="Times New Roman" w:eastAsia="Arial" w:hAnsi="Times New Roman" w:cs="Arial"/>
                <w:noProof/>
                <w:sz w:val="24"/>
                <w:szCs w:val="20"/>
              </w:rPr>
            </w:pPr>
            <w:r>
              <w:rPr>
                <w:rFonts w:ascii="Times New Roman" w:hAnsi="Times New Roman"/>
                <w:b/>
                <w:sz w:val="24"/>
              </w:rPr>
              <w:t xml:space="preserve">62. ierāmējums. Ieiešanu tirgū ierobežojoša regulējuma atcelšanas </w:t>
            </w:r>
            <w:r w:rsidR="00536E84">
              <w:rPr>
                <w:rFonts w:ascii="Times New Roman" w:hAnsi="Times New Roman"/>
                <w:b/>
                <w:i/>
                <w:iCs/>
                <w:sz w:val="24"/>
              </w:rPr>
              <w:t>ex-post</w:t>
            </w:r>
            <w:r>
              <w:rPr>
                <w:rFonts w:ascii="Times New Roman" w:hAnsi="Times New Roman"/>
                <w:b/>
                <w:sz w:val="24"/>
              </w:rPr>
              <w:t xml:space="preserve"> novērtējums</w:t>
            </w:r>
          </w:p>
        </w:tc>
      </w:tr>
      <w:tr w:rsidR="002D6E99" w14:paraId="04E0920D" w14:textId="77777777" w:rsidTr="002D6E99">
        <w:tc>
          <w:tcPr>
            <w:tcW w:w="9062" w:type="dxa"/>
          </w:tcPr>
          <w:p w14:paraId="1022AFC1" w14:textId="77777777" w:rsidR="002D6E99" w:rsidRPr="004D11C9" w:rsidRDefault="002D6E99" w:rsidP="002D6E99">
            <w:pPr>
              <w:jc w:val="both"/>
              <w:rPr>
                <w:rFonts w:ascii="Times New Roman" w:eastAsia="Arial" w:hAnsi="Times New Roman" w:cs="Arial"/>
                <w:noProof/>
                <w:sz w:val="24"/>
                <w:szCs w:val="18"/>
              </w:rPr>
            </w:pPr>
            <w:r>
              <w:rPr>
                <w:rFonts w:ascii="Times New Roman" w:hAnsi="Times New Roman"/>
                <w:sz w:val="24"/>
              </w:rPr>
              <w:t>Konkrētā nozarē bija spēkā regulējums, kas ļāva jauniem dalībniekiem ieiet tirgū tikai tad, ja tirgū esošie dalībnieki uzskatīja, ka tirgus spēj uzturēt jaunu piegādātāju, un ja bija apstiprinātas tā prasmes un zināšanas. Mērķis bija nodrošināt piegādātāja kvalitātes pārbaudi, lai aizsargātu patērētājus no nedrošiem vai standartam neatbilstošiem pakalpojumiem. Šis regulējums tika atcelts, pamatojoties uz to, ka tas ierobežoja piegādātāju skaitu, tādējādi kropļojot konkurenci, un to pašu rezultātu bija iespējams panākt, ieviešot licencēšanas režīmu.</w:t>
            </w:r>
          </w:p>
          <w:p w14:paraId="1DBD2927" w14:textId="77777777" w:rsidR="002D6E99" w:rsidRDefault="002D6E99" w:rsidP="002D6E99">
            <w:pPr>
              <w:jc w:val="both"/>
              <w:rPr>
                <w:rFonts w:ascii="Times New Roman" w:hAnsi="Times New Roman"/>
                <w:noProof/>
                <w:sz w:val="24"/>
              </w:rPr>
            </w:pPr>
          </w:p>
          <w:p w14:paraId="02DD7510" w14:textId="133C62B6" w:rsidR="002D6E99" w:rsidRPr="002D6E99" w:rsidRDefault="00536E84" w:rsidP="004D11C9">
            <w:pPr>
              <w:jc w:val="both"/>
              <w:rPr>
                <w:rFonts w:ascii="Times New Roman" w:eastAsia="Arial" w:hAnsi="Times New Roman" w:cs="Arial"/>
                <w:noProof/>
                <w:sz w:val="24"/>
                <w:szCs w:val="18"/>
              </w:rPr>
            </w:pPr>
            <w:r>
              <w:rPr>
                <w:rFonts w:ascii="Times New Roman" w:hAnsi="Times New Roman"/>
                <w:i/>
                <w:iCs/>
                <w:sz w:val="24"/>
              </w:rPr>
              <w:t>Ex-post</w:t>
            </w:r>
            <w:r w:rsidR="002D6E99">
              <w:rPr>
                <w:rFonts w:ascii="Times New Roman" w:hAnsi="Times New Roman"/>
                <w:sz w:val="24"/>
              </w:rPr>
              <w:t xml:space="preserve"> novērtējumā jāpārbauda, vai pēc tam, kad tika atcelts ieiešanas tirgū ierobežojums, nozarē piedāvāto pakalpojumu daudzums un daudzveidība ir palielinājusies un/vai to cena ir samazinājusies. Tajā ir jānoskaidro arī tas, vai patērētāji ir cietuši no šīm izmaiņām, piemēram, vai ir palielinājies sūdzību skaits. Licencēšanas režīma rezultāts pēc tam jāsalīdzina ar tirgus apstākļiem, kas būtu pastāvējuši, ja regulējums netiktu atcelts (hipotētiskie apstākļi). Ja nozarē nebūtu notikušas būtiskas izmaiņas, iespējams, hipotētiskais stāvoklis varētu būt nozares stāvoklis pirms intervences. Savukārt, ja izmaiņas ir notikušas, jānovērtē, kas būtu noticis, ja izmaiņas nebūtu notikušas.</w:t>
            </w:r>
          </w:p>
        </w:tc>
      </w:tr>
    </w:tbl>
    <w:p w14:paraId="3401DE2F" w14:textId="77777777" w:rsidR="000A6469" w:rsidRPr="004D11C9" w:rsidRDefault="000A6469" w:rsidP="004D11C9">
      <w:pPr>
        <w:jc w:val="both"/>
        <w:rPr>
          <w:rFonts w:ascii="Times New Roman" w:eastAsia="Arial" w:hAnsi="Times New Roman" w:cs="Arial"/>
          <w:noProof/>
          <w:sz w:val="24"/>
          <w:szCs w:val="10"/>
        </w:rPr>
      </w:pPr>
      <w:bookmarkStart w:id="211" w:name="_bookmark110"/>
      <w:bookmarkEnd w:id="211"/>
    </w:p>
    <w:p w14:paraId="46B581EC"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Hipotētiskā stāvokļa rekonstrukcija neapšaubāmi ir būtiska problēma šāda veida uzdevumā. Patērētāju, piegādātāju vai citu tirgus dalībnieku apsekojumi var palīdzēt iegūt datus un noteikt izmaiņas, kas ir ietekmējušas nozari, bet kas nav regulējuma izmaiņu rezultāts (piemēram, tehnoloģiskais šoks, liela apvienošanās, pieprasījuma kritums u. c.). Ja ir pieejami pietiekami dati, var izmantot regresiju vai citas statistiskas metodes, lai aprēķinātu, kā konkrēti mainīgie lielumi būtu attīstījušies hipotētiskajā scenārijā.</w:t>
      </w:r>
    </w:p>
    <w:p w14:paraId="3C461433" w14:textId="614AB713" w:rsidR="000A6469" w:rsidRDefault="000A6469" w:rsidP="004D11C9">
      <w:pPr>
        <w:jc w:val="both"/>
        <w:rPr>
          <w:rFonts w:ascii="Times New Roman" w:eastAsia="Arial" w:hAnsi="Times New Roman" w:cs="Arial"/>
          <w:noProof/>
          <w:sz w:val="24"/>
          <w:szCs w:val="17"/>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2D6E99" w14:paraId="1B2CCCA9" w14:textId="77777777" w:rsidTr="002D6E99">
        <w:tc>
          <w:tcPr>
            <w:tcW w:w="9062" w:type="dxa"/>
          </w:tcPr>
          <w:p w14:paraId="6EE325C4" w14:textId="7138FCF0" w:rsidR="002D6E99" w:rsidRPr="002D6E99" w:rsidRDefault="002D6E99" w:rsidP="002D6E99">
            <w:pPr>
              <w:jc w:val="center"/>
              <w:rPr>
                <w:rFonts w:ascii="Times New Roman" w:eastAsia="Arial" w:hAnsi="Times New Roman" w:cs="Arial"/>
                <w:noProof/>
                <w:sz w:val="24"/>
                <w:szCs w:val="20"/>
              </w:rPr>
            </w:pPr>
            <w:bookmarkStart w:id="212" w:name="_Hlk62718904"/>
            <w:r>
              <w:rPr>
                <w:rFonts w:ascii="Times New Roman" w:hAnsi="Times New Roman"/>
                <w:b/>
                <w:sz w:val="24"/>
              </w:rPr>
              <w:t xml:space="preserve">63. ierāmējums. </w:t>
            </w:r>
            <w:r w:rsidR="0056161C">
              <w:rPr>
                <w:rFonts w:ascii="Times New Roman" w:hAnsi="Times New Roman"/>
                <w:b/>
                <w:i/>
                <w:iCs/>
                <w:sz w:val="24"/>
              </w:rPr>
              <w:t>Ex-post</w:t>
            </w:r>
            <w:r>
              <w:rPr>
                <w:rFonts w:ascii="Times New Roman" w:hAnsi="Times New Roman"/>
                <w:b/>
                <w:sz w:val="24"/>
              </w:rPr>
              <w:t xml:space="preserve"> novērtējums</w:t>
            </w:r>
            <w:bookmarkEnd w:id="212"/>
          </w:p>
        </w:tc>
      </w:tr>
      <w:tr w:rsidR="002D6E99" w14:paraId="3DBB27DE" w14:textId="77777777" w:rsidTr="002D6E99">
        <w:tc>
          <w:tcPr>
            <w:tcW w:w="9062" w:type="dxa"/>
          </w:tcPr>
          <w:p w14:paraId="47D48C34" w14:textId="77777777" w:rsidR="002D6E99" w:rsidRPr="004D11C9" w:rsidRDefault="002D6E99" w:rsidP="002D6E99">
            <w:pPr>
              <w:jc w:val="both"/>
              <w:rPr>
                <w:rFonts w:ascii="Times New Roman" w:eastAsia="Arial" w:hAnsi="Times New Roman" w:cs="Arial"/>
                <w:noProof/>
                <w:sz w:val="24"/>
                <w:szCs w:val="18"/>
              </w:rPr>
            </w:pPr>
            <w:r>
              <w:rPr>
                <w:rFonts w:ascii="Times New Roman" w:hAnsi="Times New Roman"/>
                <w:b/>
                <w:sz w:val="24"/>
              </w:rPr>
              <w:t>Apvienotās Karalistes tirgus pētījums par aptiekām</w:t>
            </w:r>
          </w:p>
          <w:p w14:paraId="40138EBE" w14:textId="77777777" w:rsidR="002D6E99" w:rsidRPr="004D11C9" w:rsidRDefault="002D6E99" w:rsidP="002D6E99">
            <w:pPr>
              <w:jc w:val="both"/>
              <w:rPr>
                <w:rFonts w:ascii="Times New Roman" w:eastAsia="Arial" w:hAnsi="Times New Roman" w:cs="Arial"/>
                <w:noProof/>
                <w:sz w:val="24"/>
                <w:szCs w:val="14"/>
              </w:rPr>
            </w:pPr>
          </w:p>
          <w:p w14:paraId="4957DF6C" w14:textId="77777777" w:rsidR="002D6E99" w:rsidRPr="004D11C9" w:rsidRDefault="002D6E99" w:rsidP="002D6E99">
            <w:pPr>
              <w:jc w:val="both"/>
              <w:rPr>
                <w:rFonts w:ascii="Times New Roman" w:eastAsia="Arial" w:hAnsi="Times New Roman" w:cs="Arial"/>
                <w:noProof/>
                <w:sz w:val="24"/>
                <w:szCs w:val="18"/>
              </w:rPr>
            </w:pPr>
            <w:r>
              <w:rPr>
                <w:rFonts w:ascii="Times New Roman" w:hAnsi="Times New Roman"/>
                <w:sz w:val="24"/>
              </w:rPr>
              <w:t xml:space="preserve">Apvienotās Karalistes Godīgas tirdzniecības birojs 2010. gadā publicēja sava 2003. gada tirgus pētījuma “Ieiešanas tirgū noteikumu un mazumtirdzniecības aptieku pakalpojumu kontrole Apvienotajā Karalistē” retrospektīvo novērtējumu. Šajā retrospektīvajā novērtējumā tika izvērtēta to darbību ietekme, ko valdība veica, lai īstenotu 2003. gada ieteikumus, kas, kā </w:t>
            </w:r>
            <w:r>
              <w:rPr>
                <w:rFonts w:ascii="Times New Roman" w:hAnsi="Times New Roman"/>
                <w:sz w:val="24"/>
              </w:rPr>
              <w:lastRenderedPageBreak/>
              <w:t>izrādījās, nebija tik plaša kā ieteiktās izmaiņas. Skat. OFT (2010) Evaluating the impact of the 2003 OFT study on the Control of Entry regulations in the retail pharmacies market. (Skat. UK OFT (2013),</w:t>
            </w:r>
          </w:p>
          <w:p w14:paraId="4B230840" w14:textId="77777777" w:rsidR="002D6E99" w:rsidRPr="004D11C9" w:rsidRDefault="002D6E99" w:rsidP="002D6E99">
            <w:pPr>
              <w:jc w:val="both"/>
              <w:rPr>
                <w:rFonts w:ascii="Times New Roman" w:eastAsia="Arial" w:hAnsi="Times New Roman" w:cs="Arial"/>
                <w:noProof/>
                <w:sz w:val="24"/>
                <w:szCs w:val="20"/>
              </w:rPr>
            </w:pPr>
          </w:p>
          <w:p w14:paraId="1A006D2C" w14:textId="77777777" w:rsidR="002D6E99" w:rsidRPr="002D6E99" w:rsidRDefault="002D6E99" w:rsidP="002D6E99">
            <w:pPr>
              <w:jc w:val="both"/>
              <w:rPr>
                <w:rFonts w:ascii="Times New Roman" w:eastAsia="Arial" w:hAnsi="Times New Roman" w:cs="Arial"/>
                <w:noProof/>
                <w:sz w:val="24"/>
                <w:szCs w:val="18"/>
                <w:u w:val="single"/>
              </w:rPr>
            </w:pPr>
            <w:r>
              <w:rPr>
                <w:rFonts w:ascii="Times New Roman" w:hAnsi="Times New Roman"/>
                <w:sz w:val="24"/>
                <w:u w:val="single"/>
              </w:rPr>
              <w:t>http://webarchive.nationalarchives.gov.uk/20140402142426/http://www.oft.gov.uk/shared_oft/reports/Evaluating-OFTs-work/OFT1219.pdf)</w:t>
            </w:r>
          </w:p>
          <w:p w14:paraId="1D68F65F" w14:textId="77777777" w:rsidR="002D6E99" w:rsidRDefault="002D6E99" w:rsidP="002D6E99">
            <w:pPr>
              <w:jc w:val="both"/>
              <w:rPr>
                <w:rFonts w:ascii="Times New Roman" w:hAnsi="Times New Roman"/>
                <w:b/>
                <w:noProof/>
                <w:sz w:val="24"/>
              </w:rPr>
            </w:pPr>
          </w:p>
          <w:p w14:paraId="5EC055A1" w14:textId="77777777" w:rsidR="002D6E99" w:rsidRPr="004D11C9" w:rsidRDefault="002D6E99" w:rsidP="002D6E99">
            <w:pPr>
              <w:jc w:val="both"/>
              <w:rPr>
                <w:rFonts w:ascii="Times New Roman" w:eastAsia="Arial" w:hAnsi="Times New Roman" w:cs="Arial"/>
                <w:noProof/>
                <w:sz w:val="24"/>
                <w:szCs w:val="18"/>
              </w:rPr>
            </w:pPr>
            <w:r>
              <w:rPr>
                <w:rFonts w:ascii="Times New Roman" w:hAnsi="Times New Roman"/>
                <w:b/>
                <w:sz w:val="24"/>
              </w:rPr>
              <w:t>Vācijas tirdzniecības iepakojuma reģenerācijas un otrreizējās pārstrādes analīze</w:t>
            </w:r>
          </w:p>
          <w:p w14:paraId="13A1E765" w14:textId="77777777" w:rsidR="002D6E99" w:rsidRDefault="002D6E99" w:rsidP="002D6E99">
            <w:pPr>
              <w:jc w:val="both"/>
              <w:rPr>
                <w:rFonts w:ascii="Times New Roman" w:eastAsia="Arial" w:hAnsi="Times New Roman" w:cs="Arial"/>
                <w:noProof/>
                <w:sz w:val="24"/>
                <w:szCs w:val="18"/>
              </w:rPr>
            </w:pPr>
          </w:p>
          <w:p w14:paraId="4536C25E" w14:textId="77777777" w:rsidR="002D6E99" w:rsidRPr="004D11C9" w:rsidRDefault="002D6E99" w:rsidP="002D6E99">
            <w:pPr>
              <w:jc w:val="both"/>
              <w:rPr>
                <w:rFonts w:ascii="Times New Roman" w:eastAsia="Arial" w:hAnsi="Times New Roman" w:cs="Arial"/>
                <w:noProof/>
                <w:sz w:val="24"/>
                <w:szCs w:val="18"/>
              </w:rPr>
            </w:pPr>
            <w:r>
              <w:rPr>
                <w:rFonts w:ascii="Times New Roman" w:hAnsi="Times New Roman"/>
                <w:sz w:val="24"/>
              </w:rPr>
              <w:t xml:space="preserve">Federālais karteļu birojs 2012. gada jūlijā uzsāka nozares izmeklēšanu par atbilstības shēmām (“duālās sistēmas”), kurā tika analizēta liberalizācijas ietekme uz privāto galapatērētāju izmestā tirdzniecības iepakojuma reģenerāciju un otrreizēju pārstrādi. Nozares apsekojuma pamatā bija detalizēti dati par 19 gadus ilgu laika posmu. Attiecīgais ziņojums apliecināja, ka liberalizācijas rezultātā atkritumu savākšanas no mājsaimniecībām un pārstrādes kopējās gada izmaksas ir samazinājušās no aptuveni 2 miljardiem eiro līdz mazāk nekā 1 miljardam eiro gadā. (Skat. Bundeskartellamt (2012), </w:t>
            </w:r>
            <w:r>
              <w:rPr>
                <w:rFonts w:ascii="Times New Roman" w:hAnsi="Times New Roman"/>
                <w:sz w:val="24"/>
                <w:u w:val="single"/>
              </w:rPr>
              <w:t>www.bundeskartellamt.de/SharedDocs/Meldung/EN/Pressemitteilungen/2012/03_12_2012_SU-duale-Systeme.html.</w:t>
            </w:r>
          </w:p>
          <w:p w14:paraId="60CB5E39" w14:textId="77777777" w:rsidR="002D6E99" w:rsidRDefault="002D6E99" w:rsidP="002D6E99">
            <w:pPr>
              <w:jc w:val="both"/>
              <w:rPr>
                <w:rFonts w:ascii="Times New Roman" w:hAnsi="Times New Roman"/>
                <w:b/>
                <w:noProof/>
                <w:sz w:val="24"/>
              </w:rPr>
            </w:pPr>
          </w:p>
          <w:p w14:paraId="74EA94E2" w14:textId="77777777" w:rsidR="002D6E99" w:rsidRPr="004D11C9" w:rsidRDefault="002D6E99" w:rsidP="002D6E99">
            <w:pPr>
              <w:jc w:val="both"/>
              <w:rPr>
                <w:rFonts w:ascii="Times New Roman" w:eastAsia="Arial" w:hAnsi="Times New Roman" w:cs="Arial"/>
                <w:noProof/>
                <w:sz w:val="24"/>
                <w:szCs w:val="18"/>
              </w:rPr>
            </w:pPr>
            <w:r>
              <w:rPr>
                <w:rFonts w:ascii="Times New Roman" w:hAnsi="Times New Roman"/>
                <w:b/>
                <w:sz w:val="24"/>
              </w:rPr>
              <w:t>Īrijas pētījums par taksometriem</w:t>
            </w:r>
          </w:p>
          <w:p w14:paraId="665E9CAF" w14:textId="77777777" w:rsidR="002D6E99" w:rsidRDefault="002D6E99" w:rsidP="002D6E99">
            <w:pPr>
              <w:jc w:val="both"/>
              <w:rPr>
                <w:rFonts w:ascii="Times New Roman" w:eastAsia="Arial" w:hAnsi="Times New Roman" w:cs="Arial"/>
                <w:noProof/>
                <w:sz w:val="24"/>
                <w:szCs w:val="18"/>
              </w:rPr>
            </w:pPr>
          </w:p>
          <w:p w14:paraId="20B43DFF" w14:textId="1F7288E5" w:rsidR="002D6E99" w:rsidRPr="002D6E99" w:rsidRDefault="002D6E99" w:rsidP="004D11C9">
            <w:pPr>
              <w:jc w:val="both"/>
              <w:rPr>
                <w:rFonts w:ascii="Times New Roman" w:eastAsia="Arial" w:hAnsi="Times New Roman" w:cs="Arial"/>
                <w:noProof/>
                <w:sz w:val="24"/>
                <w:szCs w:val="18"/>
              </w:rPr>
            </w:pPr>
            <w:r>
              <w:rPr>
                <w:rFonts w:ascii="Times New Roman" w:hAnsi="Times New Roman"/>
                <w:sz w:val="24"/>
              </w:rPr>
              <w:t xml:space="preserve">Īrijas taksometru tirgus 2014. gada pētījumā aplūkota turpmākā tirgus attīstība un ietekme, ko radījusi būtiskā tirgus liberalizācija, kura notika 2000. gadā. (Skat. Paul Gorecki (2014), “Ex-post assessment of government intervention in the taxi market in Ireland: 1978-2014”, </w:t>
            </w:r>
            <w:hyperlink r:id="rId21" w:history="1">
              <w:r>
                <w:rPr>
                  <w:rStyle w:val="Hyperlink"/>
                  <w:rFonts w:ascii="Times New Roman" w:hAnsi="Times New Roman"/>
                  <w:sz w:val="24"/>
                  <w:szCs w:val="18"/>
                </w:rPr>
                <w:t>https://one.oecd.org/document/DAF/COMP/WP2(2014)6/en/pdf</w:t>
              </w:r>
            </w:hyperlink>
          </w:p>
        </w:tc>
      </w:tr>
    </w:tbl>
    <w:p w14:paraId="06468670" w14:textId="77777777" w:rsidR="000A6469" w:rsidRPr="004D11C9" w:rsidRDefault="000A6469" w:rsidP="004D11C9">
      <w:pPr>
        <w:jc w:val="both"/>
        <w:rPr>
          <w:rFonts w:ascii="Times New Roman" w:eastAsia="Arial" w:hAnsi="Times New Roman" w:cs="Arial"/>
          <w:noProof/>
          <w:sz w:val="24"/>
          <w:szCs w:val="7"/>
        </w:rPr>
      </w:pPr>
      <w:bookmarkStart w:id="213" w:name="_bookmark111"/>
      <w:bookmarkEnd w:id="213"/>
    </w:p>
    <w:p w14:paraId="5AA023B8"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Vēl viens sarežģīts jautājums ir tas, kuru pārskatīšanu izraudzīties retrospektīvai novērtēšanai. Ideālā gadījumā retrospektīvs novērtējums būtu jāveic ar noteiktu regularitāti, un tajā galvenā uzmanība jāpievērš sarežģītākiem vai pretrunīgākiem pārskatīšanas pasākumiem.</w:t>
      </w:r>
    </w:p>
    <w:p w14:paraId="0106767A" w14:textId="77777777" w:rsidR="002D6E99" w:rsidRDefault="002D6E99" w:rsidP="004D11C9">
      <w:pPr>
        <w:pStyle w:val="BodyText"/>
        <w:ind w:left="0" w:firstLine="0"/>
        <w:jc w:val="both"/>
        <w:rPr>
          <w:rFonts w:ascii="Times New Roman" w:hAnsi="Times New Roman"/>
          <w:noProof/>
          <w:sz w:val="24"/>
        </w:rPr>
      </w:pPr>
    </w:p>
    <w:p w14:paraId="4C872A0D" w14:textId="2C09ECD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Intervences pasākumi, attiecībā uz kuriem varētu veikt </w:t>
      </w:r>
      <w:r w:rsidR="0056161C">
        <w:rPr>
          <w:rFonts w:ascii="Times New Roman" w:hAnsi="Times New Roman"/>
          <w:i/>
          <w:iCs/>
          <w:sz w:val="24"/>
        </w:rPr>
        <w:t>ex-post</w:t>
      </w:r>
      <w:r>
        <w:rPr>
          <w:rFonts w:ascii="Times New Roman" w:hAnsi="Times New Roman"/>
          <w:sz w:val="24"/>
        </w:rPr>
        <w:t xml:space="preserve"> novērtējumu, ir jānosaka pēc tam, kad ir pabeigta konkurences novērtēšana, lai varētu apkopot datus par tirgu un tā attīstību. Tas atvieglos darbu, kad tiks veikta </w:t>
      </w:r>
      <w:r w:rsidR="002A4A8B">
        <w:rPr>
          <w:rFonts w:ascii="Times New Roman" w:hAnsi="Times New Roman"/>
          <w:i/>
          <w:iCs/>
          <w:sz w:val="24"/>
        </w:rPr>
        <w:t>ex-post</w:t>
      </w:r>
      <w:r>
        <w:rPr>
          <w:rFonts w:ascii="Times New Roman" w:hAnsi="Times New Roman"/>
          <w:sz w:val="24"/>
        </w:rPr>
        <w:t xml:space="preserve"> novērtēšana. Šajā posmā ir jānosaka arī hipotētiskais scenārijs, jo, laikam aizritot, būs grūtāk noteikt, kādi citi iespējamie risinājumi tika apsvērti un noraidīti.</w:t>
      </w:r>
    </w:p>
    <w:p w14:paraId="78651740" w14:textId="4D94F112" w:rsidR="000A6469" w:rsidRDefault="000A6469" w:rsidP="002D6E99">
      <w:pPr>
        <w:tabs>
          <w:tab w:val="left" w:pos="1792"/>
        </w:tabs>
        <w:jc w:val="both"/>
        <w:rPr>
          <w:rFonts w:ascii="Times New Roman" w:eastAsia="Arial" w:hAnsi="Times New Roman" w:cs="Arial"/>
          <w:noProof/>
          <w:sz w:val="24"/>
          <w:szCs w:val="13"/>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2"/>
      </w:tblGrid>
      <w:tr w:rsidR="002D6E99" w14:paraId="3311BE0C" w14:textId="77777777" w:rsidTr="002D6E99">
        <w:tc>
          <w:tcPr>
            <w:tcW w:w="9062" w:type="dxa"/>
          </w:tcPr>
          <w:p w14:paraId="4A40CD53" w14:textId="09259B0A" w:rsidR="002D6E99" w:rsidRPr="002D6E99" w:rsidRDefault="002D6E99" w:rsidP="002D6E99">
            <w:pPr>
              <w:jc w:val="center"/>
              <w:rPr>
                <w:rFonts w:ascii="Times New Roman" w:eastAsia="Arial" w:hAnsi="Times New Roman" w:cs="Arial"/>
                <w:noProof/>
                <w:sz w:val="24"/>
                <w:szCs w:val="20"/>
              </w:rPr>
            </w:pPr>
            <w:r>
              <w:rPr>
                <w:rFonts w:ascii="Times New Roman" w:hAnsi="Times New Roman"/>
                <w:b/>
                <w:sz w:val="24"/>
              </w:rPr>
              <w:t>64. ierāmējums. Austrālija. Retrospektīvā novērtēšana, ja nav veikts iepriekšējs novērtējums</w:t>
            </w:r>
          </w:p>
        </w:tc>
      </w:tr>
      <w:tr w:rsidR="002D6E99" w14:paraId="0F16DF86" w14:textId="77777777" w:rsidTr="002D6E99">
        <w:tc>
          <w:tcPr>
            <w:tcW w:w="9062" w:type="dxa"/>
          </w:tcPr>
          <w:p w14:paraId="770C029D" w14:textId="77777777" w:rsidR="002D6E99" w:rsidRDefault="002D6E99" w:rsidP="002D6E99">
            <w:pPr>
              <w:jc w:val="both"/>
              <w:rPr>
                <w:rFonts w:ascii="Times New Roman" w:hAnsi="Times New Roman"/>
                <w:noProof/>
                <w:sz w:val="24"/>
              </w:rPr>
            </w:pPr>
            <w:r>
              <w:rPr>
                <w:rFonts w:ascii="Times New Roman" w:hAnsi="Times New Roman"/>
                <w:sz w:val="24"/>
              </w:rPr>
              <w:t>Austrālijā ministru prezidents ārkārtējos apstākļos var rakstiski atbrīvot jaunu normatīvo aktu no regulatīvās pārbaudes procesa. Šāds atbrīvojums tiek piešķirts tikai tad, ja:</w:t>
            </w:r>
          </w:p>
          <w:p w14:paraId="22CD3361" w14:textId="77777777" w:rsidR="002D6E99" w:rsidRPr="004D11C9" w:rsidRDefault="002D6E99" w:rsidP="002D6E99">
            <w:pPr>
              <w:jc w:val="both"/>
              <w:rPr>
                <w:rFonts w:ascii="Times New Roman" w:eastAsia="Arial" w:hAnsi="Times New Roman" w:cs="Arial"/>
                <w:noProof/>
                <w:sz w:val="24"/>
                <w:szCs w:val="18"/>
              </w:rPr>
            </w:pPr>
          </w:p>
          <w:p w14:paraId="3538CAE8" w14:textId="77777777" w:rsidR="002D6E99" w:rsidRPr="004D11C9" w:rsidRDefault="002D6E99" w:rsidP="002D6E99">
            <w:pPr>
              <w:jc w:val="both"/>
              <w:rPr>
                <w:rFonts w:ascii="Times New Roman" w:eastAsia="Arial" w:hAnsi="Times New Roman" w:cs="Arial"/>
                <w:noProof/>
                <w:sz w:val="24"/>
                <w:szCs w:val="18"/>
              </w:rPr>
            </w:pPr>
            <w:r>
              <w:rPr>
                <w:rFonts w:ascii="Times New Roman" w:hAnsi="Times New Roman"/>
                <w:i/>
                <w:sz w:val="24"/>
              </w:rPr>
              <w:t>“rodas patiesi steidzami un neparedzēti notikumi, kas nosaka nepieciešamību pieņemt lēmumu, pirms ir iespējams veikt atbilstošu RIS”</w:t>
            </w:r>
            <w:r>
              <w:rPr>
                <w:rFonts w:ascii="Times New Roman" w:hAnsi="Times New Roman"/>
                <w:sz w:val="24"/>
              </w:rPr>
              <w:t>, vai</w:t>
            </w:r>
          </w:p>
          <w:p w14:paraId="5ECD08BC" w14:textId="77777777" w:rsidR="002D6E99" w:rsidRDefault="002D6E99" w:rsidP="002D6E99">
            <w:pPr>
              <w:jc w:val="both"/>
              <w:rPr>
                <w:rFonts w:ascii="Times New Roman" w:eastAsia="Arial" w:hAnsi="Times New Roman" w:cs="Arial"/>
                <w:i/>
                <w:noProof/>
                <w:sz w:val="24"/>
                <w:szCs w:val="18"/>
              </w:rPr>
            </w:pPr>
          </w:p>
          <w:p w14:paraId="7AD5080F" w14:textId="60DBD8D3" w:rsidR="002D6E99" w:rsidRPr="004D11C9" w:rsidRDefault="002D6E99" w:rsidP="002D6E99">
            <w:pPr>
              <w:jc w:val="both"/>
              <w:rPr>
                <w:rFonts w:ascii="Times New Roman" w:eastAsia="Arial" w:hAnsi="Times New Roman" w:cs="Arial"/>
                <w:noProof/>
                <w:sz w:val="24"/>
                <w:szCs w:val="18"/>
              </w:rPr>
            </w:pPr>
            <w:r>
              <w:rPr>
                <w:rFonts w:ascii="Times New Roman" w:hAnsi="Times New Roman"/>
                <w:i/>
                <w:sz w:val="24"/>
              </w:rPr>
              <w:t xml:space="preserve">“ja runa ir par budžetu vai citu jutīgu jautājumu un pāragrs paziņojums (pat par iespējamajiem risinājumiem) var radīt neparedzētu ietekmi tirgū vai </w:t>
            </w:r>
            <w:r w:rsidR="00C37DCB">
              <w:rPr>
                <w:rFonts w:ascii="Times New Roman" w:hAnsi="Times New Roman"/>
                <w:i/>
                <w:sz w:val="24"/>
              </w:rPr>
              <w:t>novest pie spekulatīvas uzvedības</w:t>
            </w:r>
            <w:r>
              <w:rPr>
                <w:rFonts w:ascii="Times New Roman" w:hAnsi="Times New Roman"/>
                <w:i/>
                <w:sz w:val="24"/>
              </w:rPr>
              <w:t>, kas būtu pretrunā valsts interesēm”.</w:t>
            </w:r>
          </w:p>
          <w:p w14:paraId="59A319A4" w14:textId="77777777" w:rsidR="002D6E99" w:rsidRDefault="002D6E99" w:rsidP="002D6E99">
            <w:pPr>
              <w:jc w:val="both"/>
              <w:rPr>
                <w:rFonts w:ascii="Times New Roman" w:eastAsia="Arial" w:hAnsi="Times New Roman" w:cs="Arial"/>
                <w:noProof/>
                <w:sz w:val="24"/>
                <w:szCs w:val="18"/>
              </w:rPr>
            </w:pPr>
          </w:p>
          <w:p w14:paraId="611B7B86" w14:textId="77777777" w:rsidR="002D6E99" w:rsidRPr="004D11C9" w:rsidRDefault="002D6E99" w:rsidP="002D6E99">
            <w:pPr>
              <w:jc w:val="both"/>
              <w:rPr>
                <w:rFonts w:ascii="Times New Roman" w:eastAsia="Arial" w:hAnsi="Times New Roman" w:cs="Arial"/>
                <w:noProof/>
                <w:sz w:val="24"/>
                <w:szCs w:val="18"/>
              </w:rPr>
            </w:pPr>
            <w:r>
              <w:rPr>
                <w:rFonts w:ascii="Times New Roman" w:hAnsi="Times New Roman"/>
                <w:sz w:val="24"/>
              </w:rPr>
              <w:t>Kad tiek piešķirts šāds ministru prezidenta atbrīvojums, attiecībā uz regulējumu, kam tas tika piešķirts, ir jāveic “pēcīstenošanas pārskatīšana”.</w:t>
            </w:r>
          </w:p>
          <w:p w14:paraId="765EA070" w14:textId="77777777" w:rsidR="002D6E99" w:rsidRDefault="002D6E99" w:rsidP="002D6E99">
            <w:pPr>
              <w:jc w:val="both"/>
              <w:rPr>
                <w:rFonts w:ascii="Times New Roman" w:hAnsi="Times New Roman"/>
                <w:i/>
                <w:noProof/>
                <w:sz w:val="24"/>
              </w:rPr>
            </w:pPr>
          </w:p>
          <w:p w14:paraId="4AB4A47B" w14:textId="0C5E8D1D" w:rsidR="002D6E99" w:rsidRPr="002D6E99" w:rsidRDefault="002D6E99" w:rsidP="002D6E99">
            <w:pPr>
              <w:jc w:val="both"/>
              <w:rPr>
                <w:rFonts w:ascii="Times New Roman" w:eastAsia="Arial" w:hAnsi="Times New Roman" w:cs="Arial"/>
                <w:noProof/>
                <w:sz w:val="24"/>
                <w:szCs w:val="17"/>
              </w:rPr>
            </w:pPr>
            <w:r>
              <w:rPr>
                <w:rFonts w:ascii="Times New Roman" w:hAnsi="Times New Roman"/>
                <w:i/>
                <w:sz w:val="24"/>
              </w:rPr>
              <w:t>Avots</w:t>
            </w:r>
            <w:r>
              <w:rPr>
                <w:rFonts w:ascii="Times New Roman" w:hAnsi="Times New Roman"/>
                <w:sz w:val="24"/>
              </w:rPr>
              <w:t>: Austrālijas valdība (2013).</w:t>
            </w:r>
          </w:p>
        </w:tc>
      </w:tr>
    </w:tbl>
    <w:p w14:paraId="65F121FE" w14:textId="6EB20109" w:rsidR="002D6E99" w:rsidRDefault="002D6E99" w:rsidP="002D6E99">
      <w:pPr>
        <w:tabs>
          <w:tab w:val="left" w:pos="1792"/>
        </w:tabs>
        <w:jc w:val="both"/>
        <w:rPr>
          <w:rFonts w:ascii="Times New Roman" w:eastAsia="Arial" w:hAnsi="Times New Roman" w:cs="Arial"/>
          <w:noProof/>
          <w:sz w:val="24"/>
          <w:szCs w:val="13"/>
        </w:rPr>
      </w:pPr>
    </w:p>
    <w:p w14:paraId="3DDEA876" w14:textId="22584EFA" w:rsidR="002D6E99" w:rsidRDefault="002D6E99">
      <w:pPr>
        <w:rPr>
          <w:rFonts w:ascii="Times New Roman" w:eastAsia="Arial" w:hAnsi="Times New Roman" w:cs="Arial"/>
          <w:noProof/>
          <w:sz w:val="24"/>
          <w:szCs w:val="13"/>
        </w:rPr>
      </w:pPr>
      <w:r>
        <w:br w:type="page"/>
      </w:r>
    </w:p>
    <w:p w14:paraId="38AAAB97" w14:textId="77777777" w:rsidR="000A6469" w:rsidRPr="004D11C9" w:rsidRDefault="000A6469" w:rsidP="004D11C9">
      <w:pPr>
        <w:jc w:val="both"/>
        <w:rPr>
          <w:rFonts w:ascii="Times New Roman" w:eastAsia="Arial" w:hAnsi="Times New Roman" w:cs="Arial"/>
          <w:noProof/>
          <w:sz w:val="24"/>
          <w:szCs w:val="20"/>
        </w:rPr>
      </w:pPr>
      <w:bookmarkStart w:id="214" w:name="_bookmark112"/>
      <w:bookmarkEnd w:id="214"/>
    </w:p>
    <w:p w14:paraId="0685992C" w14:textId="562879F8" w:rsidR="000A6469" w:rsidRPr="001A796E" w:rsidRDefault="000A6469" w:rsidP="004D11C9">
      <w:pPr>
        <w:pStyle w:val="Heading1"/>
        <w:spacing w:before="0"/>
        <w:ind w:left="0"/>
        <w:jc w:val="both"/>
        <w:rPr>
          <w:rFonts w:ascii="Times New Roman" w:hAnsi="Times New Roman"/>
          <w:noProof/>
          <w:sz w:val="28"/>
          <w:szCs w:val="56"/>
        </w:rPr>
      </w:pPr>
      <w:bookmarkStart w:id="215" w:name="References"/>
      <w:bookmarkStart w:id="216" w:name="_bookmark113"/>
      <w:bookmarkStart w:id="217" w:name="_Toc62650500"/>
      <w:bookmarkEnd w:id="215"/>
      <w:bookmarkEnd w:id="216"/>
      <w:r w:rsidRPr="001A796E">
        <w:rPr>
          <w:rFonts w:ascii="Times New Roman" w:hAnsi="Times New Roman"/>
          <w:sz w:val="28"/>
          <w:szCs w:val="56"/>
        </w:rPr>
        <w:t>Atsauces</w:t>
      </w:r>
      <w:bookmarkEnd w:id="217"/>
    </w:p>
    <w:p w14:paraId="4E51F43E" w14:textId="77777777" w:rsidR="000A6469" w:rsidRPr="004D11C9" w:rsidRDefault="000A6469" w:rsidP="004D11C9">
      <w:pPr>
        <w:jc w:val="both"/>
        <w:rPr>
          <w:rFonts w:ascii="Times New Roman" w:eastAsia="Arial" w:hAnsi="Times New Roman" w:cs="Arial"/>
          <w:b/>
          <w:bCs/>
          <w:noProof/>
          <w:sz w:val="24"/>
          <w:szCs w:val="63"/>
        </w:rPr>
      </w:pPr>
    </w:p>
    <w:p w14:paraId="3913BE66" w14:textId="7C716790"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Albæk, S., P. Møllgaard, un P. B. Overgaard (1997), Government-Assisted Oligopoly Coordination? A </w:t>
      </w:r>
      <w:r>
        <w:rPr>
          <w:rFonts w:ascii="Times New Roman" w:hAnsi="Times New Roman"/>
          <w:i/>
          <w:sz w:val="24"/>
        </w:rPr>
        <w:t xml:space="preserve">Concrete </w:t>
      </w:r>
      <w:r>
        <w:rPr>
          <w:rFonts w:ascii="Times New Roman" w:hAnsi="Times New Roman"/>
          <w:sz w:val="24"/>
        </w:rPr>
        <w:t xml:space="preserve">Case, The Journal of Industrial Economics, 45: 429.–443. lpp., </w:t>
      </w:r>
      <w:r>
        <w:rPr>
          <w:rFonts w:ascii="Times New Roman" w:hAnsi="Times New Roman"/>
          <w:sz w:val="24"/>
          <w:u w:val="single"/>
        </w:rPr>
        <w:t>https://onlinelibrary.wiley.com/doi/abs/10.1111/1467-6451.00057</w:t>
      </w:r>
    </w:p>
    <w:p w14:paraId="457C1AA8" w14:textId="77777777" w:rsidR="000A6469" w:rsidRPr="004D11C9" w:rsidRDefault="000A6469" w:rsidP="004D11C9">
      <w:pPr>
        <w:jc w:val="both"/>
        <w:rPr>
          <w:rFonts w:ascii="Times New Roman" w:eastAsia="Arial" w:hAnsi="Times New Roman" w:cs="Arial"/>
          <w:noProof/>
          <w:sz w:val="24"/>
          <w:szCs w:val="14"/>
        </w:rPr>
      </w:pPr>
    </w:p>
    <w:p w14:paraId="4517836F" w14:textId="3998DBA2"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Australian Government (2013), “Best Practice Regulation Handbook”, 2013. gada jūlijs, C papildinājums “Exemptions from the RIS process and other special circumstances” </w:t>
      </w:r>
      <w:r>
        <w:rPr>
          <w:rFonts w:ascii="Times New Roman" w:hAnsi="Times New Roman"/>
          <w:sz w:val="24"/>
          <w:u w:val="single"/>
        </w:rPr>
        <w:t>http://rogerscarlisle.com/wp-content/uploads/2014/02/Fed%20obpr-handbook%20July%202013.pdf</w:t>
      </w:r>
    </w:p>
    <w:p w14:paraId="321A2273" w14:textId="77777777" w:rsidR="000A6469" w:rsidRPr="004D11C9" w:rsidRDefault="000A6469" w:rsidP="004D11C9">
      <w:pPr>
        <w:jc w:val="both"/>
        <w:rPr>
          <w:rFonts w:ascii="Times New Roman" w:eastAsia="Arial" w:hAnsi="Times New Roman" w:cs="Arial"/>
          <w:noProof/>
          <w:sz w:val="24"/>
          <w:szCs w:val="14"/>
        </w:rPr>
      </w:pPr>
    </w:p>
    <w:p w14:paraId="2FA8698C"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Brunet, E., L. Guérin-Schneider un F. Bonnet (2002), “Impact of a new legislation on the water market and competition in France”, ENGREF Working Paper.</w:t>
      </w:r>
    </w:p>
    <w:p w14:paraId="6AE5FC8B" w14:textId="77777777" w:rsidR="000A6469" w:rsidRPr="004D11C9" w:rsidRDefault="000A6469" w:rsidP="004D11C9">
      <w:pPr>
        <w:jc w:val="both"/>
        <w:rPr>
          <w:rFonts w:ascii="Times New Roman" w:eastAsia="Arial" w:hAnsi="Times New Roman" w:cs="Arial"/>
          <w:noProof/>
          <w:sz w:val="24"/>
          <w:szCs w:val="20"/>
        </w:rPr>
      </w:pPr>
    </w:p>
    <w:p w14:paraId="141654CA" w14:textId="382EB862"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Bundeskartellamt (2012), “Bundeskartellamt presents results of its sector inquiry into compliance schemes - liberalisation reduces costs of packaging disposal by one billion euros per year”, paziņojums presei, </w:t>
      </w:r>
      <w:r>
        <w:rPr>
          <w:rFonts w:ascii="Times New Roman" w:hAnsi="Times New Roman"/>
          <w:sz w:val="24"/>
          <w:u w:val="single"/>
        </w:rPr>
        <w:t>www.bundeskartellamt.de/SharedDocs/Meldung/EN/Pressemitteilungen/2012/03_12_2012_SU-duale-Systeme.html</w:t>
      </w:r>
    </w:p>
    <w:p w14:paraId="37BF7943" w14:textId="77777777" w:rsidR="000A6469" w:rsidRPr="004D11C9" w:rsidRDefault="000A6469" w:rsidP="004D11C9">
      <w:pPr>
        <w:jc w:val="both"/>
        <w:rPr>
          <w:rFonts w:ascii="Times New Roman" w:eastAsia="Arial" w:hAnsi="Times New Roman" w:cs="Arial"/>
          <w:noProof/>
          <w:sz w:val="24"/>
          <w:szCs w:val="14"/>
        </w:rPr>
      </w:pPr>
    </w:p>
    <w:p w14:paraId="479BDBCD"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House of Commons Canada (2005), “Air Liberalization and the Canadian Airport System, Commissioner of Competitionresponse to information request by the House of Commons Standing Committee on Transport”, (2005. gada maijs),</w:t>
      </w:r>
    </w:p>
    <w:p w14:paraId="414C26DB" w14:textId="73645BF8" w:rsidR="000A6469" w:rsidRPr="00593F7A" w:rsidRDefault="000A6469" w:rsidP="004D11C9">
      <w:pPr>
        <w:pStyle w:val="BodyText"/>
        <w:ind w:left="0" w:firstLine="0"/>
        <w:jc w:val="both"/>
        <w:rPr>
          <w:rFonts w:ascii="Times New Roman" w:hAnsi="Times New Roman"/>
          <w:noProof/>
          <w:sz w:val="24"/>
          <w:u w:val="single"/>
        </w:rPr>
      </w:pPr>
      <w:r>
        <w:rPr>
          <w:rFonts w:ascii="Times New Roman" w:hAnsi="Times New Roman"/>
          <w:sz w:val="24"/>
          <w:u w:val="single"/>
        </w:rPr>
        <w:t>http://www.ourcommons.ca/Content/Committee/381/TRAN/Reports/RP1858323/TRAN_Rpt04/TRAN_Rpt04-e.pdf</w:t>
      </w:r>
    </w:p>
    <w:p w14:paraId="217B822B" w14:textId="77777777" w:rsidR="000A6469" w:rsidRPr="004D11C9" w:rsidRDefault="000A6469" w:rsidP="004D11C9">
      <w:pPr>
        <w:jc w:val="both"/>
        <w:rPr>
          <w:rFonts w:ascii="Times New Roman" w:eastAsia="Arial" w:hAnsi="Times New Roman" w:cs="Arial"/>
          <w:noProof/>
          <w:sz w:val="24"/>
          <w:szCs w:val="14"/>
        </w:rPr>
      </w:pPr>
    </w:p>
    <w:p w14:paraId="1A3D6099" w14:textId="181ECF5D"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Eiropas Komisija (2013), State aid: the Commission approves the restructuring plan for the PSA Peugeot Citroën group, paziņojums presei, </w:t>
      </w:r>
      <w:r>
        <w:rPr>
          <w:rFonts w:ascii="Times New Roman" w:hAnsi="Times New Roman"/>
          <w:sz w:val="24"/>
          <w:u w:val="single"/>
        </w:rPr>
        <w:t>http://europa.eu/rapid/press-release_IP-13-757_en.htm</w:t>
      </w:r>
    </w:p>
    <w:p w14:paraId="1B3CE325" w14:textId="77777777" w:rsidR="000A6469" w:rsidRPr="004D11C9" w:rsidRDefault="000A6469" w:rsidP="004D11C9">
      <w:pPr>
        <w:jc w:val="both"/>
        <w:rPr>
          <w:rFonts w:ascii="Times New Roman" w:eastAsia="Arial" w:hAnsi="Times New Roman" w:cs="Arial"/>
          <w:noProof/>
          <w:sz w:val="24"/>
          <w:szCs w:val="21"/>
        </w:rPr>
      </w:pPr>
    </w:p>
    <w:p w14:paraId="09E2D47E" w14:textId="09414B46"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Eiropas Komisija (2014), Competition policy brief, 9. izdevums, 2014. gada jūnijs, </w:t>
      </w:r>
      <w:r>
        <w:rPr>
          <w:rFonts w:ascii="Times New Roman" w:hAnsi="Times New Roman"/>
          <w:sz w:val="24"/>
          <w:u w:val="single"/>
        </w:rPr>
        <w:t>http://ec.europa.eu/competition/publications/cpb/2014/009_en.pdf</w:t>
      </w:r>
    </w:p>
    <w:p w14:paraId="5DFE9547" w14:textId="77777777" w:rsidR="000A6469" w:rsidRPr="004D11C9" w:rsidRDefault="000A6469" w:rsidP="004D11C9">
      <w:pPr>
        <w:jc w:val="both"/>
        <w:rPr>
          <w:rFonts w:ascii="Times New Roman" w:eastAsia="Arial" w:hAnsi="Times New Roman" w:cs="Arial"/>
          <w:noProof/>
          <w:sz w:val="24"/>
          <w:szCs w:val="14"/>
        </w:rPr>
      </w:pPr>
    </w:p>
    <w:p w14:paraId="0AB1A4C8" w14:textId="6C292729"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French Government (2004), « Arrêté du 18 novembre 2004 relatif aux travaux de sécurité à réaliser dans les installations d'ascenseurs », </w:t>
      </w:r>
      <w:r>
        <w:rPr>
          <w:rFonts w:ascii="Times New Roman" w:hAnsi="Times New Roman"/>
          <w:sz w:val="24"/>
          <w:u w:val="single"/>
        </w:rPr>
        <w:t>www.legifrance.gouv.fr/affichTexte.do?cidTexte=LEGITEXT000005894844</w:t>
      </w:r>
    </w:p>
    <w:p w14:paraId="5C0B33EB" w14:textId="77777777" w:rsidR="000A6469" w:rsidRPr="004D11C9" w:rsidRDefault="000A6469" w:rsidP="004D11C9">
      <w:pPr>
        <w:jc w:val="both"/>
        <w:rPr>
          <w:rFonts w:ascii="Times New Roman" w:eastAsia="Arial" w:hAnsi="Times New Roman" w:cs="Arial"/>
          <w:noProof/>
          <w:sz w:val="24"/>
          <w:szCs w:val="14"/>
        </w:rPr>
      </w:pPr>
    </w:p>
    <w:p w14:paraId="34D39F1B"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Genakos C., P. Koutroumpis un M. Pagliero (2014), “The Impact of Markup Regulation on Prices”,</w:t>
      </w:r>
    </w:p>
    <w:p w14:paraId="358B9564" w14:textId="34919F48" w:rsidR="000A6469" w:rsidRPr="00593F7A" w:rsidRDefault="000A6469" w:rsidP="004D11C9">
      <w:pPr>
        <w:pStyle w:val="BodyText"/>
        <w:ind w:left="0" w:firstLine="0"/>
        <w:jc w:val="both"/>
        <w:rPr>
          <w:rFonts w:ascii="Times New Roman" w:hAnsi="Times New Roman"/>
          <w:noProof/>
          <w:sz w:val="24"/>
          <w:u w:val="single"/>
        </w:rPr>
      </w:pPr>
      <w:r>
        <w:rPr>
          <w:rFonts w:ascii="Times New Roman" w:hAnsi="Times New Roman"/>
          <w:sz w:val="24"/>
          <w:u w:val="single"/>
        </w:rPr>
        <w:t>https://one.oecd.org/document/DAF/COMP/WP2(2014)4/en/pdf</w:t>
      </w:r>
    </w:p>
    <w:p w14:paraId="46EEFB37" w14:textId="77777777" w:rsidR="000A6469" w:rsidRPr="004D11C9" w:rsidRDefault="000A6469" w:rsidP="004D11C9">
      <w:pPr>
        <w:jc w:val="both"/>
        <w:rPr>
          <w:rFonts w:ascii="Times New Roman" w:eastAsia="Arial" w:hAnsi="Times New Roman" w:cs="Arial"/>
          <w:noProof/>
          <w:sz w:val="24"/>
          <w:szCs w:val="14"/>
        </w:rPr>
      </w:pPr>
    </w:p>
    <w:p w14:paraId="5928374F" w14:textId="36046F23" w:rsidR="000A6469" w:rsidRPr="00593F7A" w:rsidRDefault="000A6469" w:rsidP="004D11C9">
      <w:pPr>
        <w:pStyle w:val="BodyText"/>
        <w:ind w:left="0" w:firstLine="0"/>
        <w:jc w:val="both"/>
        <w:rPr>
          <w:rFonts w:ascii="Times New Roman" w:hAnsi="Times New Roman"/>
          <w:noProof/>
          <w:sz w:val="24"/>
          <w:u w:val="single"/>
        </w:rPr>
      </w:pPr>
      <w:r>
        <w:rPr>
          <w:rFonts w:ascii="Times New Roman" w:hAnsi="Times New Roman"/>
          <w:sz w:val="24"/>
        </w:rPr>
        <w:t xml:space="preserve">Gorecki, P. (2014), “Ex-post assessment of government intervention in the taxi market in Ireland: 1978-2014”, </w:t>
      </w:r>
      <w:r>
        <w:rPr>
          <w:rFonts w:ascii="Times New Roman" w:hAnsi="Times New Roman"/>
          <w:sz w:val="24"/>
          <w:u w:val="single"/>
        </w:rPr>
        <w:t>https://one.oecd.org/document/DAF/COMP/WP2(2014)6/en/pdf</w:t>
      </w:r>
    </w:p>
    <w:p w14:paraId="76DEB2BA" w14:textId="77777777" w:rsidR="000A6469" w:rsidRPr="004D11C9" w:rsidRDefault="000A6469" w:rsidP="004D11C9">
      <w:pPr>
        <w:jc w:val="both"/>
        <w:rPr>
          <w:rFonts w:ascii="Times New Roman" w:eastAsia="Arial" w:hAnsi="Times New Roman" w:cs="Arial"/>
          <w:noProof/>
          <w:sz w:val="24"/>
          <w:szCs w:val="14"/>
        </w:rPr>
      </w:pPr>
    </w:p>
    <w:p w14:paraId="587B9263" w14:textId="1F378955"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Keeler, T. (1972), “Airline regulation and market performance”, Bell Journal of Economics and Management Science, 399.-424. lpp., </w:t>
      </w:r>
      <w:r>
        <w:rPr>
          <w:rFonts w:ascii="Times New Roman" w:hAnsi="Times New Roman"/>
          <w:sz w:val="24"/>
          <w:u w:val="single"/>
        </w:rPr>
        <w:t>www.jstor.org/stable/3003030</w:t>
      </w:r>
    </w:p>
    <w:p w14:paraId="17ABD3E2" w14:textId="77777777" w:rsidR="000A6469" w:rsidRPr="004D11C9" w:rsidRDefault="000A6469" w:rsidP="004D11C9">
      <w:pPr>
        <w:jc w:val="both"/>
        <w:rPr>
          <w:rFonts w:ascii="Times New Roman" w:eastAsia="Arial" w:hAnsi="Times New Roman" w:cs="Arial"/>
          <w:noProof/>
          <w:sz w:val="24"/>
          <w:szCs w:val="14"/>
        </w:rPr>
      </w:pPr>
    </w:p>
    <w:p w14:paraId="35EC3881" w14:textId="01D049A8"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Kleiner, M. (2014) “Why license a florist?”, 28. maijs, New York Times. </w:t>
      </w:r>
      <w:r>
        <w:rPr>
          <w:rFonts w:ascii="Times New Roman" w:hAnsi="Times New Roman"/>
          <w:sz w:val="24"/>
          <w:u w:val="single"/>
        </w:rPr>
        <w:t>http://www.nytimes.com/2014/05/29/opinion/why-license-a-florist.html?emc=eta1</w:t>
      </w:r>
    </w:p>
    <w:p w14:paraId="42407791" w14:textId="77777777" w:rsidR="000A6469" w:rsidRPr="004D11C9" w:rsidRDefault="000A6469" w:rsidP="004D11C9">
      <w:pPr>
        <w:jc w:val="both"/>
        <w:rPr>
          <w:rFonts w:ascii="Times New Roman" w:eastAsia="Arial" w:hAnsi="Times New Roman" w:cs="Arial"/>
          <w:noProof/>
          <w:sz w:val="24"/>
          <w:szCs w:val="14"/>
        </w:rPr>
      </w:pPr>
    </w:p>
    <w:p w14:paraId="3E37D330" w14:textId="2EA66BF4"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Klissas, N. (2014), “Expecting more, but getting less”, </w:t>
      </w:r>
      <w:r>
        <w:rPr>
          <w:rFonts w:ascii="Times New Roman" w:hAnsi="Times New Roman"/>
          <w:i/>
          <w:sz w:val="24"/>
        </w:rPr>
        <w:t xml:space="preserve">Article, </w:t>
      </w:r>
      <w:r>
        <w:rPr>
          <w:rFonts w:ascii="Times New Roman" w:hAnsi="Times New Roman"/>
          <w:sz w:val="24"/>
        </w:rPr>
        <w:t xml:space="preserve">USAID, </w:t>
      </w:r>
      <w:r>
        <w:rPr>
          <w:rFonts w:ascii="Times New Roman" w:hAnsi="Times New Roman"/>
          <w:sz w:val="24"/>
          <w:u w:val="single"/>
        </w:rPr>
        <w:t>https://2012-2017.usaid.gov/frontiers/2014/publication/section-2-expecting-more-getting-less</w:t>
      </w:r>
    </w:p>
    <w:p w14:paraId="7EADA649" w14:textId="77777777" w:rsidR="000A6469" w:rsidRPr="004D11C9" w:rsidRDefault="000A6469" w:rsidP="004D11C9">
      <w:pPr>
        <w:jc w:val="both"/>
        <w:rPr>
          <w:rFonts w:ascii="Times New Roman" w:eastAsia="Arial" w:hAnsi="Times New Roman" w:cs="Arial"/>
          <w:noProof/>
          <w:sz w:val="24"/>
          <w:szCs w:val="14"/>
        </w:rPr>
      </w:pPr>
    </w:p>
    <w:p w14:paraId="66D13428"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Lacko, J. un J. Pappalardo, (2004) “The Effect of Mortgage Broker Compensation Disclosures on Consumers and Competition: A Controlled Experiment”, US FTC Staff Report,</w:t>
      </w:r>
    </w:p>
    <w:p w14:paraId="02CAC345" w14:textId="2110E38C" w:rsidR="000A6469" w:rsidRPr="00593F7A" w:rsidRDefault="000A6469" w:rsidP="004D11C9">
      <w:pPr>
        <w:pStyle w:val="BodyText"/>
        <w:ind w:left="0" w:firstLine="0"/>
        <w:jc w:val="both"/>
        <w:rPr>
          <w:rFonts w:ascii="Times New Roman" w:hAnsi="Times New Roman"/>
          <w:noProof/>
          <w:sz w:val="24"/>
          <w:u w:val="single"/>
        </w:rPr>
      </w:pPr>
      <w:r>
        <w:rPr>
          <w:rFonts w:ascii="Times New Roman" w:hAnsi="Times New Roman"/>
          <w:sz w:val="24"/>
          <w:u w:val="single"/>
        </w:rPr>
        <w:t>https://www.ftc.gov/reports/effect-mortgage-broker-compensation-disclosures-consumers-competition-controlled-experiment</w:t>
      </w:r>
    </w:p>
    <w:p w14:paraId="37B1CE49" w14:textId="77777777" w:rsidR="000A6469" w:rsidRPr="004D11C9" w:rsidRDefault="000A6469" w:rsidP="004D11C9">
      <w:pPr>
        <w:jc w:val="both"/>
        <w:rPr>
          <w:rFonts w:ascii="Times New Roman" w:eastAsia="Arial" w:hAnsi="Times New Roman" w:cs="Arial"/>
          <w:noProof/>
          <w:sz w:val="24"/>
          <w:szCs w:val="14"/>
        </w:rPr>
      </w:pPr>
    </w:p>
    <w:p w14:paraId="3B43A468" w14:textId="5B0C9827" w:rsidR="000A6469" w:rsidRPr="00593F7A" w:rsidRDefault="000A6469" w:rsidP="004D11C9">
      <w:pPr>
        <w:jc w:val="both"/>
        <w:rPr>
          <w:rFonts w:ascii="Times New Roman" w:eastAsia="Arial" w:hAnsi="Times New Roman" w:cs="Arial"/>
          <w:noProof/>
          <w:sz w:val="24"/>
          <w:szCs w:val="21"/>
          <w:u w:val="single"/>
        </w:rPr>
      </w:pPr>
      <w:r>
        <w:rPr>
          <w:rFonts w:ascii="Times New Roman" w:hAnsi="Times New Roman"/>
          <w:sz w:val="24"/>
        </w:rPr>
        <w:t xml:space="preserve">ESAO (2018), “Taxi, ride-sourcing and ride-sharing services”, </w:t>
      </w:r>
      <w:r>
        <w:rPr>
          <w:rFonts w:ascii="Times New Roman" w:hAnsi="Times New Roman"/>
          <w:i/>
          <w:sz w:val="24"/>
        </w:rPr>
        <w:t>Best Practice Roundtables on Competition Policy</w:t>
      </w:r>
      <w:r>
        <w:rPr>
          <w:rFonts w:ascii="Times New Roman" w:hAnsi="Times New Roman"/>
          <w:sz w:val="24"/>
        </w:rPr>
        <w:t xml:space="preserve">, </w:t>
      </w:r>
      <w:r>
        <w:rPr>
          <w:rFonts w:ascii="Times New Roman" w:hAnsi="Times New Roman"/>
          <w:sz w:val="24"/>
          <w:u w:val="single"/>
        </w:rPr>
        <w:t>https://one.oecd.org/document/DAF/COMP/WP2(2018)1/en/pdf</w:t>
      </w:r>
    </w:p>
    <w:p w14:paraId="107CE54F" w14:textId="77777777" w:rsidR="00867DDD" w:rsidRPr="004D11C9" w:rsidRDefault="00867DDD" w:rsidP="004D11C9">
      <w:pPr>
        <w:jc w:val="both"/>
        <w:rPr>
          <w:rFonts w:ascii="Times New Roman" w:eastAsia="Arial" w:hAnsi="Times New Roman" w:cs="Arial"/>
          <w:noProof/>
          <w:sz w:val="24"/>
          <w:szCs w:val="21"/>
        </w:rPr>
      </w:pPr>
    </w:p>
    <w:p w14:paraId="53F9AE4B" w14:textId="6CF9AB5F"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ESAO (2018), “Towards the implementation of the G20 roadmap for digitalisation: Skills, business dynamics and competition”, ziņojums sagatavots pēc 2017. gada G20 Vācijas prezidentūras lūguma, </w:t>
      </w:r>
      <w:r>
        <w:rPr>
          <w:rFonts w:ascii="Times New Roman" w:hAnsi="Times New Roman"/>
          <w:sz w:val="24"/>
          <w:u w:val="single"/>
        </w:rPr>
        <w:t>www.oecd.org/g20/OECDreport_Implementation_G20_Roadmap.pdf</w:t>
      </w:r>
    </w:p>
    <w:p w14:paraId="2CA05E78" w14:textId="77777777" w:rsidR="000A6469" w:rsidRPr="004D11C9" w:rsidRDefault="000A6469" w:rsidP="004D11C9">
      <w:pPr>
        <w:jc w:val="both"/>
        <w:rPr>
          <w:rFonts w:ascii="Times New Roman" w:eastAsia="Arial" w:hAnsi="Times New Roman" w:cs="Arial"/>
          <w:noProof/>
          <w:sz w:val="24"/>
          <w:szCs w:val="14"/>
        </w:rPr>
      </w:pPr>
    </w:p>
    <w:p w14:paraId="1F54F8AA" w14:textId="1FF630E0"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ESAO (2014), OECD Competition Assessment Reviews: Greece. ESAO, Parīze, </w:t>
      </w:r>
      <w:r>
        <w:rPr>
          <w:rFonts w:ascii="Times New Roman" w:hAnsi="Times New Roman"/>
          <w:sz w:val="24"/>
          <w:u w:val="single"/>
        </w:rPr>
        <w:t>www.oecd.org/daf/competition/Greece-Competition-Assessment-2013.pdf</w:t>
      </w:r>
    </w:p>
    <w:p w14:paraId="19D447C9" w14:textId="77777777" w:rsidR="000A6469" w:rsidRPr="004D11C9" w:rsidRDefault="000A6469" w:rsidP="004D11C9">
      <w:pPr>
        <w:jc w:val="both"/>
        <w:rPr>
          <w:rFonts w:ascii="Times New Roman" w:eastAsia="Arial" w:hAnsi="Times New Roman" w:cs="Arial"/>
          <w:noProof/>
          <w:sz w:val="24"/>
          <w:szCs w:val="14"/>
        </w:rPr>
      </w:pPr>
    </w:p>
    <w:p w14:paraId="7FD29C11" w14:textId="1C54B177" w:rsidR="000A6469" w:rsidRPr="004D11C9" w:rsidRDefault="000A6469" w:rsidP="004D11C9">
      <w:pPr>
        <w:jc w:val="both"/>
        <w:rPr>
          <w:rFonts w:ascii="Times New Roman" w:eastAsia="Arial" w:hAnsi="Times New Roman" w:cs="Arial"/>
          <w:noProof/>
          <w:sz w:val="24"/>
          <w:szCs w:val="21"/>
        </w:rPr>
      </w:pPr>
      <w:r>
        <w:rPr>
          <w:rFonts w:ascii="Times New Roman" w:hAnsi="Times New Roman"/>
          <w:sz w:val="24"/>
        </w:rPr>
        <w:t>ESAO (2011), “Emission Permits and Competition</w:t>
      </w:r>
      <w:r>
        <w:rPr>
          <w:rFonts w:ascii="Times New Roman" w:hAnsi="Times New Roman"/>
          <w:i/>
          <w:sz w:val="24"/>
        </w:rPr>
        <w:t>”</w:t>
      </w:r>
      <w:r>
        <w:rPr>
          <w:rFonts w:ascii="Times New Roman" w:hAnsi="Times New Roman"/>
          <w:sz w:val="24"/>
        </w:rPr>
        <w:t xml:space="preserve">, </w:t>
      </w:r>
      <w:r>
        <w:rPr>
          <w:rFonts w:ascii="Times New Roman" w:hAnsi="Times New Roman"/>
          <w:i/>
          <w:sz w:val="24"/>
        </w:rPr>
        <w:t>Best Practice Roundtables on Competition Policy</w:t>
      </w:r>
      <w:r>
        <w:rPr>
          <w:rFonts w:ascii="Times New Roman" w:hAnsi="Times New Roman"/>
          <w:sz w:val="24"/>
        </w:rPr>
        <w:t xml:space="preserve">, </w:t>
      </w:r>
      <w:r>
        <w:rPr>
          <w:rFonts w:ascii="Times New Roman" w:hAnsi="Times New Roman"/>
          <w:sz w:val="24"/>
          <w:u w:val="single"/>
        </w:rPr>
        <w:t>www.oecd.org/competition/sectors/48204882.pdf</w:t>
      </w:r>
    </w:p>
    <w:p w14:paraId="4DBA4544" w14:textId="77777777" w:rsidR="000A6469" w:rsidRPr="004D11C9" w:rsidRDefault="000A6469" w:rsidP="004D11C9">
      <w:pPr>
        <w:jc w:val="both"/>
        <w:rPr>
          <w:rFonts w:ascii="Times New Roman" w:eastAsia="Arial" w:hAnsi="Times New Roman" w:cs="Arial"/>
          <w:noProof/>
          <w:sz w:val="24"/>
          <w:szCs w:val="14"/>
        </w:rPr>
      </w:pPr>
    </w:p>
    <w:p w14:paraId="7E001CBD" w14:textId="54C8CDD3" w:rsidR="000A6469" w:rsidRPr="00593F7A" w:rsidRDefault="000A6469" w:rsidP="004D11C9">
      <w:pPr>
        <w:jc w:val="both"/>
        <w:rPr>
          <w:rFonts w:ascii="Times New Roman" w:eastAsia="Arial" w:hAnsi="Times New Roman" w:cs="Arial"/>
          <w:noProof/>
          <w:sz w:val="24"/>
          <w:szCs w:val="21"/>
          <w:u w:val="single"/>
        </w:rPr>
      </w:pPr>
      <w:r>
        <w:rPr>
          <w:rFonts w:ascii="Times New Roman" w:hAnsi="Times New Roman"/>
          <w:sz w:val="24"/>
        </w:rPr>
        <w:t xml:space="preserve">ESAO (2007), “Taxi Services: Competition and Regulation”, </w:t>
      </w:r>
      <w:r>
        <w:rPr>
          <w:rFonts w:ascii="Times New Roman" w:hAnsi="Times New Roman"/>
          <w:i/>
          <w:sz w:val="24"/>
        </w:rPr>
        <w:t>Best Practice Roundtables on Competition Policy</w:t>
      </w:r>
      <w:r>
        <w:rPr>
          <w:rFonts w:ascii="Times New Roman" w:hAnsi="Times New Roman"/>
          <w:sz w:val="24"/>
        </w:rPr>
        <w:t xml:space="preserve">, </w:t>
      </w:r>
      <w:r>
        <w:rPr>
          <w:rFonts w:ascii="Times New Roman" w:hAnsi="Times New Roman"/>
          <w:sz w:val="24"/>
          <w:u w:val="single"/>
        </w:rPr>
        <w:t>www.oecd.org/daf/competition/sectors/41472612.pdf.</w:t>
      </w:r>
    </w:p>
    <w:p w14:paraId="655B7319" w14:textId="77777777" w:rsidR="000A6469" w:rsidRPr="004D11C9" w:rsidRDefault="000A6469" w:rsidP="004D11C9">
      <w:pPr>
        <w:jc w:val="both"/>
        <w:rPr>
          <w:rFonts w:ascii="Times New Roman" w:eastAsia="Arial" w:hAnsi="Times New Roman" w:cs="Arial"/>
          <w:noProof/>
          <w:sz w:val="24"/>
          <w:szCs w:val="14"/>
        </w:rPr>
      </w:pPr>
    </w:p>
    <w:p w14:paraId="005B6A6A" w14:textId="0F16D90D" w:rsidR="000A6469" w:rsidRPr="004D11C9" w:rsidRDefault="000A6469" w:rsidP="004D11C9">
      <w:pPr>
        <w:jc w:val="both"/>
        <w:rPr>
          <w:rFonts w:ascii="Times New Roman" w:eastAsia="Arial" w:hAnsi="Times New Roman" w:cs="Arial"/>
          <w:noProof/>
          <w:sz w:val="24"/>
          <w:szCs w:val="21"/>
        </w:rPr>
      </w:pPr>
      <w:r>
        <w:rPr>
          <w:rFonts w:ascii="Times New Roman" w:hAnsi="Times New Roman"/>
          <w:sz w:val="24"/>
        </w:rPr>
        <w:t xml:space="preserve">ESAO (2004a), “Competition and regulation in agricultural: Monopsony buying and joint selling”, </w:t>
      </w:r>
      <w:r>
        <w:rPr>
          <w:rFonts w:ascii="Times New Roman" w:hAnsi="Times New Roman"/>
          <w:i/>
          <w:sz w:val="24"/>
        </w:rPr>
        <w:t>Best Practice Roundtables on Competition Policy</w:t>
      </w:r>
      <w:r>
        <w:rPr>
          <w:rFonts w:ascii="Times New Roman" w:hAnsi="Times New Roman"/>
          <w:sz w:val="24"/>
        </w:rPr>
        <w:t xml:space="preserve">, </w:t>
      </w:r>
      <w:r>
        <w:rPr>
          <w:rFonts w:ascii="Times New Roman" w:hAnsi="Times New Roman"/>
          <w:sz w:val="24"/>
          <w:u w:val="single"/>
        </w:rPr>
        <w:t>www.oecd.org/daf/competition/abuse/35910977.pdf</w:t>
      </w:r>
    </w:p>
    <w:p w14:paraId="4E0E204D" w14:textId="77777777" w:rsidR="000A6469" w:rsidRPr="004D11C9" w:rsidRDefault="000A6469" w:rsidP="004D11C9">
      <w:pPr>
        <w:jc w:val="both"/>
        <w:rPr>
          <w:rFonts w:ascii="Times New Roman" w:eastAsia="Arial" w:hAnsi="Times New Roman" w:cs="Arial"/>
          <w:noProof/>
          <w:sz w:val="24"/>
          <w:szCs w:val="14"/>
        </w:rPr>
      </w:pPr>
    </w:p>
    <w:p w14:paraId="0EFA01DE" w14:textId="5A79004C" w:rsidR="000A6469" w:rsidRPr="00593F7A" w:rsidRDefault="000A6469" w:rsidP="004D11C9">
      <w:pPr>
        <w:jc w:val="both"/>
        <w:rPr>
          <w:rFonts w:ascii="Times New Roman" w:eastAsia="Arial" w:hAnsi="Times New Roman" w:cs="Arial"/>
          <w:noProof/>
          <w:sz w:val="24"/>
          <w:szCs w:val="21"/>
          <w:u w:val="single"/>
        </w:rPr>
      </w:pPr>
      <w:r>
        <w:rPr>
          <w:rFonts w:ascii="Times New Roman" w:hAnsi="Times New Roman"/>
          <w:sz w:val="24"/>
        </w:rPr>
        <w:t xml:space="preserve">ESAO (2004b), “Enhancing Beneficial Competition in the Health Professions”, </w:t>
      </w:r>
      <w:r>
        <w:rPr>
          <w:rFonts w:ascii="Times New Roman" w:hAnsi="Times New Roman"/>
          <w:i/>
          <w:sz w:val="24"/>
        </w:rPr>
        <w:t>Best Practice Roundtables on Competition Policy</w:t>
      </w:r>
      <w:r>
        <w:rPr>
          <w:rFonts w:ascii="Times New Roman" w:hAnsi="Times New Roman"/>
          <w:sz w:val="24"/>
        </w:rPr>
        <w:t xml:space="preserve">, </w:t>
      </w:r>
      <w:r>
        <w:rPr>
          <w:rFonts w:ascii="Times New Roman" w:hAnsi="Times New Roman"/>
          <w:sz w:val="24"/>
          <w:u w:val="single"/>
        </w:rPr>
        <w:t>www.oecd.org/daf/competition/sectors/35910986.pdf</w:t>
      </w:r>
    </w:p>
    <w:p w14:paraId="282665FC" w14:textId="77777777" w:rsidR="000A6469" w:rsidRPr="004D11C9" w:rsidRDefault="000A6469" w:rsidP="004D11C9">
      <w:pPr>
        <w:jc w:val="both"/>
        <w:rPr>
          <w:rFonts w:ascii="Times New Roman" w:eastAsia="Arial" w:hAnsi="Times New Roman" w:cs="Arial"/>
          <w:noProof/>
          <w:sz w:val="24"/>
          <w:szCs w:val="14"/>
        </w:rPr>
      </w:pPr>
    </w:p>
    <w:p w14:paraId="64234132"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Pape F., D. Lurje un E. Satas (n.d.), Competition Impact Assessment Report of the Airway Sector.</w:t>
      </w:r>
    </w:p>
    <w:p w14:paraId="37891466" w14:textId="77777777" w:rsidR="000A6469" w:rsidRPr="004D11C9" w:rsidRDefault="000A6469" w:rsidP="004D11C9">
      <w:pPr>
        <w:jc w:val="both"/>
        <w:rPr>
          <w:rFonts w:ascii="Times New Roman" w:eastAsia="Arial" w:hAnsi="Times New Roman" w:cs="Arial"/>
          <w:noProof/>
          <w:sz w:val="24"/>
          <w:szCs w:val="20"/>
        </w:rPr>
      </w:pPr>
    </w:p>
    <w:p w14:paraId="20E062DA" w14:textId="072E0E90"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Que choisir (2008), Le grand dérapage financier de la rénovation des ascenseurs, </w:t>
      </w:r>
      <w:r>
        <w:rPr>
          <w:rFonts w:ascii="Times New Roman" w:hAnsi="Times New Roman"/>
          <w:sz w:val="24"/>
          <w:u w:val="single"/>
        </w:rPr>
        <w:t>https://www.quechoisir.org/action-ufc-que-choisir-copropriete-le-grand-derapage-financier-de-la-renovation-des-ascenseurs-n11797/</w:t>
      </w:r>
    </w:p>
    <w:p w14:paraId="5B3CF7D8" w14:textId="77777777" w:rsidR="000A6469" w:rsidRPr="004D11C9" w:rsidRDefault="000A6469" w:rsidP="004D11C9">
      <w:pPr>
        <w:jc w:val="both"/>
        <w:rPr>
          <w:rFonts w:ascii="Times New Roman" w:eastAsia="Arial" w:hAnsi="Times New Roman" w:cs="Arial"/>
          <w:noProof/>
          <w:sz w:val="24"/>
          <w:szCs w:val="14"/>
        </w:rPr>
      </w:pPr>
    </w:p>
    <w:p w14:paraId="4CFD1194"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Rauch, F. (2013), “Advertising expenditure and consumer prices”, International Journal of Industrial Organisation, Vol. 31(4), 331.-341. lpp.</w:t>
      </w:r>
    </w:p>
    <w:p w14:paraId="23983B20" w14:textId="77777777" w:rsidR="000A6469" w:rsidRPr="004D11C9" w:rsidRDefault="000A6469" w:rsidP="004D11C9">
      <w:pPr>
        <w:jc w:val="both"/>
        <w:rPr>
          <w:rFonts w:ascii="Times New Roman" w:eastAsia="Arial" w:hAnsi="Times New Roman" w:cs="Arial"/>
          <w:noProof/>
          <w:sz w:val="24"/>
          <w:szCs w:val="20"/>
        </w:rPr>
      </w:pPr>
    </w:p>
    <w:p w14:paraId="222104BB" w14:textId="0CF16582" w:rsidR="000A6469" w:rsidRPr="00593F7A" w:rsidRDefault="000A6469" w:rsidP="004D11C9">
      <w:pPr>
        <w:pStyle w:val="BodyText"/>
        <w:ind w:left="0" w:firstLine="0"/>
        <w:jc w:val="both"/>
        <w:rPr>
          <w:rFonts w:ascii="Times New Roman" w:hAnsi="Times New Roman"/>
          <w:noProof/>
          <w:sz w:val="24"/>
          <w:u w:val="single"/>
        </w:rPr>
      </w:pPr>
      <w:r>
        <w:rPr>
          <w:rFonts w:ascii="Times New Roman" w:hAnsi="Times New Roman"/>
          <w:sz w:val="24"/>
        </w:rPr>
        <w:t xml:space="preserve">Sims, R. (2013), “Driving Prosperity through Effective Competition”, runa, </w:t>
      </w:r>
      <w:r>
        <w:rPr>
          <w:rFonts w:ascii="Times New Roman" w:hAnsi="Times New Roman"/>
          <w:sz w:val="24"/>
          <w:u w:val="single"/>
        </w:rPr>
        <w:t>www.accc.gov.au/speech/driving-prosperity-through-effective-competition</w:t>
      </w:r>
    </w:p>
    <w:p w14:paraId="164ACF59" w14:textId="77777777" w:rsidR="000A6469" w:rsidRPr="004D11C9" w:rsidRDefault="000A6469" w:rsidP="004D11C9">
      <w:pPr>
        <w:jc w:val="both"/>
        <w:rPr>
          <w:rFonts w:ascii="Times New Roman" w:eastAsia="Arial" w:hAnsi="Times New Roman" w:cs="Arial"/>
          <w:noProof/>
          <w:sz w:val="24"/>
          <w:szCs w:val="21"/>
        </w:rPr>
      </w:pPr>
    </w:p>
    <w:p w14:paraId="4F01395C" w14:textId="23CFF2BC" w:rsidR="000A6469" w:rsidRPr="004D11C9" w:rsidRDefault="000A6469" w:rsidP="004D11C9">
      <w:pPr>
        <w:jc w:val="both"/>
        <w:rPr>
          <w:rFonts w:ascii="Times New Roman" w:eastAsia="Arial" w:hAnsi="Times New Roman" w:cs="Arial"/>
          <w:noProof/>
          <w:sz w:val="24"/>
          <w:szCs w:val="21"/>
        </w:rPr>
      </w:pPr>
      <w:r>
        <w:rPr>
          <w:rFonts w:ascii="Times New Roman" w:hAnsi="Times New Roman"/>
          <w:sz w:val="24"/>
        </w:rPr>
        <w:t xml:space="preserve">Treasury Board Secretariat of Canada (2007), </w:t>
      </w:r>
      <w:r>
        <w:rPr>
          <w:rFonts w:ascii="Times New Roman" w:hAnsi="Times New Roman"/>
          <w:i/>
          <w:sz w:val="24"/>
        </w:rPr>
        <w:t>Canadian Cost-Benefit Analysis Guide: Regulatory Proposals</w:t>
      </w:r>
      <w:r>
        <w:rPr>
          <w:rFonts w:ascii="Times New Roman" w:hAnsi="Times New Roman"/>
          <w:sz w:val="24"/>
        </w:rPr>
        <w:t xml:space="preserve">, </w:t>
      </w:r>
      <w:r>
        <w:rPr>
          <w:rFonts w:ascii="Times New Roman" w:hAnsi="Times New Roman"/>
          <w:sz w:val="24"/>
          <w:u w:val="single"/>
        </w:rPr>
        <w:t>www.tbs-sct.gc.ca/rtrap-parfa/analys/analys-eng.pdf</w:t>
      </w:r>
    </w:p>
    <w:p w14:paraId="7D0268D1" w14:textId="77777777" w:rsidR="000A6469" w:rsidRPr="004D11C9" w:rsidRDefault="000A6469" w:rsidP="004D11C9">
      <w:pPr>
        <w:jc w:val="both"/>
        <w:rPr>
          <w:rFonts w:ascii="Times New Roman" w:eastAsia="Arial" w:hAnsi="Times New Roman" w:cs="Arial"/>
          <w:noProof/>
          <w:sz w:val="24"/>
          <w:szCs w:val="14"/>
        </w:rPr>
      </w:pPr>
    </w:p>
    <w:p w14:paraId="607C176E" w14:textId="7B9FED36" w:rsidR="000A6469" w:rsidRPr="004D11C9" w:rsidRDefault="000A6469" w:rsidP="004D11C9">
      <w:pPr>
        <w:jc w:val="both"/>
        <w:rPr>
          <w:rFonts w:ascii="Times New Roman" w:eastAsia="Arial" w:hAnsi="Times New Roman" w:cs="Arial"/>
          <w:noProof/>
          <w:sz w:val="24"/>
          <w:szCs w:val="21"/>
        </w:rPr>
      </w:pPr>
      <w:r>
        <w:rPr>
          <w:rFonts w:ascii="Times New Roman" w:hAnsi="Times New Roman"/>
          <w:sz w:val="24"/>
        </w:rPr>
        <w:t xml:space="preserve">UK HM Treasury (2018), </w:t>
      </w:r>
      <w:r>
        <w:rPr>
          <w:rFonts w:ascii="Times New Roman" w:hAnsi="Times New Roman"/>
          <w:i/>
          <w:sz w:val="24"/>
        </w:rPr>
        <w:t>The Green Book</w:t>
      </w:r>
      <w:r>
        <w:rPr>
          <w:rFonts w:ascii="Times New Roman" w:hAnsi="Times New Roman"/>
          <w:sz w:val="24"/>
        </w:rPr>
        <w:t xml:space="preserve">: </w:t>
      </w:r>
      <w:r>
        <w:rPr>
          <w:rFonts w:ascii="Times New Roman" w:hAnsi="Times New Roman"/>
          <w:i/>
          <w:sz w:val="24"/>
        </w:rPr>
        <w:t xml:space="preserve">Appraisal and Evaluation in Central Government, </w:t>
      </w:r>
      <w:r>
        <w:rPr>
          <w:rFonts w:ascii="Times New Roman" w:hAnsi="Times New Roman"/>
          <w:sz w:val="24"/>
          <w:u w:val="single"/>
        </w:rPr>
        <w:t>www.gov.uk/government/uploads/system/uploads/attachment_data/file/220541/green_book_complete.pdf</w:t>
      </w:r>
    </w:p>
    <w:p w14:paraId="139BBA65" w14:textId="77777777" w:rsidR="000A6469" w:rsidRPr="004D11C9" w:rsidRDefault="000A6469" w:rsidP="004D11C9">
      <w:pPr>
        <w:jc w:val="both"/>
        <w:rPr>
          <w:rFonts w:ascii="Times New Roman" w:eastAsia="Arial" w:hAnsi="Times New Roman" w:cs="Arial"/>
          <w:noProof/>
          <w:sz w:val="24"/>
          <w:szCs w:val="14"/>
        </w:rPr>
      </w:pPr>
    </w:p>
    <w:p w14:paraId="584A6997"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UK OFT (2003a), “The regulation of licensed taxi and PHV services in the UK”, OFT 676,</w:t>
      </w:r>
    </w:p>
    <w:p w14:paraId="39C1A8D6" w14:textId="415C256E" w:rsidR="000A6469" w:rsidRPr="00593F7A" w:rsidRDefault="000A6469" w:rsidP="004D11C9">
      <w:pPr>
        <w:pStyle w:val="BodyText"/>
        <w:ind w:left="0" w:firstLine="0"/>
        <w:jc w:val="both"/>
        <w:rPr>
          <w:rFonts w:ascii="Times New Roman" w:hAnsi="Times New Roman"/>
          <w:noProof/>
          <w:sz w:val="24"/>
          <w:u w:val="single"/>
        </w:rPr>
      </w:pPr>
      <w:r>
        <w:rPr>
          <w:rFonts w:ascii="Times New Roman" w:hAnsi="Times New Roman"/>
          <w:sz w:val="24"/>
          <w:u w:val="single"/>
        </w:rPr>
        <w:t>http://webarchive.nationalarchives.gov.uk/20140402142426/http:/www.oft.gov.uk/shared_oft/reports/comp_policy/oft676.pdf</w:t>
      </w:r>
    </w:p>
    <w:p w14:paraId="5576F18F" w14:textId="77777777" w:rsidR="000A6469" w:rsidRPr="004D11C9" w:rsidRDefault="000A6469" w:rsidP="004D11C9">
      <w:pPr>
        <w:jc w:val="both"/>
        <w:rPr>
          <w:rFonts w:ascii="Times New Roman" w:eastAsia="Arial" w:hAnsi="Times New Roman" w:cs="Arial"/>
          <w:noProof/>
          <w:sz w:val="24"/>
          <w:szCs w:val="14"/>
        </w:rPr>
      </w:pPr>
    </w:p>
    <w:p w14:paraId="4F1DD04B" w14:textId="4423EC3F"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UK OFT (2003b), “The Control of Entry Regulations and Retail Pharmacy Services in the UK”, Office of Fair Trading, United Kingdom, </w:t>
      </w:r>
      <w:r>
        <w:rPr>
          <w:rFonts w:ascii="Times New Roman" w:hAnsi="Times New Roman"/>
          <w:sz w:val="24"/>
          <w:u w:val="single"/>
        </w:rPr>
        <w:t>http://webarchive.nationalarchives.gov.uk/20140402142426/http://www.oft.gov.uk/shared_oft/reports/Evaluating-OFTs-work/OFT1219.pdf</w:t>
      </w:r>
    </w:p>
    <w:p w14:paraId="45CCA2D0" w14:textId="77777777" w:rsidR="000A6469" w:rsidRPr="004D11C9" w:rsidRDefault="000A6469" w:rsidP="004D11C9">
      <w:pPr>
        <w:jc w:val="both"/>
        <w:rPr>
          <w:rFonts w:ascii="Times New Roman" w:eastAsia="Arial" w:hAnsi="Times New Roman" w:cs="Arial"/>
          <w:noProof/>
          <w:sz w:val="24"/>
          <w:szCs w:val="14"/>
        </w:rPr>
      </w:pPr>
    </w:p>
    <w:p w14:paraId="568EF009" w14:textId="743C552A"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US Office of Budget and Management (1992), </w:t>
      </w:r>
      <w:r>
        <w:rPr>
          <w:rFonts w:ascii="Times New Roman" w:hAnsi="Times New Roman"/>
          <w:i/>
          <w:sz w:val="24"/>
        </w:rPr>
        <w:t>Circular No. A-94 Revised</w:t>
      </w:r>
      <w:r>
        <w:rPr>
          <w:rFonts w:ascii="Times New Roman" w:hAnsi="Times New Roman"/>
          <w:sz w:val="24"/>
        </w:rPr>
        <w:t xml:space="preserve">, </w:t>
      </w:r>
      <w:r>
        <w:rPr>
          <w:rFonts w:ascii="Times New Roman" w:hAnsi="Times New Roman"/>
          <w:sz w:val="24"/>
          <w:u w:val="single"/>
        </w:rPr>
        <w:t>https://obamawhitehouse.archives.gov/omb/circulars_a094</w:t>
      </w:r>
    </w:p>
    <w:p w14:paraId="449B6761" w14:textId="77777777" w:rsidR="000A6469" w:rsidRPr="004D11C9" w:rsidRDefault="000A6469" w:rsidP="004D11C9">
      <w:pPr>
        <w:jc w:val="both"/>
        <w:rPr>
          <w:rFonts w:ascii="Times New Roman" w:eastAsia="Arial" w:hAnsi="Times New Roman" w:cs="Arial"/>
          <w:noProof/>
          <w:sz w:val="24"/>
          <w:szCs w:val="14"/>
        </w:rPr>
      </w:pPr>
    </w:p>
    <w:p w14:paraId="18D9D37A" w14:textId="77777777" w:rsidR="000A6469" w:rsidRPr="004D11C9" w:rsidRDefault="000A6469" w:rsidP="004D11C9">
      <w:pPr>
        <w:pStyle w:val="Heading3"/>
        <w:ind w:left="0"/>
        <w:jc w:val="both"/>
        <w:rPr>
          <w:rFonts w:ascii="Times New Roman" w:hAnsi="Times New Roman"/>
          <w:noProof/>
          <w:sz w:val="24"/>
        </w:rPr>
      </w:pPr>
      <w:bookmarkStart w:id="218" w:name="_Toc62650501"/>
      <w:r>
        <w:rPr>
          <w:rFonts w:ascii="Times New Roman" w:hAnsi="Times New Roman"/>
          <w:sz w:val="24"/>
        </w:rPr>
        <w:t>Tīmekļa vietnes par nozaru statistisko klasifikāciju</w:t>
      </w:r>
      <w:bookmarkStart w:id="219" w:name="Websites_on_Statistical_Industry_Classif"/>
      <w:bookmarkEnd w:id="219"/>
      <w:bookmarkEnd w:id="218"/>
    </w:p>
    <w:p w14:paraId="77929D9F" w14:textId="77777777" w:rsidR="000A6469" w:rsidRPr="004D11C9" w:rsidRDefault="000A6469" w:rsidP="004D11C9">
      <w:pPr>
        <w:jc w:val="both"/>
        <w:rPr>
          <w:rFonts w:ascii="Times New Roman" w:eastAsia="Arial" w:hAnsi="Times New Roman" w:cs="Arial"/>
          <w:b/>
          <w:bCs/>
          <w:noProof/>
          <w:sz w:val="24"/>
          <w:szCs w:val="21"/>
        </w:rPr>
      </w:pPr>
    </w:p>
    <w:p w14:paraId="4EB5E6B4" w14:textId="066B47BD"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Starptautiskā standartizētā visu ekonomiskās darbības veidu klasifikācija, </w:t>
      </w:r>
      <w:r>
        <w:rPr>
          <w:rFonts w:ascii="Times New Roman" w:hAnsi="Times New Roman"/>
          <w:sz w:val="24"/>
          <w:u w:val="single"/>
        </w:rPr>
        <w:t>http://unstats.un.org/unsd/cr/registry/regcst.asp?Cl=27</w:t>
      </w:r>
    </w:p>
    <w:p w14:paraId="336070AA" w14:textId="77777777" w:rsidR="000A6469" w:rsidRPr="004D11C9" w:rsidRDefault="000A6469" w:rsidP="004D11C9">
      <w:pPr>
        <w:jc w:val="both"/>
        <w:rPr>
          <w:rFonts w:ascii="Times New Roman" w:eastAsia="Arial" w:hAnsi="Times New Roman" w:cs="Arial"/>
          <w:noProof/>
          <w:sz w:val="24"/>
          <w:szCs w:val="14"/>
        </w:rPr>
      </w:pPr>
    </w:p>
    <w:p w14:paraId="15CF0B78" w14:textId="5B491842"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Saimniecisko darbību statistiskā klasifikācija Eiropas Kopienā </w:t>
      </w:r>
      <w:r>
        <w:rPr>
          <w:rFonts w:ascii="Times New Roman" w:hAnsi="Times New Roman"/>
          <w:sz w:val="24"/>
          <w:u w:val="single"/>
        </w:rPr>
        <w:t>http://ec.europa.eu/eurostat/ramon/nomenclatures/index.cfm?TargetUrl=LST_NOM_DTL&amp;StrNom=NACE_REV2&amp;StrLanguageCode=EN&amp;IntPcKey=&amp;StrLayoutCode=HIERARCHIC</w:t>
      </w:r>
    </w:p>
    <w:p w14:paraId="42F7A8AD" w14:textId="77777777" w:rsidR="000A6469" w:rsidRPr="004D11C9" w:rsidRDefault="000A6469" w:rsidP="004D11C9">
      <w:pPr>
        <w:jc w:val="both"/>
        <w:rPr>
          <w:rFonts w:ascii="Times New Roman" w:eastAsia="Arial" w:hAnsi="Times New Roman" w:cs="Arial"/>
          <w:noProof/>
          <w:sz w:val="24"/>
          <w:szCs w:val="14"/>
        </w:rPr>
      </w:pPr>
    </w:p>
    <w:p w14:paraId="320EC386" w14:textId="7A48E5DA" w:rsidR="000A6469" w:rsidRPr="00593F7A" w:rsidRDefault="000A6469" w:rsidP="004D11C9">
      <w:pPr>
        <w:pStyle w:val="BodyText"/>
        <w:ind w:left="0" w:firstLine="0"/>
        <w:jc w:val="both"/>
        <w:rPr>
          <w:rFonts w:ascii="Times New Roman" w:hAnsi="Times New Roman"/>
          <w:noProof/>
          <w:sz w:val="24"/>
          <w:u w:val="single"/>
        </w:rPr>
      </w:pPr>
      <w:r>
        <w:rPr>
          <w:rFonts w:ascii="Times New Roman" w:hAnsi="Times New Roman"/>
          <w:sz w:val="24"/>
        </w:rPr>
        <w:t xml:space="preserve">Ziemeļamerikas ekonomisko darbību klasifikācijas sistēma </w:t>
      </w:r>
      <w:r>
        <w:rPr>
          <w:rFonts w:ascii="Times New Roman" w:hAnsi="Times New Roman"/>
          <w:sz w:val="24"/>
          <w:u w:val="single"/>
        </w:rPr>
        <w:t>http://www.census.gov/eos/www/naics/</w:t>
      </w:r>
    </w:p>
    <w:p w14:paraId="18C8A877" w14:textId="77777777" w:rsidR="00867DDD" w:rsidRPr="004D11C9" w:rsidRDefault="00867DDD" w:rsidP="004D11C9">
      <w:pPr>
        <w:jc w:val="both"/>
        <w:rPr>
          <w:rFonts w:ascii="Times New Roman" w:hAnsi="Times New Roman"/>
          <w:noProof/>
          <w:sz w:val="24"/>
        </w:rPr>
      </w:pPr>
    </w:p>
    <w:p w14:paraId="0861235B" w14:textId="1E347D03" w:rsidR="00593F7A" w:rsidRDefault="00593F7A">
      <w:pPr>
        <w:rPr>
          <w:rFonts w:ascii="Times New Roman" w:eastAsia="Arial" w:hAnsi="Times New Roman" w:cs="Arial"/>
          <w:noProof/>
          <w:sz w:val="24"/>
          <w:szCs w:val="20"/>
        </w:rPr>
      </w:pPr>
      <w:r>
        <w:br w:type="page"/>
      </w:r>
    </w:p>
    <w:p w14:paraId="31752E84" w14:textId="77777777" w:rsidR="000A6469" w:rsidRPr="004D11C9" w:rsidRDefault="000A6469" w:rsidP="004D11C9">
      <w:pPr>
        <w:jc w:val="both"/>
        <w:rPr>
          <w:rFonts w:ascii="Times New Roman" w:eastAsia="Arial" w:hAnsi="Times New Roman" w:cs="Arial"/>
          <w:noProof/>
          <w:sz w:val="24"/>
          <w:szCs w:val="20"/>
        </w:rPr>
      </w:pPr>
    </w:p>
    <w:p w14:paraId="773EFFC9" w14:textId="2300046D" w:rsidR="000A6469" w:rsidRPr="004D11C9" w:rsidRDefault="000A6469" w:rsidP="00887892">
      <w:pPr>
        <w:pStyle w:val="Heading1"/>
        <w:spacing w:before="0"/>
        <w:ind w:left="0"/>
        <w:jc w:val="both"/>
        <w:rPr>
          <w:rFonts w:ascii="Times New Roman" w:hAnsi="Times New Roman"/>
          <w:noProof/>
          <w:sz w:val="24"/>
        </w:rPr>
      </w:pPr>
      <w:bookmarkStart w:id="220" w:name="Annex_1.__Derivation_of_change_in_equili"/>
      <w:bookmarkStart w:id="221" w:name="_bookmark114"/>
      <w:bookmarkStart w:id="222" w:name="_Toc62650502"/>
      <w:bookmarkEnd w:id="220"/>
      <w:bookmarkEnd w:id="221"/>
      <w:r w:rsidRPr="001A796E">
        <w:rPr>
          <w:rFonts w:ascii="Times New Roman" w:hAnsi="Times New Roman"/>
          <w:sz w:val="28"/>
          <w:szCs w:val="56"/>
        </w:rPr>
        <w:t>1. pielikums.</w:t>
      </w:r>
      <w:r w:rsidR="00887892">
        <w:rPr>
          <w:rFonts w:ascii="Times New Roman" w:hAnsi="Times New Roman"/>
          <w:sz w:val="24"/>
        </w:rPr>
        <w:br/>
      </w:r>
      <w:r>
        <w:rPr>
          <w:rFonts w:ascii="Times New Roman" w:hAnsi="Times New Roman"/>
          <w:sz w:val="24"/>
        </w:rPr>
        <w:t>Līdzsvara maiņas radītu ieguvumu atvasināšana</w:t>
      </w:r>
      <w:bookmarkEnd w:id="222"/>
    </w:p>
    <w:p w14:paraId="46E7C691" w14:textId="1E57107A" w:rsidR="000A6469" w:rsidRDefault="000A6469" w:rsidP="004D11C9">
      <w:pPr>
        <w:jc w:val="both"/>
        <w:rPr>
          <w:rFonts w:ascii="Times New Roman" w:eastAsia="Arial" w:hAnsi="Times New Roman" w:cs="Arial"/>
          <w:b/>
          <w:bCs/>
          <w:noProof/>
          <w:sz w:val="24"/>
          <w:szCs w:val="30"/>
        </w:rPr>
      </w:pPr>
    </w:p>
    <w:p w14:paraId="44B98EF4" w14:textId="7468979F" w:rsidR="000A646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Šajā pielikumā ir pētīti patērētāju ieguvumi, ko rada pāreja no ierobežojoša regulējuma līdzsvara uz konkurences līdzsvaru. Tiek izskatītas divas pieprasījuma līknes – lineārā pieprasījuma līkne un </w:t>
      </w:r>
      <w:r>
        <w:rPr>
          <w:rFonts w:ascii="Times New Roman" w:hAnsi="Times New Roman"/>
          <w:i/>
          <w:iCs/>
          <w:sz w:val="24"/>
        </w:rPr>
        <w:t>CES</w:t>
      </w:r>
      <w:r>
        <w:rPr>
          <w:rFonts w:ascii="Times New Roman" w:hAnsi="Times New Roman"/>
          <w:sz w:val="24"/>
        </w:rPr>
        <w:t xml:space="preserve"> pieprasījuma līkne.</w:t>
      </w:r>
      <w:r>
        <w:rPr>
          <w:rStyle w:val="FootnoteReference"/>
          <w:rFonts w:ascii="Times New Roman" w:hAnsi="Times New Roman"/>
          <w:noProof/>
          <w:sz w:val="24"/>
        </w:rPr>
        <w:footnoteReference w:customMarkFollows="1" w:id="13"/>
        <w:t>1</w:t>
      </w:r>
      <w:r>
        <w:rPr>
          <w:rFonts w:ascii="Times New Roman" w:hAnsi="Times New Roman"/>
          <w:sz w:val="24"/>
        </w:rPr>
        <w:t xml:space="preserve"> Ar </w:t>
      </w:r>
      <w:r>
        <w:rPr>
          <w:rFonts w:ascii="Times New Roman" w:hAnsi="Times New Roman"/>
          <w:i/>
          <w:sz w:val="24"/>
        </w:rPr>
        <w:t>E</w:t>
      </w:r>
      <w:r>
        <w:rPr>
          <w:rFonts w:ascii="Times New Roman" w:hAnsi="Times New Roman"/>
          <w:i/>
          <w:sz w:val="24"/>
          <w:vertAlign w:val="subscript"/>
        </w:rPr>
        <w:t>r</w:t>
      </w:r>
      <w:r>
        <w:rPr>
          <w:rFonts w:ascii="Times New Roman" w:hAnsi="Times New Roman"/>
          <w:i/>
          <w:sz w:val="24"/>
        </w:rPr>
        <w:t xml:space="preserve"> </w:t>
      </w:r>
      <w:r>
        <w:rPr>
          <w:rFonts w:ascii="Times New Roman" w:hAnsi="Times New Roman"/>
          <w:sz w:val="24"/>
        </w:rPr>
        <w:t xml:space="preserve">apzīmē līdzsvaru ierobežojoša regulējuma situācijā; ar </w:t>
      </w:r>
      <w:r>
        <w:rPr>
          <w:rFonts w:ascii="Times New Roman" w:hAnsi="Times New Roman"/>
          <w:i/>
          <w:sz w:val="24"/>
        </w:rPr>
        <w:t>E</w:t>
      </w:r>
      <w:r>
        <w:rPr>
          <w:rFonts w:ascii="Times New Roman" w:hAnsi="Times New Roman"/>
          <w:i/>
          <w:sz w:val="24"/>
          <w:vertAlign w:val="subscript"/>
        </w:rPr>
        <w:t>c</w:t>
      </w:r>
      <w:r>
        <w:rPr>
          <w:rFonts w:ascii="Times New Roman" w:hAnsi="Times New Roman"/>
          <w:i/>
          <w:sz w:val="24"/>
        </w:rPr>
        <w:t xml:space="preserve"> </w:t>
      </w:r>
      <w:r>
        <w:rPr>
          <w:rFonts w:ascii="Times New Roman" w:hAnsi="Times New Roman"/>
          <w:sz w:val="24"/>
        </w:rPr>
        <w:t xml:space="preserve">apzīmē līdzsvara punktu konkurences regulējuma situācijā. Visbeidzot, tiek aprēķināta vienkāršota formula </w:t>
      </w:r>
      <w:r>
        <w:rPr>
          <w:rFonts w:ascii="Times New Roman" w:hAnsi="Times New Roman"/>
          <w:i/>
          <w:iCs/>
          <w:sz w:val="24"/>
        </w:rPr>
        <w:t>CES</w:t>
      </w:r>
      <w:r>
        <w:rPr>
          <w:rFonts w:ascii="Times New Roman" w:hAnsi="Times New Roman"/>
          <w:sz w:val="24"/>
        </w:rPr>
        <w:t xml:space="preserve"> pieprasījuma funkcijai.</w:t>
      </w:r>
    </w:p>
    <w:p w14:paraId="25D99A83" w14:textId="77777777" w:rsidR="00593F7A" w:rsidRPr="004D11C9" w:rsidRDefault="00593F7A" w:rsidP="004D11C9">
      <w:pPr>
        <w:pStyle w:val="BodyText"/>
        <w:ind w:left="0" w:firstLine="0"/>
        <w:jc w:val="both"/>
        <w:rPr>
          <w:rFonts w:ascii="Times New Roman" w:hAnsi="Times New Roman"/>
          <w:noProof/>
          <w:sz w:val="24"/>
        </w:rPr>
      </w:pPr>
    </w:p>
    <w:p w14:paraId="1DADFE29" w14:textId="17F06176" w:rsidR="000A6469" w:rsidRPr="004D11C9" w:rsidRDefault="00593F7A" w:rsidP="00593F7A">
      <w:pPr>
        <w:pStyle w:val="Heading3"/>
        <w:tabs>
          <w:tab w:val="left" w:pos="371"/>
        </w:tabs>
        <w:ind w:left="0"/>
        <w:jc w:val="both"/>
        <w:rPr>
          <w:rFonts w:ascii="Times New Roman" w:hAnsi="Times New Roman"/>
          <w:noProof/>
          <w:sz w:val="24"/>
        </w:rPr>
      </w:pPr>
      <w:bookmarkStart w:id="223" w:name="1._Demand_function"/>
      <w:bookmarkStart w:id="224" w:name="_Toc62650503"/>
      <w:bookmarkEnd w:id="223"/>
      <w:r>
        <w:rPr>
          <w:rFonts w:ascii="Times New Roman" w:hAnsi="Times New Roman"/>
          <w:sz w:val="24"/>
        </w:rPr>
        <w:t>1. Pieprasījuma funkcija</w:t>
      </w:r>
      <w:bookmarkEnd w:id="224"/>
    </w:p>
    <w:p w14:paraId="33C6B41B" w14:textId="77777777" w:rsidR="00593F7A" w:rsidRDefault="00593F7A" w:rsidP="00593F7A">
      <w:pPr>
        <w:pStyle w:val="Heading4"/>
        <w:tabs>
          <w:tab w:val="left" w:pos="554"/>
        </w:tabs>
        <w:ind w:left="0"/>
        <w:jc w:val="both"/>
        <w:rPr>
          <w:rFonts w:ascii="Times New Roman" w:hAnsi="Times New Roman"/>
          <w:noProof/>
          <w:sz w:val="24"/>
        </w:rPr>
      </w:pPr>
      <w:bookmarkStart w:id="225" w:name="1.1._Linear_demand"/>
      <w:bookmarkEnd w:id="225"/>
    </w:p>
    <w:p w14:paraId="36FC245E" w14:textId="6FCB4088" w:rsidR="000A6469" w:rsidRPr="004D11C9" w:rsidRDefault="00593F7A" w:rsidP="00593F7A">
      <w:pPr>
        <w:pStyle w:val="Heading4"/>
        <w:tabs>
          <w:tab w:val="left" w:pos="554"/>
        </w:tabs>
        <w:ind w:left="0"/>
        <w:jc w:val="both"/>
        <w:rPr>
          <w:rFonts w:ascii="Times New Roman" w:hAnsi="Times New Roman"/>
          <w:noProof/>
          <w:sz w:val="24"/>
        </w:rPr>
      </w:pPr>
      <w:r>
        <w:rPr>
          <w:rFonts w:ascii="Times New Roman" w:hAnsi="Times New Roman"/>
          <w:sz w:val="24"/>
        </w:rPr>
        <w:t>1.1. Lineārais pieprasījums</w:t>
      </w:r>
    </w:p>
    <w:p w14:paraId="020BE9D7" w14:textId="77777777" w:rsidR="000A6469" w:rsidRPr="004D11C9" w:rsidRDefault="000A6469" w:rsidP="004D11C9">
      <w:pPr>
        <w:jc w:val="both"/>
        <w:rPr>
          <w:rFonts w:ascii="Times New Roman" w:eastAsia="Arial" w:hAnsi="Times New Roman" w:cs="Arial"/>
          <w:b/>
          <w:bCs/>
          <w:i/>
          <w:noProof/>
          <w:sz w:val="24"/>
          <w:szCs w:val="10"/>
        </w:rPr>
      </w:pPr>
    </w:p>
    <w:p w14:paraId="1E169FB8" w14:textId="0ED07C6C" w:rsidR="000A6469" w:rsidRPr="004D11C9" w:rsidRDefault="00593F7A" w:rsidP="00593F7A">
      <w:pPr>
        <w:jc w:val="center"/>
        <w:rPr>
          <w:rFonts w:ascii="Times New Roman" w:eastAsia="Arial" w:hAnsi="Times New Roman" w:cs="Arial"/>
          <w:noProof/>
          <w:sz w:val="24"/>
          <w:szCs w:val="20"/>
        </w:rPr>
      </w:pPr>
      <w:r>
        <w:rPr>
          <w:rFonts w:ascii="Times New Roman" w:hAnsi="Times New Roman"/>
          <w:noProof/>
          <w:sz w:val="24"/>
          <w:szCs w:val="20"/>
        </w:rPr>
        <w:drawing>
          <wp:inline distT="0" distB="0" distL="0" distR="0" wp14:anchorId="66743CB6" wp14:editId="38DCEF2E">
            <wp:extent cx="3157855" cy="2552065"/>
            <wp:effectExtent l="0" t="0" r="444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57855" cy="2552065"/>
                    </a:xfrm>
                    <a:prstGeom prst="rect">
                      <a:avLst/>
                    </a:prstGeom>
                    <a:noFill/>
                    <a:ln>
                      <a:noFill/>
                    </a:ln>
                  </pic:spPr>
                </pic:pic>
              </a:graphicData>
            </a:graphic>
          </wp:inline>
        </w:drawing>
      </w:r>
    </w:p>
    <w:p w14:paraId="7CE8B385" w14:textId="77777777" w:rsidR="000A6469" w:rsidRPr="004D11C9" w:rsidRDefault="000A6469" w:rsidP="004D11C9">
      <w:pPr>
        <w:jc w:val="both"/>
        <w:rPr>
          <w:rFonts w:ascii="Times New Roman" w:hAnsi="Times New Roman"/>
          <w:noProof/>
          <w:sz w:val="24"/>
        </w:rPr>
      </w:pPr>
    </w:p>
    <w:p w14:paraId="063BEC75"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Lineārās pieprasījuma līknes gadījumā patērētāja ieguvums no pārejas no ierobežojošā līdzsvara uz konkurences līdzsvaru ir vienāds ar C un D zonas summu. Patērētāja ieguvumu (</w:t>
      </w:r>
      <w:r>
        <w:rPr>
          <w:rFonts w:ascii="Times New Roman" w:hAnsi="Times New Roman"/>
          <w:i/>
          <w:iCs/>
          <w:sz w:val="24"/>
        </w:rPr>
        <w:t>CB</w:t>
      </w:r>
      <w:r>
        <w:rPr>
          <w:rFonts w:ascii="Times New Roman" w:hAnsi="Times New Roman"/>
          <w:sz w:val="24"/>
        </w:rPr>
        <w:t>) no pārejas no ierobežojoša līdzsvara uz konkurences līdzsvaru aprēķina šādi:</w:t>
      </w:r>
    </w:p>
    <w:p w14:paraId="43EAF0C9" w14:textId="715CDBAA" w:rsidR="000A6469" w:rsidRDefault="000A6469" w:rsidP="004D11C9">
      <w:pPr>
        <w:jc w:val="both"/>
        <w:rPr>
          <w:rFonts w:ascii="Times New Roman" w:eastAsia="Arial" w:hAnsi="Times New Roman" w:cs="Arial"/>
          <w:noProof/>
          <w:sz w:val="24"/>
          <w:szCs w:val="12"/>
        </w:rPr>
      </w:pPr>
    </w:p>
    <w:p w14:paraId="12640631" w14:textId="60830FC2" w:rsidR="007B2CEE" w:rsidRDefault="00CC3E5E" w:rsidP="00CC3E5E">
      <w:pPr>
        <w:jc w:val="center"/>
        <w:rPr>
          <w:rFonts w:ascii="Times New Roman" w:eastAsia="Arial" w:hAnsi="Times New Roman" w:cs="Arial"/>
          <w:noProof/>
          <w:sz w:val="24"/>
          <w:szCs w:val="12"/>
        </w:rPr>
      </w:pPr>
      <w:r>
        <w:rPr>
          <w:rFonts w:ascii="Times New Roman" w:hAnsi="Times New Roman"/>
          <w:noProof/>
          <w:sz w:val="24"/>
          <w:szCs w:val="12"/>
        </w:rPr>
        <w:drawing>
          <wp:inline distT="0" distB="0" distL="0" distR="0" wp14:anchorId="42EBA205" wp14:editId="7EBE2AF6">
            <wp:extent cx="3189605" cy="4038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89605" cy="403860"/>
                    </a:xfrm>
                    <a:prstGeom prst="rect">
                      <a:avLst/>
                    </a:prstGeom>
                    <a:noFill/>
                    <a:ln>
                      <a:noFill/>
                    </a:ln>
                  </pic:spPr>
                </pic:pic>
              </a:graphicData>
            </a:graphic>
          </wp:inline>
        </w:drawing>
      </w:r>
    </w:p>
    <w:p w14:paraId="27243646" w14:textId="54302139" w:rsidR="000A6469" w:rsidRPr="004D11C9" w:rsidRDefault="000A6469" w:rsidP="004D11C9">
      <w:pPr>
        <w:pStyle w:val="BodyText"/>
        <w:ind w:left="0" w:firstLine="0"/>
        <w:jc w:val="both"/>
        <w:rPr>
          <w:rFonts w:ascii="Times New Roman" w:hAnsi="Times New Roman"/>
          <w:noProof/>
          <w:sz w:val="24"/>
        </w:rPr>
      </w:pPr>
    </w:p>
    <w:p w14:paraId="26C3180A" w14:textId="57FDED6F" w:rsidR="000A6469" w:rsidRPr="004D11C9" w:rsidRDefault="00CC3E5E" w:rsidP="00CC3E5E">
      <w:pPr>
        <w:pStyle w:val="Heading4"/>
        <w:tabs>
          <w:tab w:val="left" w:pos="574"/>
        </w:tabs>
        <w:ind w:left="0"/>
        <w:jc w:val="both"/>
        <w:rPr>
          <w:rFonts w:ascii="Times New Roman" w:hAnsi="Times New Roman"/>
          <w:noProof/>
          <w:sz w:val="24"/>
        </w:rPr>
      </w:pPr>
      <w:bookmarkStart w:id="226" w:name="1.2._CES_demand"/>
      <w:bookmarkEnd w:id="226"/>
      <w:r>
        <w:rPr>
          <w:rFonts w:ascii="Times New Roman" w:hAnsi="Times New Roman"/>
          <w:sz w:val="24"/>
        </w:rPr>
        <w:t>1.2. CES pieprasījums</w:t>
      </w:r>
    </w:p>
    <w:p w14:paraId="257DFC32" w14:textId="77777777" w:rsidR="000A6469" w:rsidRPr="004D11C9" w:rsidRDefault="000A6469" w:rsidP="004D11C9">
      <w:pPr>
        <w:jc w:val="both"/>
        <w:rPr>
          <w:rFonts w:ascii="Times New Roman" w:eastAsia="Arial" w:hAnsi="Times New Roman" w:cs="Arial"/>
          <w:b/>
          <w:bCs/>
          <w:i/>
          <w:noProof/>
          <w:sz w:val="24"/>
          <w:szCs w:val="21"/>
        </w:rPr>
      </w:pPr>
    </w:p>
    <w:p w14:paraId="6D40C55B"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i/>
          <w:iCs/>
          <w:sz w:val="24"/>
        </w:rPr>
        <w:t>CES</w:t>
      </w:r>
      <w:r>
        <w:rPr>
          <w:rFonts w:ascii="Times New Roman" w:hAnsi="Times New Roman"/>
          <w:sz w:val="24"/>
        </w:rPr>
        <w:t xml:space="preserve"> pieprasījuma funkcija ir līkne. Tai raksturīgs tas, ka pieprasījuma elastīgums nav atkarīgs no cenas vai daudzuma, proti, no novietojuma uz līknes. Neatkarīgi no ievērojamajām atšķirībām, kas pastāv pašā pieprasījuma līknē, līdzsvara maiņai no ierobežota līdzsvara uz konkurences līdzsvaru būtībā ir tā pati formula, kas lineārā pieprasījuma modelim.</w:t>
      </w:r>
    </w:p>
    <w:p w14:paraId="68E020ED" w14:textId="77777777" w:rsidR="000A6469" w:rsidRPr="004D11C9" w:rsidRDefault="000A6469" w:rsidP="004D11C9">
      <w:pPr>
        <w:jc w:val="both"/>
        <w:rPr>
          <w:rFonts w:ascii="Times New Roman" w:eastAsia="Arial" w:hAnsi="Times New Roman" w:cs="Arial"/>
          <w:noProof/>
          <w:sz w:val="24"/>
          <w:szCs w:val="20"/>
        </w:rPr>
      </w:pPr>
    </w:p>
    <w:p w14:paraId="795C2173" w14:textId="603FDB88" w:rsidR="000A6469" w:rsidRPr="004D11C9" w:rsidRDefault="00CC3E5E" w:rsidP="00CC3E5E">
      <w:pPr>
        <w:jc w:val="center"/>
        <w:rPr>
          <w:rFonts w:ascii="Times New Roman" w:eastAsia="Arial" w:hAnsi="Times New Roman" w:cs="Arial"/>
          <w:noProof/>
          <w:sz w:val="24"/>
          <w:szCs w:val="20"/>
        </w:rPr>
      </w:pPr>
      <w:r>
        <w:rPr>
          <w:rFonts w:ascii="Times New Roman" w:hAnsi="Times New Roman"/>
          <w:noProof/>
          <w:sz w:val="24"/>
          <w:szCs w:val="20"/>
        </w:rPr>
        <w:lastRenderedPageBreak/>
        <w:drawing>
          <wp:inline distT="0" distB="0" distL="0" distR="0" wp14:anchorId="39432C4A" wp14:editId="75B94959">
            <wp:extent cx="3157855" cy="25730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57855" cy="2573020"/>
                    </a:xfrm>
                    <a:prstGeom prst="rect">
                      <a:avLst/>
                    </a:prstGeom>
                    <a:noFill/>
                    <a:ln>
                      <a:noFill/>
                    </a:ln>
                  </pic:spPr>
                </pic:pic>
              </a:graphicData>
            </a:graphic>
          </wp:inline>
        </w:drawing>
      </w:r>
    </w:p>
    <w:p w14:paraId="5E7C348F" w14:textId="77777777" w:rsidR="000A6469" w:rsidRPr="004D11C9" w:rsidRDefault="000A6469" w:rsidP="004D11C9">
      <w:pPr>
        <w:jc w:val="both"/>
        <w:rPr>
          <w:rFonts w:ascii="Times New Roman" w:eastAsia="Arial" w:hAnsi="Times New Roman" w:cs="Arial"/>
          <w:noProof/>
          <w:sz w:val="24"/>
          <w:szCs w:val="18"/>
        </w:rPr>
      </w:pPr>
    </w:p>
    <w:p w14:paraId="5DF92E7C"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Patērētāja ieguvuma vienādojums ir ļoti līdzīgs tam, kas noteikts lineārā pieprasījuma modelim:</w:t>
      </w:r>
    </w:p>
    <w:p w14:paraId="5760604B" w14:textId="77777777" w:rsidR="004D11C9" w:rsidRPr="004D11C9" w:rsidRDefault="004D11C9" w:rsidP="004D11C9">
      <w:pPr>
        <w:jc w:val="both"/>
        <w:rPr>
          <w:rFonts w:ascii="Times New Roman" w:eastAsia="Cambria Math" w:hAnsi="Times New Roman" w:cs="Cambria Math"/>
          <w:noProof/>
          <w:sz w:val="24"/>
          <w:szCs w:val="21"/>
        </w:rPr>
      </w:pPr>
      <w:bookmarkStart w:id="227" w:name="Formula_of_benefit_estimates"/>
      <w:bookmarkEnd w:id="227"/>
    </w:p>
    <w:p w14:paraId="680AD58F" w14:textId="0EFA67F6" w:rsidR="004D11C9" w:rsidRDefault="00CC3E5E" w:rsidP="00CC3E5E">
      <w:pPr>
        <w:jc w:val="center"/>
        <w:rPr>
          <w:rFonts w:ascii="Times New Roman" w:eastAsia="Cambria Math" w:hAnsi="Times New Roman" w:cs="Cambria Math"/>
          <w:noProof/>
          <w:sz w:val="24"/>
          <w:szCs w:val="21"/>
        </w:rPr>
      </w:pPr>
      <w:r>
        <w:rPr>
          <w:rFonts w:ascii="Times New Roman" w:hAnsi="Times New Roman"/>
          <w:noProof/>
          <w:sz w:val="24"/>
          <w:szCs w:val="21"/>
        </w:rPr>
        <w:drawing>
          <wp:inline distT="0" distB="0" distL="0" distR="0" wp14:anchorId="7A66848B" wp14:editId="773A346E">
            <wp:extent cx="3189605" cy="425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89605" cy="425450"/>
                    </a:xfrm>
                    <a:prstGeom prst="rect">
                      <a:avLst/>
                    </a:prstGeom>
                    <a:noFill/>
                    <a:ln>
                      <a:noFill/>
                    </a:ln>
                  </pic:spPr>
                </pic:pic>
              </a:graphicData>
            </a:graphic>
          </wp:inline>
        </w:drawing>
      </w:r>
    </w:p>
    <w:p w14:paraId="76B6F8BF" w14:textId="77777777" w:rsidR="00CC3E5E" w:rsidRPr="004D11C9" w:rsidRDefault="00CC3E5E" w:rsidP="004D11C9">
      <w:pPr>
        <w:jc w:val="both"/>
        <w:rPr>
          <w:rFonts w:ascii="Times New Roman" w:eastAsia="Cambria Math" w:hAnsi="Times New Roman" w:cs="Cambria Math"/>
          <w:noProof/>
          <w:sz w:val="24"/>
          <w:szCs w:val="21"/>
        </w:rPr>
      </w:pPr>
    </w:p>
    <w:p w14:paraId="563D9DE5" w14:textId="275AF8E3" w:rsidR="000A6469" w:rsidRPr="004D11C9" w:rsidRDefault="000A6469" w:rsidP="004D11C9">
      <w:pPr>
        <w:jc w:val="both"/>
        <w:rPr>
          <w:rFonts w:ascii="Times New Roman" w:hAnsi="Times New Roman"/>
          <w:i/>
          <w:noProof/>
          <w:sz w:val="24"/>
        </w:rPr>
      </w:pPr>
      <w:r>
        <w:rPr>
          <w:rFonts w:ascii="Times New Roman" w:hAnsi="Times New Roman"/>
          <w:i/>
          <w:sz w:val="24"/>
        </w:rPr>
        <w:t>Formula ieguvumu aprēķināšanai</w:t>
      </w:r>
    </w:p>
    <w:p w14:paraId="14DF3FA6" w14:textId="77777777" w:rsidR="000A6469" w:rsidRPr="004D11C9" w:rsidRDefault="000A6469" w:rsidP="004D11C9">
      <w:pPr>
        <w:jc w:val="both"/>
        <w:rPr>
          <w:rFonts w:ascii="Times New Roman" w:eastAsia="Arial" w:hAnsi="Times New Roman" w:cs="Arial"/>
          <w:i/>
          <w:noProof/>
          <w:sz w:val="24"/>
          <w:szCs w:val="21"/>
        </w:rPr>
      </w:pPr>
    </w:p>
    <w:p w14:paraId="31586032" w14:textId="45E5574D"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Patērētāja ieguvumu maiņas vienādojumu ir iespējams atvasināt arī no ieņēmumiem un procentuālajām cenas izmaiņām, kur cenas izmaiņu attiecība tiek iegūta no tabulas, kurā atspoguļota aprēķinātā ietekme atbilstoši </w:t>
      </w:r>
      <w:r w:rsidR="003A21DD">
        <w:rPr>
          <w:rFonts w:ascii="Times New Roman" w:hAnsi="Times New Roman"/>
          <w:sz w:val="24"/>
        </w:rPr>
        <w:t>regulatīvā</w:t>
      </w:r>
      <w:r>
        <w:rPr>
          <w:rFonts w:ascii="Times New Roman" w:hAnsi="Times New Roman"/>
          <w:sz w:val="24"/>
        </w:rPr>
        <w:t xml:space="preserve"> ierobežojuma veidam. (10 % cenu izmaiņas, kas saistītas ar pāreju no </w:t>
      </w:r>
      <w:r w:rsidR="003A21DD">
        <w:rPr>
          <w:rFonts w:ascii="Times New Roman" w:hAnsi="Times New Roman"/>
          <w:sz w:val="24"/>
        </w:rPr>
        <w:t>regulatīva</w:t>
      </w:r>
      <w:r>
        <w:rPr>
          <w:rFonts w:ascii="Times New Roman" w:hAnsi="Times New Roman"/>
          <w:sz w:val="24"/>
        </w:rPr>
        <w:t xml:space="preserve"> ierobežojuma uz konkurences rezultātu, atspoguļo kā  = 0,10). Absolūtā vērtība cenu izmaiņām no ierobežojošas cenas </w:t>
      </w:r>
      <w:r>
        <w:rPr>
          <w:rFonts w:ascii="Times New Roman" w:hAnsi="Times New Roman"/>
          <w:i/>
          <w:sz w:val="24"/>
        </w:rPr>
        <w:t>P</w:t>
      </w:r>
      <w:r>
        <w:rPr>
          <w:rFonts w:ascii="Times New Roman" w:hAnsi="Times New Roman"/>
          <w:i/>
          <w:sz w:val="24"/>
          <w:vertAlign w:val="subscript"/>
        </w:rPr>
        <w:t>r</w:t>
      </w:r>
      <w:r>
        <w:rPr>
          <w:rFonts w:ascii="Times New Roman" w:hAnsi="Times New Roman"/>
          <w:i/>
          <w:sz w:val="24"/>
        </w:rPr>
        <w:t xml:space="preserve"> </w:t>
      </w:r>
      <w:r>
        <w:rPr>
          <w:rFonts w:ascii="Times New Roman" w:hAnsi="Times New Roman"/>
          <w:sz w:val="24"/>
        </w:rPr>
        <w:t xml:space="preserve"> uz konkurējošu cenu </w:t>
      </w:r>
      <w:r>
        <w:rPr>
          <w:rFonts w:ascii="Times New Roman" w:hAnsi="Times New Roman"/>
          <w:i/>
          <w:sz w:val="24"/>
        </w:rPr>
        <w:t>P</w:t>
      </w:r>
      <w:r>
        <w:rPr>
          <w:rFonts w:ascii="Times New Roman" w:hAnsi="Times New Roman"/>
          <w:i/>
          <w:sz w:val="24"/>
          <w:vertAlign w:val="subscript"/>
        </w:rPr>
        <w:t>c</w:t>
      </w:r>
      <w:r>
        <w:rPr>
          <w:rFonts w:ascii="Times New Roman" w:hAnsi="Times New Roman"/>
          <w:i/>
          <w:sz w:val="24"/>
        </w:rPr>
        <w:t xml:space="preserve"> </w:t>
      </w:r>
      <w:r>
        <w:rPr>
          <w:rFonts w:ascii="Times New Roman" w:hAnsi="Times New Roman"/>
          <w:sz w:val="24"/>
        </w:rPr>
        <w:t xml:space="preserve"> ir noteikta šādi: ∆ =  kur 0&lt;&lt;1. Jo mazākas cenu izmaiņas, jo  ir tuvāks 0.</w:t>
      </w:r>
    </w:p>
    <w:p w14:paraId="610DF873" w14:textId="77777777" w:rsidR="00CC3E5E" w:rsidRDefault="00CC3E5E" w:rsidP="004D11C9">
      <w:pPr>
        <w:pStyle w:val="BodyText"/>
        <w:ind w:left="0" w:firstLine="0"/>
        <w:jc w:val="both"/>
        <w:rPr>
          <w:rFonts w:ascii="Times New Roman" w:hAnsi="Times New Roman"/>
          <w:noProof/>
          <w:sz w:val="24"/>
        </w:rPr>
      </w:pPr>
    </w:p>
    <w:p w14:paraId="3C5CBCE3" w14:textId="3655D523"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Patērētāja ieguvumu </w:t>
      </w:r>
      <w:r>
        <w:rPr>
          <w:rFonts w:ascii="Times New Roman" w:hAnsi="Times New Roman"/>
          <w:i/>
          <w:sz w:val="24"/>
        </w:rPr>
        <w:t>CB</w:t>
      </w:r>
      <w:r>
        <w:rPr>
          <w:rFonts w:ascii="Times New Roman" w:hAnsi="Times New Roman"/>
          <w:sz w:val="24"/>
        </w:rPr>
        <w:t xml:space="preserve"> var atvasināt no lineārā pieprasījuma vai </w:t>
      </w:r>
      <w:r>
        <w:rPr>
          <w:rFonts w:ascii="Times New Roman" w:hAnsi="Times New Roman"/>
          <w:i/>
          <w:sz w:val="24"/>
        </w:rPr>
        <w:t>CES</w:t>
      </w:r>
      <w:r>
        <w:rPr>
          <w:rFonts w:ascii="Times New Roman" w:hAnsi="Times New Roman"/>
          <w:sz w:val="24"/>
        </w:rPr>
        <w:t xml:space="preserve"> pieprasījuma tuvinājuma, kurā cenas un daudzuma izmaiņas ir apzīmētas attiecīgi ar ∆ un ∆.</w:t>
      </w:r>
    </w:p>
    <w:p w14:paraId="71253A46" w14:textId="378FB2B8" w:rsidR="00CC3E5E" w:rsidRDefault="00CC3E5E" w:rsidP="004D11C9">
      <w:pPr>
        <w:pStyle w:val="BodyText"/>
        <w:ind w:left="0" w:firstLine="0"/>
        <w:jc w:val="both"/>
        <w:rPr>
          <w:rFonts w:ascii="Times New Roman" w:hAnsi="Times New Roman"/>
          <w:noProof/>
          <w:sz w:val="24"/>
        </w:rPr>
      </w:pPr>
    </w:p>
    <w:p w14:paraId="1EC8138A" w14:textId="0F67FBB1" w:rsidR="00CC3E5E" w:rsidRDefault="00CC3E5E" w:rsidP="00CC3E5E">
      <w:pPr>
        <w:pStyle w:val="BodyText"/>
        <w:ind w:left="0" w:firstLine="0"/>
        <w:jc w:val="center"/>
        <w:rPr>
          <w:rFonts w:ascii="Times New Roman" w:hAnsi="Times New Roman"/>
          <w:noProof/>
          <w:sz w:val="24"/>
        </w:rPr>
      </w:pPr>
      <w:r>
        <w:rPr>
          <w:rFonts w:ascii="Times New Roman" w:hAnsi="Times New Roman"/>
          <w:noProof/>
          <w:sz w:val="24"/>
        </w:rPr>
        <w:drawing>
          <wp:inline distT="0" distB="0" distL="0" distR="0" wp14:anchorId="32CBCEBC" wp14:editId="20CDBA12">
            <wp:extent cx="1701165" cy="190309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01165" cy="1903095"/>
                    </a:xfrm>
                    <a:prstGeom prst="rect">
                      <a:avLst/>
                    </a:prstGeom>
                    <a:noFill/>
                    <a:ln>
                      <a:noFill/>
                    </a:ln>
                  </pic:spPr>
                </pic:pic>
              </a:graphicData>
            </a:graphic>
          </wp:inline>
        </w:drawing>
      </w:r>
    </w:p>
    <w:p w14:paraId="3A3C35A5" w14:textId="77777777" w:rsidR="00867DDD" w:rsidRPr="004D11C9" w:rsidRDefault="00867DDD" w:rsidP="004D11C9">
      <w:pPr>
        <w:jc w:val="both"/>
        <w:rPr>
          <w:rFonts w:ascii="Times New Roman" w:eastAsia="Cambria Math" w:hAnsi="Times New Roman" w:cs="Cambria Math"/>
          <w:noProof/>
          <w:sz w:val="24"/>
        </w:rPr>
      </w:pPr>
    </w:p>
    <w:p w14:paraId="256FBC30" w14:textId="30489F1F" w:rsidR="000A6469" w:rsidRPr="004D11C9" w:rsidRDefault="000A6469" w:rsidP="00CC3E5E">
      <w:pPr>
        <w:pStyle w:val="BodyText"/>
        <w:ind w:left="0" w:firstLine="0"/>
        <w:jc w:val="both"/>
        <w:rPr>
          <w:rFonts w:ascii="Times New Roman" w:hAnsi="Times New Roman" w:cs="Arial"/>
          <w:noProof/>
          <w:sz w:val="24"/>
        </w:rPr>
      </w:pPr>
      <w:r>
        <w:rPr>
          <w:rFonts w:ascii="Times New Roman" w:hAnsi="Times New Roman"/>
          <w:sz w:val="24"/>
        </w:rPr>
        <w:t xml:space="preserve">Ja nozares elastīgums ir zināms, tad to var ievietot šajā vienādojumā kopā ar standartizētajām cenu izmaiņām un ieņēmumu līmeni </w:t>
      </w:r>
      <w:r>
        <w:rPr>
          <w:rFonts w:ascii="Times New Roman" w:hAnsi="Times New Roman"/>
          <w:i/>
          <w:sz w:val="24"/>
        </w:rPr>
        <w:t>R</w:t>
      </w:r>
      <w:r>
        <w:rPr>
          <w:rFonts w:ascii="Times New Roman" w:hAnsi="Times New Roman"/>
          <w:i/>
          <w:sz w:val="24"/>
          <w:vertAlign w:val="subscript"/>
        </w:rPr>
        <w:t>r</w:t>
      </w:r>
      <w:r>
        <w:rPr>
          <w:rFonts w:ascii="Times New Roman" w:hAnsi="Times New Roman"/>
          <w:sz w:val="24"/>
        </w:rPr>
        <w:t>.</w:t>
      </w:r>
    </w:p>
    <w:p w14:paraId="4A9333FC" w14:textId="77777777" w:rsidR="000A6469" w:rsidRPr="004D11C9" w:rsidRDefault="000A6469" w:rsidP="004D11C9">
      <w:pPr>
        <w:jc w:val="both"/>
        <w:rPr>
          <w:rFonts w:ascii="Times New Roman" w:eastAsia="Arial" w:hAnsi="Times New Roman" w:cs="Arial"/>
          <w:noProof/>
          <w:sz w:val="24"/>
          <w:szCs w:val="20"/>
        </w:rPr>
      </w:pPr>
    </w:p>
    <w:p w14:paraId="485FAC1E" w14:textId="3D80D246" w:rsidR="000A6469" w:rsidRDefault="000A6469" w:rsidP="004D11C9">
      <w:pPr>
        <w:pStyle w:val="BodyText"/>
        <w:ind w:left="0" w:firstLine="0"/>
        <w:jc w:val="both"/>
        <w:rPr>
          <w:rFonts w:ascii="Times New Roman" w:hAnsi="Times New Roman"/>
          <w:noProof/>
          <w:sz w:val="24"/>
        </w:rPr>
      </w:pPr>
      <w:r>
        <w:rPr>
          <w:rFonts w:ascii="Times New Roman" w:hAnsi="Times New Roman"/>
          <w:sz w:val="24"/>
        </w:rPr>
        <w:t>Standarta situācijā, kad šāds elastīgums nav zināms, pieņem vispārēju standarta elastīguma vērtību “2”, kas atbilst vidēji elastīgai precei. Ievietojot  = −2, rezultāts tiek vienkāršots šādi:</w:t>
      </w:r>
    </w:p>
    <w:p w14:paraId="120F9EB9" w14:textId="7C48EA22" w:rsidR="00CC3E5E" w:rsidRDefault="00CC3E5E" w:rsidP="004D11C9">
      <w:pPr>
        <w:pStyle w:val="BodyText"/>
        <w:ind w:left="0" w:firstLine="0"/>
        <w:jc w:val="both"/>
        <w:rPr>
          <w:rFonts w:ascii="Times New Roman" w:hAnsi="Times New Roman"/>
          <w:noProof/>
          <w:sz w:val="24"/>
        </w:rPr>
      </w:pPr>
    </w:p>
    <w:p w14:paraId="144B0CC5" w14:textId="7B38B7B8" w:rsidR="00CC3E5E" w:rsidRDefault="00CC3E5E" w:rsidP="00CC3E5E">
      <w:pPr>
        <w:pStyle w:val="BodyText"/>
        <w:ind w:left="0" w:firstLine="0"/>
        <w:jc w:val="center"/>
        <w:rPr>
          <w:rFonts w:ascii="Times New Roman" w:hAnsi="Times New Roman"/>
          <w:noProof/>
          <w:sz w:val="24"/>
        </w:rPr>
      </w:pPr>
      <w:r>
        <w:rPr>
          <w:rFonts w:ascii="Times New Roman" w:hAnsi="Times New Roman"/>
          <w:noProof/>
          <w:sz w:val="24"/>
        </w:rPr>
        <w:lastRenderedPageBreak/>
        <w:drawing>
          <wp:inline distT="0" distB="0" distL="0" distR="0" wp14:anchorId="29CC12B5" wp14:editId="7E1809B1">
            <wp:extent cx="1243965" cy="31877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43965" cy="318770"/>
                    </a:xfrm>
                    <a:prstGeom prst="rect">
                      <a:avLst/>
                    </a:prstGeom>
                    <a:noFill/>
                    <a:ln>
                      <a:noFill/>
                    </a:ln>
                  </pic:spPr>
                </pic:pic>
              </a:graphicData>
            </a:graphic>
          </wp:inline>
        </w:drawing>
      </w:r>
    </w:p>
    <w:p w14:paraId="11C5A2F0" w14:textId="6608930D" w:rsidR="00CC3E5E" w:rsidRDefault="00CC3E5E" w:rsidP="004D11C9">
      <w:pPr>
        <w:pStyle w:val="BodyText"/>
        <w:ind w:left="0" w:firstLine="0"/>
        <w:jc w:val="both"/>
        <w:rPr>
          <w:rFonts w:ascii="Times New Roman" w:hAnsi="Times New Roman"/>
          <w:noProof/>
          <w:sz w:val="24"/>
        </w:rPr>
      </w:pPr>
    </w:p>
    <w:p w14:paraId="4D2FE1DD" w14:textId="77777777" w:rsidR="000A6469" w:rsidRPr="004D11C9" w:rsidRDefault="000A6469" w:rsidP="004D11C9">
      <w:pPr>
        <w:jc w:val="both"/>
        <w:rPr>
          <w:rFonts w:ascii="Times New Roman" w:hAnsi="Times New Roman"/>
          <w:i/>
          <w:noProof/>
          <w:sz w:val="24"/>
        </w:rPr>
      </w:pPr>
      <w:bookmarkStart w:id="228" w:name="Quantity_change"/>
      <w:bookmarkEnd w:id="228"/>
      <w:r>
        <w:rPr>
          <w:rFonts w:ascii="Times New Roman" w:hAnsi="Times New Roman"/>
          <w:i/>
          <w:sz w:val="24"/>
        </w:rPr>
        <w:t>Daudzuma izmaiņas</w:t>
      </w:r>
    </w:p>
    <w:p w14:paraId="40F8CCCD" w14:textId="77777777" w:rsidR="000A6469" w:rsidRPr="004D11C9" w:rsidRDefault="000A6469" w:rsidP="004D11C9">
      <w:pPr>
        <w:jc w:val="both"/>
        <w:rPr>
          <w:rFonts w:ascii="Times New Roman" w:eastAsia="Arial" w:hAnsi="Times New Roman" w:cs="Arial"/>
          <w:i/>
          <w:noProof/>
          <w:sz w:val="24"/>
          <w:szCs w:val="21"/>
        </w:rPr>
      </w:pPr>
    </w:p>
    <w:p w14:paraId="23D5B56F"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Iepriekš izklāstīto aprēķinu pamatā ir cenas izmaiņas. Iespējamas dažādas situācijas, kad ierobežojuma atcelšanas rezultātā mainīsies tikai daudzums, nevis nominālā cena. Piemēram, taksometru cenas var būt regulētas tajā pašā laikā, kad tiek ierobežots taksometru licenču skaits. Padarot licences pieejamas lielākam skaitam taksometru vadītāju, palielināsies sniegto pakalpojumu daudzums, bet ne cena. Iespējams aprēķināt mainīgā nodrošinātā daudzuma vērtību apstākļos, kad nemainās cenas regulējums.</w:t>
      </w:r>
    </w:p>
    <w:p w14:paraId="1EC9E66E" w14:textId="77777777" w:rsidR="000A6469" w:rsidRPr="004D11C9" w:rsidRDefault="000A6469" w:rsidP="004D11C9">
      <w:pPr>
        <w:jc w:val="both"/>
        <w:rPr>
          <w:rFonts w:ascii="Times New Roman" w:eastAsia="Arial" w:hAnsi="Times New Roman" w:cs="Arial"/>
          <w:noProof/>
          <w:sz w:val="24"/>
          <w:szCs w:val="21"/>
        </w:rPr>
      </w:pPr>
    </w:p>
    <w:p w14:paraId="4299BA11"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Vispirms nepieciešamas pamatotas aplēses par daudzuma (ierobežojuma) izmaiņām regulējuma rezultātā. Ja daudzumu normējošs regulējums jau ir spēkā, var būt sarežģīti noteikt daudzumu, kas pastāvētu tad, ja regulējums nebūtu spēkā. Dažkārt daudzuma ierobežojumi ir lieli, savukārt citkārt tie var būt salīdzinoši nelieli, tāpēc šajā gadījumā ir sarežģīti piemērot vispārējus noteikumus. Tomēr jāatzīmē, ka pastāv gadījumi, piemēram, Īrijas taksometru tirgus liberalizācija, kad pēc liberalizācijas daudzums palielinās par vairāk nekā 300 %.</w:t>
      </w:r>
    </w:p>
    <w:p w14:paraId="1E83E92E" w14:textId="77777777" w:rsidR="000A6469" w:rsidRPr="004D11C9" w:rsidRDefault="000A6469" w:rsidP="004D11C9">
      <w:pPr>
        <w:jc w:val="both"/>
        <w:rPr>
          <w:rFonts w:ascii="Times New Roman" w:eastAsia="Arial" w:hAnsi="Times New Roman" w:cs="Arial"/>
          <w:noProof/>
          <w:sz w:val="24"/>
          <w:szCs w:val="20"/>
        </w:rPr>
      </w:pPr>
    </w:p>
    <w:p w14:paraId="45955CBB" w14:textId="1CA82773"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Pieņemsim, ka produkts tiek piedāvāts konkurencei labvēlīgos apstākļos par nemainīgu cenu </w:t>
      </w:r>
      <w:r>
        <w:rPr>
          <w:rFonts w:ascii="Times New Roman" w:hAnsi="Times New Roman"/>
          <w:i/>
          <w:sz w:val="24"/>
        </w:rPr>
        <w:t>P</w:t>
      </w:r>
      <w:r>
        <w:rPr>
          <w:rFonts w:ascii="Times New Roman" w:hAnsi="Times New Roman"/>
          <w:i/>
          <w:sz w:val="24"/>
          <w:vertAlign w:val="subscript"/>
        </w:rPr>
        <w:t>f</w:t>
      </w:r>
      <w:r>
        <w:rPr>
          <w:rFonts w:ascii="Times New Roman" w:hAnsi="Times New Roman"/>
          <w:i/>
          <w:sz w:val="24"/>
        </w:rPr>
        <w:t xml:space="preserve"> </w:t>
      </w:r>
      <w:r>
        <w:rPr>
          <w:rFonts w:ascii="Times New Roman" w:hAnsi="Times New Roman"/>
          <w:sz w:val="24"/>
        </w:rPr>
        <w:t xml:space="preserve"> un punktā </w:t>
      </w:r>
      <w:r>
        <w:rPr>
          <w:rFonts w:ascii="Times New Roman" w:hAnsi="Times New Roman"/>
          <w:i/>
          <w:sz w:val="24"/>
        </w:rPr>
        <w:t>Q</w:t>
      </w:r>
      <w:r>
        <w:rPr>
          <w:rFonts w:ascii="Times New Roman" w:hAnsi="Times New Roman"/>
          <w:i/>
          <w:sz w:val="24"/>
          <w:vertAlign w:val="subscript"/>
        </w:rPr>
        <w:t>f</w:t>
      </w:r>
      <w:r>
        <w:rPr>
          <w:rFonts w:ascii="Times New Roman" w:hAnsi="Times New Roman"/>
          <w:i/>
          <w:sz w:val="24"/>
        </w:rPr>
        <w:t xml:space="preserve"> </w:t>
      </w:r>
      <w:r>
        <w:rPr>
          <w:rFonts w:ascii="Times New Roman" w:hAnsi="Times New Roman"/>
          <w:sz w:val="24"/>
        </w:rPr>
        <w:t xml:space="preserve"> uz pieprasījuma līknes krustošanās vietas ar šo cenu. Veicot normēšanu, cena joprojām paliek </w:t>
      </w:r>
      <w:r>
        <w:rPr>
          <w:rFonts w:ascii="Times New Roman" w:hAnsi="Times New Roman"/>
          <w:i/>
          <w:sz w:val="24"/>
        </w:rPr>
        <w:t>P</w:t>
      </w:r>
      <w:r>
        <w:rPr>
          <w:rFonts w:ascii="Times New Roman" w:hAnsi="Times New Roman"/>
          <w:i/>
          <w:sz w:val="24"/>
          <w:vertAlign w:val="subscript"/>
        </w:rPr>
        <w:t>f</w:t>
      </w:r>
      <w:r>
        <w:rPr>
          <w:rFonts w:ascii="Times New Roman" w:hAnsi="Times New Roman"/>
          <w:i/>
          <w:sz w:val="24"/>
        </w:rPr>
        <w:t xml:space="preserve"> </w:t>
      </w:r>
      <w:r>
        <w:rPr>
          <w:rFonts w:ascii="Times New Roman" w:hAnsi="Times New Roman"/>
          <w:sz w:val="24"/>
        </w:rPr>
        <w:t xml:space="preserve">, bet daudzums samazinās uz </w:t>
      </w:r>
      <w:r>
        <w:rPr>
          <w:rFonts w:ascii="Times New Roman" w:hAnsi="Times New Roman"/>
          <w:i/>
          <w:sz w:val="24"/>
        </w:rPr>
        <w:t>Q</w:t>
      </w:r>
      <w:r>
        <w:rPr>
          <w:rFonts w:ascii="Times New Roman" w:hAnsi="Times New Roman"/>
          <w:i/>
          <w:sz w:val="24"/>
          <w:vertAlign w:val="subscript"/>
        </w:rPr>
        <w:t>r</w:t>
      </w:r>
      <w:r>
        <w:rPr>
          <w:rFonts w:ascii="Times New Roman" w:hAnsi="Times New Roman"/>
          <w:sz w:val="24"/>
        </w:rPr>
        <w:t>. Par patērētājiem, kas normēšanas (vai daudzuma ierobežojuma) rezultātā zaudē produktu, tie zaudē savu patērētāja atlikumu.</w:t>
      </w:r>
    </w:p>
    <w:p w14:paraId="0E1355AB" w14:textId="77777777" w:rsidR="000A6469" w:rsidRPr="004D11C9" w:rsidRDefault="000A6469" w:rsidP="004D11C9">
      <w:pPr>
        <w:jc w:val="both"/>
        <w:rPr>
          <w:rFonts w:ascii="Times New Roman" w:hAnsi="Times New Roman"/>
          <w:noProof/>
          <w:sz w:val="24"/>
        </w:rPr>
      </w:pPr>
    </w:p>
    <w:p w14:paraId="16CA2B89" w14:textId="5F4E2DA6" w:rsidR="000A6469" w:rsidRPr="004D11C9" w:rsidRDefault="00CC3E5E" w:rsidP="00CC3E5E">
      <w:pPr>
        <w:jc w:val="center"/>
        <w:rPr>
          <w:rFonts w:ascii="Times New Roman" w:eastAsia="Arial" w:hAnsi="Times New Roman" w:cs="Arial"/>
          <w:noProof/>
          <w:sz w:val="24"/>
          <w:szCs w:val="20"/>
        </w:rPr>
      </w:pPr>
      <w:r>
        <w:rPr>
          <w:rFonts w:ascii="Times New Roman" w:hAnsi="Times New Roman"/>
          <w:noProof/>
          <w:sz w:val="24"/>
          <w:szCs w:val="20"/>
        </w:rPr>
        <w:drawing>
          <wp:inline distT="0" distB="0" distL="0" distR="0" wp14:anchorId="2740B932" wp14:editId="19BC13BE">
            <wp:extent cx="3267075" cy="27432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67075" cy="2743200"/>
                    </a:xfrm>
                    <a:prstGeom prst="rect">
                      <a:avLst/>
                    </a:prstGeom>
                    <a:noFill/>
                    <a:ln>
                      <a:noFill/>
                    </a:ln>
                  </pic:spPr>
                </pic:pic>
              </a:graphicData>
            </a:graphic>
          </wp:inline>
        </w:drawing>
      </w:r>
    </w:p>
    <w:p w14:paraId="64F4D2E6" w14:textId="77777777" w:rsidR="000A6469" w:rsidRPr="004D11C9" w:rsidRDefault="000A6469" w:rsidP="004D11C9">
      <w:pPr>
        <w:jc w:val="both"/>
        <w:rPr>
          <w:rFonts w:ascii="Times New Roman" w:eastAsia="Arial" w:hAnsi="Times New Roman" w:cs="Arial"/>
          <w:noProof/>
          <w:sz w:val="24"/>
          <w:szCs w:val="18"/>
        </w:rPr>
      </w:pPr>
    </w:p>
    <w:p w14:paraId="1F4BC13C"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Ietekmētā patēriņa apmērs ir </w:t>
      </w:r>
      <w:r>
        <w:rPr>
          <w:rFonts w:ascii="Times New Roman" w:hAnsi="Times New Roman"/>
          <w:i/>
          <w:sz w:val="24"/>
        </w:rPr>
        <w:t>Q</w:t>
      </w:r>
      <w:r>
        <w:rPr>
          <w:rFonts w:ascii="Times New Roman" w:hAnsi="Times New Roman"/>
          <w:i/>
          <w:sz w:val="24"/>
          <w:vertAlign w:val="subscript"/>
        </w:rPr>
        <w:t>f</w:t>
      </w:r>
      <w:r>
        <w:rPr>
          <w:rFonts w:ascii="Times New Roman" w:hAnsi="Times New Roman"/>
          <w:i/>
          <w:sz w:val="24"/>
        </w:rPr>
        <w:t xml:space="preserve"> – Q</w:t>
      </w:r>
      <w:r>
        <w:rPr>
          <w:rFonts w:ascii="Times New Roman" w:hAnsi="Times New Roman"/>
          <w:i/>
          <w:sz w:val="24"/>
          <w:vertAlign w:val="subscript"/>
        </w:rPr>
        <w:t>r</w:t>
      </w:r>
      <w:r>
        <w:rPr>
          <w:rFonts w:ascii="Times New Roman" w:hAnsi="Times New Roman"/>
          <w:sz w:val="24"/>
        </w:rPr>
        <w:t>. Tomēr ietekme skars ne tikai robežpatērētājus. Normēšana var ietekmēt visus patērētājus ar noteiktu varbūtību. Taksometru normēšana var ietekmēt visus patērētājus. Ar vienādu varbūtību pieņemot, ka tiks normēta katra patēriņa vienība, patērētājam nodarītais kaitējums tiks noteikts, pamatojoties uz pieprasījuma līknes “saspiesto” versiju, kas attēlota kā melns trīsstūris ar laukumu D.</w:t>
      </w:r>
    </w:p>
    <w:p w14:paraId="3840E20E" w14:textId="77777777" w:rsidR="000A6469" w:rsidRPr="004D11C9" w:rsidRDefault="000A6469" w:rsidP="004D11C9">
      <w:pPr>
        <w:jc w:val="both"/>
        <w:rPr>
          <w:rFonts w:ascii="Times New Roman" w:hAnsi="Times New Roman"/>
          <w:noProof/>
          <w:sz w:val="24"/>
        </w:rPr>
      </w:pPr>
    </w:p>
    <w:p w14:paraId="2C2D02F6"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Patērētāja ieguvums no pārejas no ierobežota daudzuma uz pieprasījuma līkni, kurā pieprasījuma līknei ir slīpums –</w:t>
      </w:r>
      <w:r>
        <w:rPr>
          <w:rFonts w:ascii="Times New Roman" w:hAnsi="Times New Roman"/>
          <w:i/>
          <w:sz w:val="24"/>
        </w:rPr>
        <w:t>m</w:t>
      </w:r>
      <w:r>
        <w:rPr>
          <w:rFonts w:ascii="Times New Roman" w:hAnsi="Times New Roman"/>
          <w:sz w:val="24"/>
        </w:rPr>
        <w:t>, ir:</w:t>
      </w:r>
    </w:p>
    <w:p w14:paraId="42F2CF5D" w14:textId="77777777" w:rsidR="00867DDD" w:rsidRPr="004D11C9" w:rsidRDefault="00867DDD" w:rsidP="004D11C9">
      <w:pPr>
        <w:jc w:val="both"/>
        <w:rPr>
          <w:rFonts w:ascii="Times New Roman" w:hAnsi="Times New Roman"/>
          <w:noProof/>
          <w:sz w:val="24"/>
        </w:rPr>
      </w:pPr>
    </w:p>
    <w:p w14:paraId="42FCA87F" w14:textId="152C217C" w:rsidR="000A6469" w:rsidRPr="004D11C9" w:rsidRDefault="00CC3E5E" w:rsidP="00CC3E5E">
      <w:pPr>
        <w:jc w:val="center"/>
        <w:rPr>
          <w:rFonts w:ascii="Times New Roman" w:eastAsia="Arial" w:hAnsi="Times New Roman" w:cs="Arial"/>
          <w:noProof/>
          <w:sz w:val="24"/>
          <w:szCs w:val="20"/>
        </w:rPr>
      </w:pPr>
      <w:r>
        <w:rPr>
          <w:rFonts w:ascii="Times New Roman" w:hAnsi="Times New Roman"/>
          <w:noProof/>
          <w:sz w:val="24"/>
          <w:szCs w:val="20"/>
        </w:rPr>
        <w:lastRenderedPageBreak/>
        <w:drawing>
          <wp:inline distT="0" distB="0" distL="0" distR="0" wp14:anchorId="123055FB" wp14:editId="6BF79C17">
            <wp:extent cx="1819275" cy="4286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19275" cy="428625"/>
                    </a:xfrm>
                    <a:prstGeom prst="rect">
                      <a:avLst/>
                    </a:prstGeom>
                    <a:noFill/>
                    <a:ln>
                      <a:noFill/>
                    </a:ln>
                  </pic:spPr>
                </pic:pic>
              </a:graphicData>
            </a:graphic>
          </wp:inline>
        </w:drawing>
      </w:r>
    </w:p>
    <w:p w14:paraId="314D21E3" w14:textId="77777777" w:rsidR="00867DDD" w:rsidRPr="004D11C9" w:rsidRDefault="00867DDD" w:rsidP="004D11C9">
      <w:pPr>
        <w:jc w:val="both"/>
        <w:rPr>
          <w:rFonts w:ascii="Times New Roman" w:eastAsia="Cambria Math" w:hAnsi="Times New Roman" w:cs="Cambria Math"/>
          <w:noProof/>
          <w:sz w:val="24"/>
          <w:szCs w:val="21"/>
        </w:rPr>
      </w:pPr>
    </w:p>
    <w:p w14:paraId="70C9CFE7"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Jāņem vērā, ka:</w:t>
      </w:r>
    </w:p>
    <w:p w14:paraId="0939D70B" w14:textId="590D40BA" w:rsidR="000A6469" w:rsidRDefault="000A6469" w:rsidP="004D11C9">
      <w:pPr>
        <w:jc w:val="both"/>
        <w:rPr>
          <w:rFonts w:ascii="Times New Roman" w:eastAsia="Arial" w:hAnsi="Times New Roman" w:cs="Arial"/>
          <w:noProof/>
          <w:sz w:val="24"/>
          <w:szCs w:val="15"/>
        </w:rPr>
      </w:pPr>
    </w:p>
    <w:p w14:paraId="6C78FFA0" w14:textId="7886E3D1" w:rsidR="00CC3E5E" w:rsidRDefault="00CC3E5E" w:rsidP="00CC3E5E">
      <w:pPr>
        <w:jc w:val="center"/>
        <w:rPr>
          <w:rFonts w:ascii="Times New Roman" w:eastAsia="Arial" w:hAnsi="Times New Roman" w:cs="Arial"/>
          <w:noProof/>
          <w:sz w:val="24"/>
          <w:szCs w:val="15"/>
        </w:rPr>
      </w:pPr>
      <w:r>
        <w:rPr>
          <w:rFonts w:ascii="Times New Roman" w:hAnsi="Times New Roman"/>
          <w:noProof/>
          <w:sz w:val="24"/>
          <w:szCs w:val="15"/>
        </w:rPr>
        <w:drawing>
          <wp:inline distT="0" distB="0" distL="0" distR="0" wp14:anchorId="6D6AB022" wp14:editId="6FF72D04">
            <wp:extent cx="1057275" cy="2762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57275" cy="276225"/>
                    </a:xfrm>
                    <a:prstGeom prst="rect">
                      <a:avLst/>
                    </a:prstGeom>
                    <a:noFill/>
                    <a:ln>
                      <a:noFill/>
                    </a:ln>
                  </pic:spPr>
                </pic:pic>
              </a:graphicData>
            </a:graphic>
          </wp:inline>
        </w:drawing>
      </w:r>
    </w:p>
    <w:p w14:paraId="341E3A51" w14:textId="06B0036E" w:rsidR="00CC3E5E" w:rsidRDefault="00CC3E5E" w:rsidP="004D11C9">
      <w:pPr>
        <w:jc w:val="both"/>
        <w:rPr>
          <w:rFonts w:ascii="Times New Roman" w:eastAsia="Arial" w:hAnsi="Times New Roman" w:cs="Arial"/>
          <w:noProof/>
          <w:sz w:val="24"/>
          <w:szCs w:val="15"/>
        </w:rPr>
      </w:pPr>
    </w:p>
    <w:p w14:paraId="61551D01" w14:textId="21D41460"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 xml:space="preserve">lai noteiktu slīpumu </w:t>
      </w:r>
      <w:r>
        <w:rPr>
          <w:rFonts w:ascii="Times New Roman" w:hAnsi="Times New Roman"/>
          <w:i/>
          <w:sz w:val="24"/>
        </w:rPr>
        <w:t>m</w:t>
      </w:r>
      <w:r>
        <w:rPr>
          <w:rFonts w:ascii="Times New Roman" w:hAnsi="Times New Roman"/>
          <w:sz w:val="24"/>
        </w:rPr>
        <w:t xml:space="preserve"> atkarībā no diviem punktiem, punkts (Qr, Pr) ir izraudzīts kā salīdzināmais lielums punktam:</w:t>
      </w:r>
    </w:p>
    <w:p w14:paraId="194698A4" w14:textId="77777777" w:rsidR="000A6469" w:rsidRPr="004D11C9" w:rsidRDefault="000A6469" w:rsidP="004D11C9">
      <w:pPr>
        <w:jc w:val="both"/>
        <w:rPr>
          <w:rFonts w:ascii="Times New Roman" w:eastAsia="Arial" w:hAnsi="Times New Roman" w:cs="Arial"/>
          <w:noProof/>
          <w:sz w:val="24"/>
          <w:szCs w:val="12"/>
        </w:rPr>
      </w:pPr>
    </w:p>
    <w:p w14:paraId="7719C306" w14:textId="69498A92" w:rsidR="00867DDD" w:rsidRPr="004D11C9" w:rsidRDefault="00CC3E5E" w:rsidP="00CC3E5E">
      <w:pPr>
        <w:jc w:val="center"/>
        <w:rPr>
          <w:rFonts w:ascii="Times New Roman" w:eastAsia="Arial" w:hAnsi="Times New Roman" w:cs="Arial"/>
          <w:noProof/>
          <w:sz w:val="24"/>
          <w:szCs w:val="12"/>
        </w:rPr>
      </w:pPr>
      <w:r>
        <w:rPr>
          <w:rFonts w:ascii="Times New Roman" w:hAnsi="Times New Roman"/>
          <w:noProof/>
          <w:sz w:val="24"/>
          <w:szCs w:val="12"/>
        </w:rPr>
        <w:drawing>
          <wp:inline distT="0" distB="0" distL="0" distR="0" wp14:anchorId="246BB659" wp14:editId="20549E4C">
            <wp:extent cx="981075" cy="5334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81075" cy="533400"/>
                    </a:xfrm>
                    <a:prstGeom prst="rect">
                      <a:avLst/>
                    </a:prstGeom>
                    <a:noFill/>
                    <a:ln>
                      <a:noFill/>
                    </a:ln>
                  </pic:spPr>
                </pic:pic>
              </a:graphicData>
            </a:graphic>
          </wp:inline>
        </w:drawing>
      </w:r>
    </w:p>
    <w:p w14:paraId="19BDB22C" w14:textId="77777777" w:rsidR="00867DDD" w:rsidRPr="004D11C9" w:rsidRDefault="00867DDD" w:rsidP="004D11C9">
      <w:pPr>
        <w:jc w:val="both"/>
        <w:rPr>
          <w:rFonts w:ascii="Times New Roman" w:eastAsia="Cambria Math" w:hAnsi="Times New Roman" w:cs="Cambria Math"/>
          <w:noProof/>
          <w:sz w:val="24"/>
          <w:szCs w:val="15"/>
        </w:rPr>
      </w:pPr>
    </w:p>
    <w:p w14:paraId="52416E12" w14:textId="158477F8" w:rsidR="000A6469" w:rsidRDefault="00CC3E5E" w:rsidP="004D11C9">
      <w:pPr>
        <w:jc w:val="both"/>
        <w:rPr>
          <w:rFonts w:ascii="Times New Roman" w:eastAsia="Cambria Math" w:hAnsi="Times New Roman" w:cs="Cambria Math"/>
          <w:noProof/>
          <w:sz w:val="24"/>
          <w:szCs w:val="3"/>
        </w:rPr>
      </w:pPr>
      <w:r>
        <w:rPr>
          <w:rFonts w:ascii="Times New Roman" w:hAnsi="Times New Roman"/>
          <w:sz w:val="24"/>
        </w:rPr>
        <w:t>Rezultātā</w:t>
      </w:r>
    </w:p>
    <w:p w14:paraId="15FB1F2B" w14:textId="5DE75F54" w:rsidR="00CC3E5E" w:rsidRDefault="00CC3E5E" w:rsidP="004D11C9">
      <w:pPr>
        <w:jc w:val="both"/>
        <w:rPr>
          <w:rFonts w:ascii="Times New Roman" w:eastAsia="Cambria Math" w:hAnsi="Times New Roman" w:cs="Cambria Math"/>
          <w:noProof/>
          <w:sz w:val="24"/>
          <w:szCs w:val="3"/>
        </w:rPr>
      </w:pPr>
    </w:p>
    <w:p w14:paraId="104107E3" w14:textId="3244D916" w:rsidR="00CC3E5E" w:rsidRDefault="00CC3E5E" w:rsidP="00CC3E5E">
      <w:pPr>
        <w:jc w:val="center"/>
        <w:rPr>
          <w:rFonts w:ascii="Times New Roman" w:eastAsia="Cambria Math" w:hAnsi="Times New Roman" w:cs="Cambria Math"/>
          <w:noProof/>
          <w:sz w:val="24"/>
          <w:szCs w:val="3"/>
        </w:rPr>
      </w:pPr>
      <w:r>
        <w:rPr>
          <w:rFonts w:ascii="Times New Roman" w:hAnsi="Times New Roman"/>
          <w:noProof/>
          <w:sz w:val="24"/>
          <w:szCs w:val="3"/>
        </w:rPr>
        <w:drawing>
          <wp:inline distT="0" distB="0" distL="0" distR="0" wp14:anchorId="348B3C00" wp14:editId="613B1295">
            <wp:extent cx="1476375" cy="5238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76375" cy="523875"/>
                    </a:xfrm>
                    <a:prstGeom prst="rect">
                      <a:avLst/>
                    </a:prstGeom>
                    <a:noFill/>
                    <a:ln>
                      <a:noFill/>
                    </a:ln>
                  </pic:spPr>
                </pic:pic>
              </a:graphicData>
            </a:graphic>
          </wp:inline>
        </w:drawing>
      </w:r>
    </w:p>
    <w:p w14:paraId="0CCD7578" w14:textId="77777777" w:rsidR="00CC3E5E" w:rsidRPr="004D11C9" w:rsidRDefault="00CC3E5E" w:rsidP="004D11C9">
      <w:pPr>
        <w:jc w:val="both"/>
        <w:rPr>
          <w:rFonts w:ascii="Times New Roman" w:eastAsia="Cambria Math" w:hAnsi="Times New Roman" w:cs="Cambria Math"/>
          <w:noProof/>
          <w:sz w:val="24"/>
          <w:szCs w:val="3"/>
        </w:rPr>
      </w:pPr>
    </w:p>
    <w:p w14:paraId="66093B7C" w14:textId="17FD629D" w:rsidR="00CC3E5E" w:rsidRPr="004D11C9" w:rsidRDefault="000A6469" w:rsidP="00CC3E5E">
      <w:pPr>
        <w:pStyle w:val="BodyText"/>
        <w:ind w:left="0" w:firstLine="0"/>
        <w:jc w:val="both"/>
        <w:rPr>
          <w:rFonts w:ascii="Times New Roman" w:hAnsi="Times New Roman"/>
          <w:noProof/>
          <w:sz w:val="24"/>
        </w:rPr>
      </w:pPr>
      <w:r>
        <w:rPr>
          <w:rFonts w:ascii="Times New Roman" w:hAnsi="Times New Roman"/>
          <w:sz w:val="24"/>
        </w:rPr>
        <w:t>patērētāja ieguvumu no normēšanas likvidēšanas ir iespējams pārformulēt kā:</w:t>
      </w:r>
    </w:p>
    <w:p w14:paraId="369CB833" w14:textId="0B3C00F5" w:rsidR="000A6469" w:rsidRPr="004D11C9" w:rsidRDefault="000A6469" w:rsidP="004D11C9">
      <w:pPr>
        <w:pStyle w:val="BodyText"/>
        <w:ind w:left="0" w:firstLine="0"/>
        <w:jc w:val="both"/>
        <w:rPr>
          <w:rFonts w:ascii="Times New Roman" w:hAnsi="Times New Roman"/>
          <w:noProof/>
          <w:sz w:val="24"/>
        </w:rPr>
      </w:pPr>
    </w:p>
    <w:p w14:paraId="59F41C82" w14:textId="626BBC74" w:rsidR="000A6469" w:rsidRPr="004D11C9" w:rsidRDefault="00CC3E5E" w:rsidP="00CC3E5E">
      <w:pPr>
        <w:jc w:val="center"/>
        <w:rPr>
          <w:rFonts w:ascii="Times New Roman" w:eastAsia="Arial" w:hAnsi="Times New Roman" w:cs="Arial"/>
          <w:noProof/>
          <w:sz w:val="24"/>
          <w:szCs w:val="12"/>
        </w:rPr>
      </w:pPr>
      <w:r>
        <w:rPr>
          <w:rFonts w:ascii="Times New Roman" w:hAnsi="Times New Roman"/>
          <w:noProof/>
          <w:sz w:val="24"/>
          <w:szCs w:val="12"/>
        </w:rPr>
        <w:drawing>
          <wp:inline distT="0" distB="0" distL="0" distR="0" wp14:anchorId="08F76460" wp14:editId="06B82B8F">
            <wp:extent cx="1857375" cy="4857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57375" cy="485775"/>
                    </a:xfrm>
                    <a:prstGeom prst="rect">
                      <a:avLst/>
                    </a:prstGeom>
                    <a:noFill/>
                    <a:ln>
                      <a:noFill/>
                    </a:ln>
                  </pic:spPr>
                </pic:pic>
              </a:graphicData>
            </a:graphic>
          </wp:inline>
        </w:drawing>
      </w:r>
    </w:p>
    <w:p w14:paraId="2E0D4F8F" w14:textId="77777777" w:rsidR="00867DDD" w:rsidRPr="004D11C9" w:rsidRDefault="00867DDD" w:rsidP="004D11C9">
      <w:pPr>
        <w:jc w:val="both"/>
        <w:rPr>
          <w:rFonts w:ascii="Times New Roman" w:eastAsia="Cambria Math" w:hAnsi="Times New Roman" w:cs="Cambria Math"/>
          <w:noProof/>
          <w:sz w:val="24"/>
          <w:szCs w:val="21"/>
        </w:rPr>
      </w:pPr>
    </w:p>
    <w:p w14:paraId="73375054"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Vienkāršojot iegūst:</w:t>
      </w:r>
    </w:p>
    <w:p w14:paraId="2C11A1B3" w14:textId="77777777" w:rsidR="000A6469" w:rsidRPr="004D11C9" w:rsidRDefault="000A6469" w:rsidP="004D11C9">
      <w:pPr>
        <w:jc w:val="both"/>
        <w:rPr>
          <w:rFonts w:ascii="Times New Roman" w:eastAsia="Arial" w:hAnsi="Times New Roman" w:cs="Arial"/>
          <w:noProof/>
          <w:sz w:val="24"/>
          <w:szCs w:val="12"/>
        </w:rPr>
      </w:pPr>
    </w:p>
    <w:p w14:paraId="4FB1E788" w14:textId="28009E67" w:rsidR="00867DDD" w:rsidRPr="004D11C9" w:rsidRDefault="00CC3E5E" w:rsidP="00CC3E5E">
      <w:pPr>
        <w:jc w:val="center"/>
        <w:rPr>
          <w:rFonts w:ascii="Times New Roman" w:eastAsia="Arial" w:hAnsi="Times New Roman" w:cs="Arial"/>
          <w:noProof/>
          <w:sz w:val="24"/>
          <w:szCs w:val="12"/>
        </w:rPr>
      </w:pPr>
      <w:r>
        <w:rPr>
          <w:rFonts w:ascii="Times New Roman" w:hAnsi="Times New Roman"/>
          <w:noProof/>
          <w:sz w:val="24"/>
          <w:szCs w:val="12"/>
        </w:rPr>
        <w:drawing>
          <wp:inline distT="0" distB="0" distL="0" distR="0" wp14:anchorId="718BAC20" wp14:editId="3677ABA5">
            <wp:extent cx="1400175" cy="14287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00175" cy="1428750"/>
                    </a:xfrm>
                    <a:prstGeom prst="rect">
                      <a:avLst/>
                    </a:prstGeom>
                    <a:noFill/>
                    <a:ln>
                      <a:noFill/>
                    </a:ln>
                  </pic:spPr>
                </pic:pic>
              </a:graphicData>
            </a:graphic>
          </wp:inline>
        </w:drawing>
      </w:r>
    </w:p>
    <w:p w14:paraId="6FF3D38D" w14:textId="3AC99781" w:rsidR="00CC3E5E" w:rsidRDefault="00CC3E5E">
      <w:pPr>
        <w:rPr>
          <w:rFonts w:ascii="Times New Roman" w:eastAsia="Times New Roman" w:hAnsi="Times New Roman" w:cs="Times New Roman"/>
          <w:noProof/>
          <w:sz w:val="24"/>
          <w:szCs w:val="17"/>
        </w:rPr>
      </w:pPr>
      <w:r>
        <w:br w:type="page"/>
      </w:r>
    </w:p>
    <w:p w14:paraId="5DC91050" w14:textId="77777777" w:rsidR="000A6469" w:rsidRPr="004D11C9" w:rsidRDefault="000A6469" w:rsidP="004D11C9">
      <w:pPr>
        <w:jc w:val="both"/>
        <w:rPr>
          <w:rFonts w:ascii="Times New Roman" w:eastAsia="Times New Roman" w:hAnsi="Times New Roman" w:cs="Times New Roman"/>
          <w:noProof/>
          <w:sz w:val="24"/>
          <w:szCs w:val="25"/>
        </w:rPr>
      </w:pPr>
    </w:p>
    <w:p w14:paraId="26F739F8" w14:textId="4169EB3A" w:rsidR="000A6469" w:rsidRPr="004D11C9" w:rsidRDefault="000A6469" w:rsidP="00887892">
      <w:pPr>
        <w:pStyle w:val="Heading1"/>
        <w:spacing w:before="0"/>
        <w:ind w:left="0"/>
        <w:jc w:val="both"/>
        <w:rPr>
          <w:rFonts w:ascii="Times New Roman" w:hAnsi="Times New Roman"/>
          <w:noProof/>
          <w:sz w:val="24"/>
        </w:rPr>
      </w:pPr>
      <w:bookmarkStart w:id="229" w:name="Annex_2__Effects_of_eliminating_competit"/>
      <w:bookmarkStart w:id="230" w:name="_bookmark115"/>
      <w:bookmarkStart w:id="231" w:name="_Toc62650504"/>
      <w:bookmarkEnd w:id="229"/>
      <w:bookmarkEnd w:id="230"/>
      <w:r w:rsidRPr="001A796E">
        <w:rPr>
          <w:rFonts w:ascii="Times New Roman" w:hAnsi="Times New Roman"/>
          <w:sz w:val="28"/>
          <w:szCs w:val="56"/>
        </w:rPr>
        <w:t>2. pielikums.</w:t>
      </w:r>
      <w:r w:rsidR="00887892">
        <w:rPr>
          <w:rFonts w:ascii="Times New Roman" w:hAnsi="Times New Roman"/>
          <w:sz w:val="24"/>
        </w:rPr>
        <w:br/>
      </w:r>
      <w:r>
        <w:rPr>
          <w:rFonts w:ascii="Times New Roman" w:hAnsi="Times New Roman"/>
          <w:sz w:val="24"/>
        </w:rPr>
        <w:t>Konkurences ierobežojuma likvidēšanas ietekme atbilstoši konkurences ierobežojuma veidam</w:t>
      </w:r>
      <w:bookmarkEnd w:id="231"/>
    </w:p>
    <w:p w14:paraId="02EFE79E" w14:textId="77777777" w:rsidR="00CC3E5E" w:rsidRPr="004D11C9" w:rsidRDefault="00CC3E5E" w:rsidP="004D11C9">
      <w:pPr>
        <w:jc w:val="both"/>
        <w:rPr>
          <w:rFonts w:ascii="Times New Roman" w:eastAsia="Arial" w:hAnsi="Times New Roman" w:cs="Arial"/>
          <w:b/>
          <w:bCs/>
          <w:noProof/>
          <w:sz w:val="24"/>
          <w:szCs w:val="36"/>
        </w:rPr>
      </w:pPr>
    </w:p>
    <w:p w14:paraId="0CE1BBCB" w14:textId="77777777" w:rsidR="000A6469" w:rsidRPr="004D11C9" w:rsidRDefault="000A6469" w:rsidP="004D11C9">
      <w:pPr>
        <w:pStyle w:val="BodyText"/>
        <w:ind w:left="0" w:firstLine="0"/>
        <w:jc w:val="both"/>
        <w:rPr>
          <w:rFonts w:ascii="Times New Roman" w:hAnsi="Times New Roman"/>
          <w:noProof/>
          <w:sz w:val="24"/>
        </w:rPr>
      </w:pPr>
      <w:r>
        <w:rPr>
          <w:rFonts w:ascii="Times New Roman" w:hAnsi="Times New Roman"/>
          <w:sz w:val="24"/>
        </w:rPr>
        <w:t>Šajā pielikumā sniegtas aplēses par pārejas uz konkurenci veicinošiem risinājumiem potenciālo ietekmi uz cenu, pamatojoties uz ESAO datubāzi par regulatīvo izmaiņu ietekmes kvantitatīvajām aplēsēm. Turpmāk šis pielikums tiks atjaunināts ik pa laikam, lai datubāzē atspoguļotu papildu avotus, un atjauninātās versijas būs pieejamas ESAO Konkurences novērtēšanas metodiskā līdzekļa tīmekļa vietnē. Kvantitatīvo rezultātu apkopojumi būs pieejami, un tajos būs iespējams veikt meklēšanu.</w:t>
      </w:r>
    </w:p>
    <w:p w14:paraId="16751134" w14:textId="4895419C" w:rsidR="000A6469" w:rsidRDefault="000A6469" w:rsidP="004D11C9">
      <w:pPr>
        <w:jc w:val="both"/>
        <w:rPr>
          <w:rFonts w:ascii="Times New Roman" w:eastAsia="Arial" w:hAnsi="Times New Roman" w:cs="Arial"/>
          <w:noProof/>
          <w:sz w:val="24"/>
          <w:szCs w:val="20"/>
        </w:rPr>
      </w:pPr>
    </w:p>
    <w:p w14:paraId="2102D3C5" w14:textId="77777777" w:rsidR="00CC3E5E" w:rsidRPr="004D11C9" w:rsidRDefault="00CC3E5E" w:rsidP="004D11C9">
      <w:pPr>
        <w:jc w:val="both"/>
        <w:rPr>
          <w:rFonts w:ascii="Times New Roman" w:eastAsia="Arial" w:hAnsi="Times New Roman" w:cs="Arial"/>
          <w:noProof/>
          <w:sz w:val="24"/>
          <w:szCs w:val="23"/>
        </w:rPr>
      </w:pPr>
    </w:p>
    <w:p w14:paraId="2421C60B" w14:textId="77777777" w:rsidR="000A6469" w:rsidRPr="004D11C9" w:rsidRDefault="000A6469" w:rsidP="004D11C9">
      <w:pPr>
        <w:pStyle w:val="Heading3"/>
        <w:ind w:left="0"/>
        <w:jc w:val="both"/>
        <w:rPr>
          <w:rFonts w:ascii="Times New Roman" w:hAnsi="Times New Roman"/>
          <w:noProof/>
          <w:sz w:val="24"/>
        </w:rPr>
      </w:pPr>
      <w:bookmarkStart w:id="232" w:name="_Toc62650505"/>
      <w:r>
        <w:rPr>
          <w:rFonts w:ascii="Times New Roman" w:hAnsi="Times New Roman"/>
          <w:sz w:val="24"/>
        </w:rPr>
        <w:t>6. tabula. Pārejas uz konkurenci veicinošiem risinājumiem ietekmes uz cenu vidējā vērtība un diapazons (2014. gada versija)</w:t>
      </w:r>
      <w:bookmarkEnd w:id="232"/>
    </w:p>
    <w:p w14:paraId="3EB758C8" w14:textId="77777777" w:rsidR="000A6469" w:rsidRPr="004D11C9" w:rsidRDefault="000A6469" w:rsidP="004D11C9">
      <w:pPr>
        <w:jc w:val="both"/>
        <w:rPr>
          <w:rFonts w:ascii="Times New Roman" w:eastAsia="Arial" w:hAnsi="Times New Roman" w:cs="Arial"/>
          <w:b/>
          <w:bCs/>
          <w:noProof/>
          <w:sz w:val="24"/>
        </w:rPr>
      </w:pPr>
    </w:p>
    <w:tbl>
      <w:tblPr>
        <w:tblW w:w="0" w:type="auto"/>
        <w:tblCellMar>
          <w:top w:w="28" w:type="dxa"/>
          <w:left w:w="28" w:type="dxa"/>
          <w:bottom w:w="28" w:type="dxa"/>
          <w:right w:w="28" w:type="dxa"/>
        </w:tblCellMar>
        <w:tblLook w:val="01E0" w:firstRow="1" w:lastRow="1" w:firstColumn="1" w:lastColumn="1" w:noHBand="0" w:noVBand="0"/>
      </w:tblPr>
      <w:tblGrid>
        <w:gridCol w:w="21"/>
        <w:gridCol w:w="957"/>
        <w:gridCol w:w="22"/>
        <w:gridCol w:w="1851"/>
        <w:gridCol w:w="22"/>
        <w:gridCol w:w="1214"/>
        <w:gridCol w:w="22"/>
        <w:gridCol w:w="4941"/>
        <w:gridCol w:w="22"/>
      </w:tblGrid>
      <w:tr w:rsidR="000A6469" w:rsidRPr="004D11C9" w14:paraId="66AC6A91" w14:textId="77777777" w:rsidTr="001B5B55">
        <w:trPr>
          <w:gridAfter w:val="1"/>
          <w:wAfter w:w="12" w:type="pct"/>
        </w:trPr>
        <w:tc>
          <w:tcPr>
            <w:tcW w:w="540" w:type="pct"/>
            <w:gridSpan w:val="2"/>
            <w:tcBorders>
              <w:top w:val="single" w:sz="18" w:space="0" w:color="F79546"/>
              <w:left w:val="nil"/>
              <w:bottom w:val="single" w:sz="5" w:space="0" w:color="000000"/>
              <w:right w:val="nil"/>
            </w:tcBorders>
            <w:vAlign w:val="center"/>
          </w:tcPr>
          <w:p w14:paraId="1AD5C0C2" w14:textId="77777777" w:rsidR="000A6469" w:rsidRPr="004D11C9" w:rsidRDefault="000A6469" w:rsidP="001B5B55">
            <w:pPr>
              <w:pStyle w:val="TableParagraph"/>
              <w:rPr>
                <w:rFonts w:ascii="Times New Roman" w:eastAsia="Arial" w:hAnsi="Times New Roman" w:cs="Arial"/>
                <w:noProof/>
                <w:sz w:val="24"/>
                <w:szCs w:val="18"/>
              </w:rPr>
            </w:pPr>
            <w:r>
              <w:rPr>
                <w:rFonts w:ascii="Times New Roman" w:hAnsi="Times New Roman"/>
                <w:b/>
                <w:sz w:val="24"/>
              </w:rPr>
              <w:t>Cenu izmaiņu vidējā vērtība (</w:t>
            </w:r>
            <w:r>
              <w:rPr>
                <w:rFonts w:ascii="Times New Roman" w:hAnsi="Times New Roman"/>
                <w:b/>
                <w:i/>
                <w:sz w:val="24"/>
              </w:rPr>
              <w:t>ρ</w:t>
            </w:r>
            <w:r>
              <w:rPr>
                <w:rFonts w:ascii="Times New Roman" w:hAnsi="Times New Roman"/>
                <w:b/>
                <w:sz w:val="24"/>
              </w:rPr>
              <w:t>) *</w:t>
            </w:r>
          </w:p>
        </w:tc>
        <w:tc>
          <w:tcPr>
            <w:tcW w:w="1032" w:type="pct"/>
            <w:gridSpan w:val="2"/>
            <w:tcBorders>
              <w:top w:val="single" w:sz="18" w:space="0" w:color="F79546"/>
              <w:left w:val="nil"/>
              <w:bottom w:val="single" w:sz="5" w:space="0" w:color="000000"/>
              <w:right w:val="nil"/>
            </w:tcBorders>
            <w:vAlign w:val="center"/>
          </w:tcPr>
          <w:p w14:paraId="4E2F87CD" w14:textId="21DD5351" w:rsidR="000A6469" w:rsidRPr="004D11C9" w:rsidRDefault="000A6469" w:rsidP="001B5B55">
            <w:pPr>
              <w:pStyle w:val="TableParagraph"/>
              <w:rPr>
                <w:rFonts w:ascii="Times New Roman" w:hAnsi="Times New Roman"/>
                <w:b/>
                <w:noProof/>
                <w:sz w:val="24"/>
              </w:rPr>
            </w:pPr>
            <w:r>
              <w:rPr>
                <w:rFonts w:ascii="Times New Roman" w:hAnsi="Times New Roman"/>
                <w:b/>
                <w:sz w:val="24"/>
              </w:rPr>
              <w:t>95 % ticamības intervāls</w:t>
            </w:r>
          </w:p>
        </w:tc>
        <w:tc>
          <w:tcPr>
            <w:tcW w:w="681" w:type="pct"/>
            <w:gridSpan w:val="2"/>
            <w:tcBorders>
              <w:top w:val="single" w:sz="18" w:space="0" w:color="F79546"/>
              <w:left w:val="nil"/>
              <w:bottom w:val="single" w:sz="5" w:space="0" w:color="000000"/>
              <w:right w:val="nil"/>
            </w:tcBorders>
            <w:vAlign w:val="center"/>
          </w:tcPr>
          <w:p w14:paraId="1079ADB9" w14:textId="77777777" w:rsidR="000A6469" w:rsidRPr="004D11C9" w:rsidRDefault="000A6469" w:rsidP="001B5B55">
            <w:pPr>
              <w:pStyle w:val="TableParagraph"/>
              <w:rPr>
                <w:rFonts w:ascii="Times New Roman" w:hAnsi="Times New Roman"/>
                <w:b/>
                <w:noProof/>
                <w:sz w:val="24"/>
              </w:rPr>
            </w:pPr>
            <w:r>
              <w:rPr>
                <w:rFonts w:ascii="Times New Roman" w:hAnsi="Times New Roman"/>
                <w:b/>
                <w:sz w:val="24"/>
              </w:rPr>
              <w:t>Rezultātu skaits</w:t>
            </w:r>
          </w:p>
        </w:tc>
        <w:tc>
          <w:tcPr>
            <w:tcW w:w="2735" w:type="pct"/>
            <w:gridSpan w:val="2"/>
            <w:tcBorders>
              <w:top w:val="single" w:sz="18" w:space="0" w:color="F79546"/>
              <w:left w:val="nil"/>
              <w:bottom w:val="single" w:sz="5" w:space="0" w:color="000000"/>
              <w:right w:val="nil"/>
            </w:tcBorders>
            <w:vAlign w:val="center"/>
          </w:tcPr>
          <w:p w14:paraId="5361B6BE" w14:textId="1C7D5E1A" w:rsidR="000A6469" w:rsidRPr="004D11C9" w:rsidRDefault="0001248D" w:rsidP="001B5B55">
            <w:pPr>
              <w:pStyle w:val="TableParagraph"/>
              <w:rPr>
                <w:rFonts w:ascii="Times New Roman" w:hAnsi="Times New Roman"/>
                <w:b/>
                <w:noProof/>
                <w:sz w:val="24"/>
              </w:rPr>
            </w:pPr>
            <w:r>
              <w:rPr>
                <w:rFonts w:ascii="Times New Roman" w:hAnsi="Times New Roman"/>
                <w:b/>
                <w:sz w:val="24"/>
              </w:rPr>
              <w:t>Regul</w:t>
            </w:r>
            <w:r w:rsidR="000A6469">
              <w:rPr>
                <w:rFonts w:ascii="Times New Roman" w:hAnsi="Times New Roman"/>
                <w:b/>
                <w:sz w:val="24"/>
              </w:rPr>
              <w:t>atīva ierobežojuma kategorija un apakškategorija</w:t>
            </w:r>
          </w:p>
        </w:tc>
      </w:tr>
      <w:tr w:rsidR="000A6469" w:rsidRPr="004D11C9" w14:paraId="0DD1335B" w14:textId="77777777" w:rsidTr="001B5B55">
        <w:trPr>
          <w:gridAfter w:val="1"/>
          <w:wAfter w:w="12" w:type="pct"/>
        </w:trPr>
        <w:tc>
          <w:tcPr>
            <w:tcW w:w="540" w:type="pct"/>
            <w:gridSpan w:val="2"/>
            <w:tcBorders>
              <w:top w:val="single" w:sz="5" w:space="0" w:color="000000"/>
              <w:left w:val="nil"/>
              <w:bottom w:val="nil"/>
              <w:right w:val="nil"/>
            </w:tcBorders>
            <w:shd w:val="clear" w:color="auto" w:fill="FAD3B4"/>
          </w:tcPr>
          <w:p w14:paraId="7F812AD1" w14:textId="77777777" w:rsidR="000A6469" w:rsidRPr="004D11C9" w:rsidRDefault="000A6469" w:rsidP="001B5B55">
            <w:pPr>
              <w:pStyle w:val="TableParagraph"/>
              <w:jc w:val="center"/>
              <w:rPr>
                <w:rFonts w:ascii="Times New Roman" w:hAnsi="Times New Roman"/>
                <w:b/>
                <w:noProof/>
                <w:sz w:val="24"/>
              </w:rPr>
            </w:pPr>
            <w:r>
              <w:rPr>
                <w:rFonts w:ascii="Times New Roman" w:hAnsi="Times New Roman"/>
                <w:b/>
                <w:sz w:val="24"/>
              </w:rPr>
              <w:t>–0,20</w:t>
            </w:r>
          </w:p>
        </w:tc>
        <w:tc>
          <w:tcPr>
            <w:tcW w:w="1032" w:type="pct"/>
            <w:gridSpan w:val="2"/>
            <w:tcBorders>
              <w:top w:val="single" w:sz="5" w:space="0" w:color="000000"/>
              <w:left w:val="nil"/>
              <w:bottom w:val="nil"/>
              <w:right w:val="nil"/>
            </w:tcBorders>
            <w:shd w:val="clear" w:color="auto" w:fill="FAD3B4"/>
          </w:tcPr>
          <w:p w14:paraId="19549495" w14:textId="77777777" w:rsidR="000A6469" w:rsidRPr="004D11C9" w:rsidRDefault="000A6469" w:rsidP="001B5B55">
            <w:pPr>
              <w:pStyle w:val="TableParagraph"/>
              <w:jc w:val="center"/>
              <w:rPr>
                <w:rFonts w:ascii="Times New Roman" w:hAnsi="Times New Roman"/>
                <w:b/>
                <w:noProof/>
                <w:sz w:val="24"/>
              </w:rPr>
            </w:pPr>
            <w:r>
              <w:rPr>
                <w:rFonts w:ascii="Times New Roman" w:hAnsi="Times New Roman"/>
                <w:b/>
                <w:sz w:val="24"/>
              </w:rPr>
              <w:t>no –0,23 līdz –0,16</w:t>
            </w:r>
          </w:p>
        </w:tc>
        <w:tc>
          <w:tcPr>
            <w:tcW w:w="681" w:type="pct"/>
            <w:gridSpan w:val="2"/>
            <w:tcBorders>
              <w:top w:val="single" w:sz="5" w:space="0" w:color="000000"/>
              <w:left w:val="nil"/>
              <w:bottom w:val="nil"/>
              <w:right w:val="nil"/>
            </w:tcBorders>
            <w:shd w:val="clear" w:color="auto" w:fill="FAD3B4"/>
          </w:tcPr>
          <w:p w14:paraId="5CD4C6F5" w14:textId="77777777" w:rsidR="000A6469" w:rsidRPr="004D11C9" w:rsidRDefault="000A6469" w:rsidP="001B5B55">
            <w:pPr>
              <w:pStyle w:val="TableParagraph"/>
              <w:jc w:val="center"/>
              <w:rPr>
                <w:rFonts w:ascii="Times New Roman" w:hAnsi="Times New Roman"/>
                <w:b/>
                <w:noProof/>
                <w:sz w:val="24"/>
              </w:rPr>
            </w:pPr>
            <w:r>
              <w:rPr>
                <w:rFonts w:ascii="Times New Roman" w:hAnsi="Times New Roman"/>
                <w:b/>
                <w:sz w:val="24"/>
              </w:rPr>
              <w:t>111</w:t>
            </w:r>
          </w:p>
        </w:tc>
        <w:tc>
          <w:tcPr>
            <w:tcW w:w="2735" w:type="pct"/>
            <w:gridSpan w:val="2"/>
            <w:tcBorders>
              <w:top w:val="single" w:sz="5" w:space="0" w:color="000000"/>
              <w:left w:val="nil"/>
              <w:bottom w:val="nil"/>
              <w:right w:val="nil"/>
            </w:tcBorders>
            <w:shd w:val="clear" w:color="auto" w:fill="FAD3B4"/>
          </w:tcPr>
          <w:p w14:paraId="69E192FF" w14:textId="77777777" w:rsidR="000A6469" w:rsidRPr="004D11C9" w:rsidRDefault="000A6469" w:rsidP="001B5B55">
            <w:pPr>
              <w:pStyle w:val="TableParagraph"/>
              <w:jc w:val="center"/>
              <w:rPr>
                <w:rFonts w:ascii="Times New Roman" w:hAnsi="Times New Roman"/>
                <w:b/>
                <w:noProof/>
                <w:sz w:val="24"/>
              </w:rPr>
            </w:pPr>
            <w:r>
              <w:rPr>
                <w:rFonts w:ascii="Times New Roman" w:hAnsi="Times New Roman"/>
                <w:b/>
                <w:sz w:val="24"/>
              </w:rPr>
              <w:t>A) Ierobežo piegādātāju skaitu vai loku</w:t>
            </w:r>
          </w:p>
        </w:tc>
      </w:tr>
      <w:tr w:rsidR="000A6469" w:rsidRPr="004D11C9" w14:paraId="14EDD4E4" w14:textId="77777777" w:rsidTr="001B5B55">
        <w:trPr>
          <w:gridAfter w:val="1"/>
          <w:wAfter w:w="12" w:type="pct"/>
        </w:trPr>
        <w:tc>
          <w:tcPr>
            <w:tcW w:w="540" w:type="pct"/>
            <w:gridSpan w:val="2"/>
            <w:tcBorders>
              <w:top w:val="nil"/>
              <w:left w:val="nil"/>
              <w:bottom w:val="nil"/>
              <w:right w:val="nil"/>
            </w:tcBorders>
          </w:tcPr>
          <w:p w14:paraId="2DABE10F" w14:textId="77777777" w:rsidR="000A6469" w:rsidRPr="004D11C9" w:rsidRDefault="000A6469" w:rsidP="001B5B55">
            <w:pPr>
              <w:pStyle w:val="TableParagraph"/>
              <w:jc w:val="center"/>
              <w:rPr>
                <w:rFonts w:ascii="Times New Roman" w:hAnsi="Times New Roman"/>
                <w:noProof/>
                <w:sz w:val="24"/>
              </w:rPr>
            </w:pPr>
            <w:r>
              <w:rPr>
                <w:rFonts w:ascii="Times New Roman" w:hAnsi="Times New Roman"/>
                <w:sz w:val="24"/>
              </w:rPr>
              <w:t>–0,19</w:t>
            </w:r>
          </w:p>
        </w:tc>
        <w:tc>
          <w:tcPr>
            <w:tcW w:w="1032" w:type="pct"/>
            <w:gridSpan w:val="2"/>
            <w:tcBorders>
              <w:top w:val="nil"/>
              <w:left w:val="nil"/>
              <w:bottom w:val="nil"/>
              <w:right w:val="nil"/>
            </w:tcBorders>
          </w:tcPr>
          <w:p w14:paraId="35E5BC5D" w14:textId="77777777" w:rsidR="000A6469" w:rsidRPr="004D11C9" w:rsidRDefault="000A6469" w:rsidP="001B5B55">
            <w:pPr>
              <w:pStyle w:val="TableParagraph"/>
              <w:jc w:val="center"/>
              <w:rPr>
                <w:rFonts w:ascii="Times New Roman" w:hAnsi="Times New Roman"/>
                <w:noProof/>
                <w:sz w:val="24"/>
              </w:rPr>
            </w:pPr>
            <w:r>
              <w:rPr>
                <w:rFonts w:ascii="Times New Roman" w:hAnsi="Times New Roman"/>
                <w:sz w:val="24"/>
              </w:rPr>
              <w:t>no –0,28 līdz –0,10</w:t>
            </w:r>
          </w:p>
        </w:tc>
        <w:tc>
          <w:tcPr>
            <w:tcW w:w="681" w:type="pct"/>
            <w:gridSpan w:val="2"/>
            <w:tcBorders>
              <w:top w:val="nil"/>
              <w:left w:val="nil"/>
              <w:bottom w:val="nil"/>
              <w:right w:val="nil"/>
            </w:tcBorders>
          </w:tcPr>
          <w:p w14:paraId="4978134D" w14:textId="77777777" w:rsidR="000A6469" w:rsidRPr="004D11C9" w:rsidRDefault="000A6469" w:rsidP="001B5B55">
            <w:pPr>
              <w:pStyle w:val="TableParagraph"/>
              <w:jc w:val="center"/>
              <w:rPr>
                <w:rFonts w:ascii="Times New Roman" w:hAnsi="Times New Roman"/>
                <w:noProof/>
                <w:sz w:val="24"/>
              </w:rPr>
            </w:pPr>
            <w:r>
              <w:rPr>
                <w:rFonts w:ascii="Times New Roman" w:hAnsi="Times New Roman"/>
                <w:sz w:val="24"/>
              </w:rPr>
              <w:t>28</w:t>
            </w:r>
          </w:p>
        </w:tc>
        <w:tc>
          <w:tcPr>
            <w:tcW w:w="2735" w:type="pct"/>
            <w:gridSpan w:val="2"/>
            <w:tcBorders>
              <w:top w:val="nil"/>
              <w:left w:val="nil"/>
              <w:bottom w:val="nil"/>
              <w:right w:val="nil"/>
            </w:tcBorders>
          </w:tcPr>
          <w:p w14:paraId="1E8950CF" w14:textId="77777777" w:rsidR="000A6469" w:rsidRPr="004D11C9" w:rsidRDefault="000A6469" w:rsidP="001B5B55">
            <w:pPr>
              <w:pStyle w:val="TableParagraph"/>
              <w:jc w:val="center"/>
              <w:rPr>
                <w:rFonts w:ascii="Times New Roman" w:hAnsi="Times New Roman"/>
                <w:noProof/>
                <w:sz w:val="24"/>
              </w:rPr>
            </w:pPr>
            <w:r>
              <w:rPr>
                <w:rFonts w:ascii="Times New Roman" w:hAnsi="Times New Roman"/>
                <w:sz w:val="24"/>
              </w:rPr>
              <w:t>1. Piešķir piegādātājam ekskluzīvas tiesības piegādāt preces vai sniegt pakalpojumus</w:t>
            </w:r>
          </w:p>
        </w:tc>
      </w:tr>
      <w:tr w:rsidR="000A6469" w:rsidRPr="004D11C9" w14:paraId="4C02DB36" w14:textId="77777777" w:rsidTr="001B5B55">
        <w:trPr>
          <w:gridAfter w:val="1"/>
          <w:wAfter w:w="12" w:type="pct"/>
        </w:trPr>
        <w:tc>
          <w:tcPr>
            <w:tcW w:w="540" w:type="pct"/>
            <w:gridSpan w:val="2"/>
            <w:tcBorders>
              <w:top w:val="nil"/>
              <w:left w:val="nil"/>
              <w:bottom w:val="nil"/>
              <w:right w:val="nil"/>
            </w:tcBorders>
            <w:shd w:val="clear" w:color="auto" w:fill="FAD3B4"/>
          </w:tcPr>
          <w:p w14:paraId="030CF172" w14:textId="77777777" w:rsidR="000A6469" w:rsidRPr="004D11C9" w:rsidRDefault="000A6469" w:rsidP="001B5B55">
            <w:pPr>
              <w:pStyle w:val="TableParagraph"/>
              <w:jc w:val="center"/>
              <w:rPr>
                <w:rFonts w:ascii="Times New Roman" w:hAnsi="Times New Roman"/>
                <w:noProof/>
                <w:sz w:val="24"/>
              </w:rPr>
            </w:pPr>
            <w:r>
              <w:rPr>
                <w:rFonts w:ascii="Times New Roman" w:hAnsi="Times New Roman"/>
                <w:sz w:val="24"/>
              </w:rPr>
              <w:t>–0,23</w:t>
            </w:r>
          </w:p>
        </w:tc>
        <w:tc>
          <w:tcPr>
            <w:tcW w:w="1032" w:type="pct"/>
            <w:gridSpan w:val="2"/>
            <w:tcBorders>
              <w:top w:val="nil"/>
              <w:left w:val="nil"/>
              <w:bottom w:val="nil"/>
              <w:right w:val="nil"/>
            </w:tcBorders>
            <w:shd w:val="clear" w:color="auto" w:fill="FAD3B4"/>
          </w:tcPr>
          <w:p w14:paraId="229741E3" w14:textId="77777777" w:rsidR="000A6469" w:rsidRPr="004D11C9" w:rsidRDefault="000A6469" w:rsidP="001B5B55">
            <w:pPr>
              <w:pStyle w:val="TableParagraph"/>
              <w:jc w:val="center"/>
              <w:rPr>
                <w:rFonts w:ascii="Times New Roman" w:hAnsi="Times New Roman"/>
                <w:noProof/>
                <w:sz w:val="24"/>
              </w:rPr>
            </w:pPr>
            <w:r>
              <w:rPr>
                <w:rFonts w:ascii="Times New Roman" w:hAnsi="Times New Roman"/>
                <w:sz w:val="24"/>
              </w:rPr>
              <w:t>no –0,27 līdz –0,19</w:t>
            </w:r>
          </w:p>
        </w:tc>
        <w:tc>
          <w:tcPr>
            <w:tcW w:w="681" w:type="pct"/>
            <w:gridSpan w:val="2"/>
            <w:tcBorders>
              <w:top w:val="nil"/>
              <w:left w:val="nil"/>
              <w:bottom w:val="nil"/>
              <w:right w:val="nil"/>
            </w:tcBorders>
            <w:shd w:val="clear" w:color="auto" w:fill="FAD3B4"/>
          </w:tcPr>
          <w:p w14:paraId="1FC76009" w14:textId="77777777" w:rsidR="000A6469" w:rsidRPr="004D11C9" w:rsidRDefault="000A6469" w:rsidP="001B5B55">
            <w:pPr>
              <w:pStyle w:val="TableParagraph"/>
              <w:jc w:val="center"/>
              <w:rPr>
                <w:rFonts w:ascii="Times New Roman" w:hAnsi="Times New Roman"/>
                <w:noProof/>
                <w:sz w:val="24"/>
              </w:rPr>
            </w:pPr>
            <w:r>
              <w:rPr>
                <w:rFonts w:ascii="Times New Roman" w:hAnsi="Times New Roman"/>
                <w:sz w:val="24"/>
              </w:rPr>
              <w:t>55</w:t>
            </w:r>
          </w:p>
        </w:tc>
        <w:tc>
          <w:tcPr>
            <w:tcW w:w="2735" w:type="pct"/>
            <w:gridSpan w:val="2"/>
            <w:tcBorders>
              <w:top w:val="nil"/>
              <w:left w:val="nil"/>
              <w:bottom w:val="nil"/>
              <w:right w:val="nil"/>
            </w:tcBorders>
            <w:shd w:val="clear" w:color="auto" w:fill="FAD3B4"/>
          </w:tcPr>
          <w:p w14:paraId="3EBBF716" w14:textId="77777777" w:rsidR="000A6469" w:rsidRPr="004D11C9" w:rsidRDefault="000A6469" w:rsidP="001B5B55">
            <w:pPr>
              <w:pStyle w:val="TableParagraph"/>
              <w:jc w:val="center"/>
              <w:rPr>
                <w:rFonts w:ascii="Times New Roman" w:hAnsi="Times New Roman"/>
                <w:noProof/>
                <w:sz w:val="24"/>
              </w:rPr>
            </w:pPr>
            <w:r>
              <w:rPr>
                <w:rFonts w:ascii="Times New Roman" w:hAnsi="Times New Roman"/>
                <w:sz w:val="24"/>
              </w:rPr>
              <w:t>2. Kā darbības priekšnoteikumu ievieš licences, atļaujas vai autorizācijas procesu</w:t>
            </w:r>
          </w:p>
        </w:tc>
      </w:tr>
      <w:tr w:rsidR="000A6469" w:rsidRPr="004D11C9" w14:paraId="08F2EC37" w14:textId="77777777" w:rsidTr="001B5B55">
        <w:trPr>
          <w:gridAfter w:val="1"/>
          <w:wAfter w:w="12" w:type="pct"/>
        </w:trPr>
        <w:tc>
          <w:tcPr>
            <w:tcW w:w="540" w:type="pct"/>
            <w:gridSpan w:val="2"/>
            <w:tcBorders>
              <w:top w:val="nil"/>
              <w:left w:val="nil"/>
              <w:bottom w:val="nil"/>
              <w:right w:val="nil"/>
            </w:tcBorders>
          </w:tcPr>
          <w:p w14:paraId="24A086C1" w14:textId="77777777" w:rsidR="000A6469" w:rsidRPr="004D11C9" w:rsidRDefault="000A6469" w:rsidP="001B5B55">
            <w:pPr>
              <w:pStyle w:val="TableParagraph"/>
              <w:jc w:val="center"/>
              <w:rPr>
                <w:rFonts w:ascii="Times New Roman" w:hAnsi="Times New Roman"/>
                <w:noProof/>
                <w:sz w:val="24"/>
              </w:rPr>
            </w:pPr>
            <w:r>
              <w:rPr>
                <w:rFonts w:ascii="Times New Roman" w:hAnsi="Times New Roman"/>
                <w:sz w:val="24"/>
              </w:rPr>
              <w:t>–0,15</w:t>
            </w:r>
          </w:p>
        </w:tc>
        <w:tc>
          <w:tcPr>
            <w:tcW w:w="1032" w:type="pct"/>
            <w:gridSpan w:val="2"/>
            <w:tcBorders>
              <w:top w:val="nil"/>
              <w:left w:val="nil"/>
              <w:bottom w:val="nil"/>
              <w:right w:val="nil"/>
            </w:tcBorders>
          </w:tcPr>
          <w:p w14:paraId="3D5E4F50" w14:textId="77777777" w:rsidR="000A6469" w:rsidRPr="004D11C9" w:rsidRDefault="000A6469" w:rsidP="001B5B55">
            <w:pPr>
              <w:pStyle w:val="TableParagraph"/>
              <w:jc w:val="center"/>
              <w:rPr>
                <w:rFonts w:ascii="Times New Roman" w:hAnsi="Times New Roman"/>
                <w:noProof/>
                <w:sz w:val="24"/>
              </w:rPr>
            </w:pPr>
            <w:r>
              <w:rPr>
                <w:rFonts w:ascii="Times New Roman" w:hAnsi="Times New Roman"/>
                <w:sz w:val="24"/>
              </w:rPr>
              <w:t>no –0,24 līdz –0,060</w:t>
            </w:r>
          </w:p>
        </w:tc>
        <w:tc>
          <w:tcPr>
            <w:tcW w:w="681" w:type="pct"/>
            <w:gridSpan w:val="2"/>
            <w:tcBorders>
              <w:top w:val="nil"/>
              <w:left w:val="nil"/>
              <w:bottom w:val="nil"/>
              <w:right w:val="nil"/>
            </w:tcBorders>
          </w:tcPr>
          <w:p w14:paraId="6615888D" w14:textId="77777777" w:rsidR="000A6469" w:rsidRPr="004D11C9" w:rsidRDefault="000A6469" w:rsidP="001B5B55">
            <w:pPr>
              <w:pStyle w:val="TableParagraph"/>
              <w:jc w:val="center"/>
              <w:rPr>
                <w:rFonts w:ascii="Times New Roman" w:hAnsi="Times New Roman"/>
                <w:noProof/>
                <w:sz w:val="24"/>
              </w:rPr>
            </w:pPr>
            <w:r>
              <w:rPr>
                <w:rFonts w:ascii="Times New Roman" w:hAnsi="Times New Roman"/>
                <w:sz w:val="24"/>
              </w:rPr>
              <w:t>10</w:t>
            </w:r>
          </w:p>
        </w:tc>
        <w:tc>
          <w:tcPr>
            <w:tcW w:w="2735" w:type="pct"/>
            <w:gridSpan w:val="2"/>
            <w:tcBorders>
              <w:top w:val="nil"/>
              <w:left w:val="nil"/>
              <w:bottom w:val="nil"/>
              <w:right w:val="nil"/>
            </w:tcBorders>
          </w:tcPr>
          <w:p w14:paraId="632476EA" w14:textId="77777777" w:rsidR="000A6469" w:rsidRPr="004D11C9" w:rsidRDefault="000A6469" w:rsidP="001B5B55">
            <w:pPr>
              <w:pStyle w:val="TableParagraph"/>
              <w:jc w:val="center"/>
              <w:rPr>
                <w:rFonts w:ascii="Times New Roman" w:hAnsi="Times New Roman"/>
                <w:noProof/>
                <w:sz w:val="24"/>
              </w:rPr>
            </w:pPr>
            <w:r>
              <w:rPr>
                <w:rFonts w:ascii="Times New Roman" w:hAnsi="Times New Roman"/>
                <w:sz w:val="24"/>
              </w:rPr>
              <w:t>3. Ierobežo dažu veidu piegādātāju iespējas piegādāt preces vai sniegt pakalpojumus</w:t>
            </w:r>
          </w:p>
        </w:tc>
      </w:tr>
      <w:tr w:rsidR="000A6469" w:rsidRPr="004D11C9" w14:paraId="0AA89DD1" w14:textId="77777777" w:rsidTr="001B5B55">
        <w:trPr>
          <w:gridAfter w:val="1"/>
          <w:wAfter w:w="12" w:type="pct"/>
        </w:trPr>
        <w:tc>
          <w:tcPr>
            <w:tcW w:w="540" w:type="pct"/>
            <w:gridSpan w:val="2"/>
            <w:tcBorders>
              <w:top w:val="nil"/>
              <w:left w:val="nil"/>
              <w:bottom w:val="nil"/>
              <w:right w:val="nil"/>
            </w:tcBorders>
            <w:shd w:val="clear" w:color="auto" w:fill="FAD3B4"/>
          </w:tcPr>
          <w:p w14:paraId="6A5CC176" w14:textId="77777777" w:rsidR="000A6469" w:rsidRPr="004D11C9" w:rsidRDefault="000A6469" w:rsidP="001B5B55">
            <w:pPr>
              <w:pStyle w:val="TableParagraph"/>
              <w:jc w:val="center"/>
              <w:rPr>
                <w:rFonts w:ascii="Times New Roman" w:hAnsi="Times New Roman"/>
                <w:noProof/>
                <w:sz w:val="24"/>
              </w:rPr>
            </w:pPr>
            <w:r>
              <w:rPr>
                <w:rFonts w:ascii="Times New Roman" w:hAnsi="Times New Roman"/>
                <w:sz w:val="24"/>
              </w:rPr>
              <w:t>–0,19</w:t>
            </w:r>
          </w:p>
        </w:tc>
        <w:tc>
          <w:tcPr>
            <w:tcW w:w="1032" w:type="pct"/>
            <w:gridSpan w:val="2"/>
            <w:tcBorders>
              <w:top w:val="nil"/>
              <w:left w:val="nil"/>
              <w:bottom w:val="nil"/>
              <w:right w:val="nil"/>
            </w:tcBorders>
            <w:shd w:val="clear" w:color="auto" w:fill="FAD3B4"/>
          </w:tcPr>
          <w:p w14:paraId="0376B0A6" w14:textId="77777777" w:rsidR="000A6469" w:rsidRPr="004D11C9" w:rsidRDefault="000A6469" w:rsidP="001B5B55">
            <w:pPr>
              <w:pStyle w:val="TableParagraph"/>
              <w:jc w:val="center"/>
              <w:rPr>
                <w:rFonts w:ascii="Times New Roman" w:hAnsi="Times New Roman"/>
                <w:noProof/>
                <w:sz w:val="24"/>
              </w:rPr>
            </w:pPr>
            <w:r>
              <w:rPr>
                <w:rFonts w:ascii="Times New Roman" w:hAnsi="Times New Roman"/>
                <w:sz w:val="24"/>
              </w:rPr>
              <w:t>no –0,24 līdz –0,13</w:t>
            </w:r>
          </w:p>
        </w:tc>
        <w:tc>
          <w:tcPr>
            <w:tcW w:w="681" w:type="pct"/>
            <w:gridSpan w:val="2"/>
            <w:tcBorders>
              <w:top w:val="nil"/>
              <w:left w:val="nil"/>
              <w:bottom w:val="nil"/>
              <w:right w:val="nil"/>
            </w:tcBorders>
            <w:shd w:val="clear" w:color="auto" w:fill="FAD3B4"/>
          </w:tcPr>
          <w:p w14:paraId="7B638F8A" w14:textId="77777777" w:rsidR="000A6469" w:rsidRPr="004D11C9" w:rsidRDefault="000A6469" w:rsidP="001B5B55">
            <w:pPr>
              <w:pStyle w:val="TableParagraph"/>
              <w:jc w:val="center"/>
              <w:rPr>
                <w:rFonts w:ascii="Times New Roman" w:hAnsi="Times New Roman"/>
                <w:noProof/>
                <w:sz w:val="24"/>
              </w:rPr>
            </w:pPr>
            <w:r>
              <w:rPr>
                <w:rFonts w:ascii="Times New Roman" w:hAnsi="Times New Roman"/>
                <w:sz w:val="24"/>
              </w:rPr>
              <w:t>4</w:t>
            </w:r>
          </w:p>
        </w:tc>
        <w:tc>
          <w:tcPr>
            <w:tcW w:w="2735" w:type="pct"/>
            <w:gridSpan w:val="2"/>
            <w:tcBorders>
              <w:top w:val="nil"/>
              <w:left w:val="nil"/>
              <w:bottom w:val="nil"/>
              <w:right w:val="nil"/>
            </w:tcBorders>
            <w:shd w:val="clear" w:color="auto" w:fill="FAD3B4"/>
          </w:tcPr>
          <w:p w14:paraId="3586AD06" w14:textId="77777777" w:rsidR="000A6469" w:rsidRPr="004D11C9" w:rsidRDefault="000A6469" w:rsidP="001B5B55">
            <w:pPr>
              <w:pStyle w:val="TableParagraph"/>
              <w:jc w:val="center"/>
              <w:rPr>
                <w:rFonts w:ascii="Times New Roman" w:hAnsi="Times New Roman"/>
                <w:noProof/>
                <w:sz w:val="24"/>
              </w:rPr>
            </w:pPr>
            <w:r>
              <w:rPr>
                <w:rFonts w:ascii="Times New Roman" w:hAnsi="Times New Roman"/>
                <w:sz w:val="24"/>
              </w:rPr>
              <w:t>4. Būtiski paaugstina piegādātāja ieiešanas tirgū vai iziešanas no tā izmaksas</w:t>
            </w:r>
          </w:p>
        </w:tc>
      </w:tr>
      <w:tr w:rsidR="000A6469" w:rsidRPr="004D11C9" w14:paraId="707679C3" w14:textId="77777777" w:rsidTr="001B5B55">
        <w:trPr>
          <w:gridBefore w:val="1"/>
          <w:wBefore w:w="12" w:type="pct"/>
        </w:trPr>
        <w:tc>
          <w:tcPr>
            <w:tcW w:w="540" w:type="pct"/>
            <w:gridSpan w:val="2"/>
            <w:tcBorders>
              <w:top w:val="single" w:sz="5" w:space="0" w:color="000000"/>
              <w:left w:val="nil"/>
              <w:bottom w:val="nil"/>
              <w:right w:val="nil"/>
            </w:tcBorders>
          </w:tcPr>
          <w:p w14:paraId="6C79435C" w14:textId="77777777" w:rsidR="000A6469" w:rsidRPr="004D11C9" w:rsidRDefault="000A6469" w:rsidP="001B5B55">
            <w:pPr>
              <w:pStyle w:val="TableParagraph"/>
              <w:jc w:val="center"/>
              <w:rPr>
                <w:rFonts w:ascii="Times New Roman" w:hAnsi="Times New Roman"/>
                <w:noProof/>
                <w:sz w:val="24"/>
              </w:rPr>
            </w:pPr>
            <w:r>
              <w:rPr>
                <w:rFonts w:ascii="Times New Roman" w:hAnsi="Times New Roman"/>
                <w:sz w:val="24"/>
              </w:rPr>
              <w:t>–0,12</w:t>
            </w:r>
          </w:p>
        </w:tc>
        <w:tc>
          <w:tcPr>
            <w:tcW w:w="1032" w:type="pct"/>
            <w:gridSpan w:val="2"/>
            <w:tcBorders>
              <w:top w:val="single" w:sz="5" w:space="0" w:color="000000"/>
              <w:left w:val="nil"/>
              <w:bottom w:val="nil"/>
              <w:right w:val="nil"/>
            </w:tcBorders>
          </w:tcPr>
          <w:p w14:paraId="031A1C35" w14:textId="77777777" w:rsidR="000A6469" w:rsidRPr="004D11C9" w:rsidRDefault="000A6469" w:rsidP="001B5B55">
            <w:pPr>
              <w:pStyle w:val="TableParagraph"/>
              <w:jc w:val="center"/>
              <w:rPr>
                <w:rFonts w:ascii="Times New Roman" w:hAnsi="Times New Roman"/>
                <w:noProof/>
                <w:sz w:val="24"/>
              </w:rPr>
            </w:pPr>
            <w:r>
              <w:rPr>
                <w:rFonts w:ascii="Times New Roman" w:hAnsi="Times New Roman"/>
                <w:sz w:val="24"/>
              </w:rPr>
              <w:t>no –0,17 līdz –0,070</w:t>
            </w:r>
          </w:p>
        </w:tc>
        <w:tc>
          <w:tcPr>
            <w:tcW w:w="681" w:type="pct"/>
            <w:gridSpan w:val="2"/>
            <w:tcBorders>
              <w:top w:val="single" w:sz="5" w:space="0" w:color="000000"/>
              <w:left w:val="nil"/>
              <w:bottom w:val="nil"/>
              <w:right w:val="nil"/>
            </w:tcBorders>
          </w:tcPr>
          <w:p w14:paraId="1BB8D36E" w14:textId="77777777" w:rsidR="000A6469" w:rsidRPr="004D11C9" w:rsidRDefault="000A6469" w:rsidP="001B5B55">
            <w:pPr>
              <w:pStyle w:val="TableParagraph"/>
              <w:jc w:val="center"/>
              <w:rPr>
                <w:rFonts w:ascii="Times New Roman" w:hAnsi="Times New Roman"/>
                <w:noProof/>
                <w:sz w:val="24"/>
              </w:rPr>
            </w:pPr>
            <w:r>
              <w:rPr>
                <w:rFonts w:ascii="Times New Roman" w:hAnsi="Times New Roman"/>
                <w:sz w:val="24"/>
              </w:rPr>
              <w:t>14</w:t>
            </w:r>
          </w:p>
        </w:tc>
        <w:tc>
          <w:tcPr>
            <w:tcW w:w="2735" w:type="pct"/>
            <w:gridSpan w:val="2"/>
            <w:tcBorders>
              <w:top w:val="single" w:sz="5" w:space="0" w:color="000000"/>
              <w:left w:val="nil"/>
              <w:bottom w:val="nil"/>
              <w:right w:val="nil"/>
            </w:tcBorders>
          </w:tcPr>
          <w:p w14:paraId="1C93E2F4" w14:textId="77777777" w:rsidR="000A6469" w:rsidRPr="004D11C9" w:rsidRDefault="000A6469" w:rsidP="004D11C9">
            <w:pPr>
              <w:pStyle w:val="TableParagraph"/>
              <w:jc w:val="both"/>
              <w:rPr>
                <w:rFonts w:ascii="Times New Roman" w:hAnsi="Times New Roman"/>
                <w:noProof/>
                <w:sz w:val="24"/>
              </w:rPr>
            </w:pPr>
            <w:r>
              <w:rPr>
                <w:rFonts w:ascii="Times New Roman" w:hAnsi="Times New Roman"/>
                <w:sz w:val="24"/>
              </w:rPr>
              <w:t>5. Rada ģeogrāfisku šķērsli uzņēmumiem piegādāt preces un darbaspēku vai sniegt pakalpojumus, vai investēt kapitālu</w:t>
            </w:r>
          </w:p>
        </w:tc>
      </w:tr>
      <w:tr w:rsidR="000A6469" w:rsidRPr="004D11C9" w14:paraId="5D25DF75" w14:textId="77777777" w:rsidTr="001B5B55">
        <w:trPr>
          <w:gridBefore w:val="1"/>
          <w:wBefore w:w="12" w:type="pct"/>
        </w:trPr>
        <w:tc>
          <w:tcPr>
            <w:tcW w:w="540" w:type="pct"/>
            <w:gridSpan w:val="2"/>
            <w:tcBorders>
              <w:top w:val="nil"/>
              <w:left w:val="nil"/>
              <w:bottom w:val="nil"/>
              <w:right w:val="nil"/>
            </w:tcBorders>
            <w:shd w:val="clear" w:color="auto" w:fill="FAD3B4"/>
          </w:tcPr>
          <w:p w14:paraId="0C2A26DA" w14:textId="77777777" w:rsidR="000A6469" w:rsidRPr="004D11C9" w:rsidRDefault="000A6469" w:rsidP="001B5B55">
            <w:pPr>
              <w:pStyle w:val="TableParagraph"/>
              <w:jc w:val="center"/>
              <w:rPr>
                <w:rFonts w:ascii="Times New Roman" w:hAnsi="Times New Roman"/>
                <w:b/>
                <w:noProof/>
                <w:sz w:val="24"/>
              </w:rPr>
            </w:pPr>
            <w:r>
              <w:rPr>
                <w:rFonts w:ascii="Times New Roman" w:hAnsi="Times New Roman"/>
                <w:b/>
                <w:sz w:val="24"/>
              </w:rPr>
              <w:t>–0,18</w:t>
            </w:r>
          </w:p>
        </w:tc>
        <w:tc>
          <w:tcPr>
            <w:tcW w:w="1032" w:type="pct"/>
            <w:gridSpan w:val="2"/>
            <w:tcBorders>
              <w:top w:val="nil"/>
              <w:left w:val="nil"/>
              <w:bottom w:val="nil"/>
              <w:right w:val="nil"/>
            </w:tcBorders>
            <w:shd w:val="clear" w:color="auto" w:fill="FAD3B4"/>
          </w:tcPr>
          <w:p w14:paraId="48213A28" w14:textId="77777777" w:rsidR="000A6469" w:rsidRPr="004D11C9" w:rsidRDefault="000A6469" w:rsidP="001B5B55">
            <w:pPr>
              <w:pStyle w:val="TableParagraph"/>
              <w:jc w:val="center"/>
              <w:rPr>
                <w:rFonts w:ascii="Times New Roman" w:hAnsi="Times New Roman"/>
                <w:b/>
                <w:noProof/>
                <w:sz w:val="24"/>
              </w:rPr>
            </w:pPr>
            <w:r>
              <w:rPr>
                <w:rFonts w:ascii="Times New Roman" w:hAnsi="Times New Roman"/>
                <w:b/>
                <w:sz w:val="24"/>
              </w:rPr>
              <w:t>no –0,23 līdz –0,14</w:t>
            </w:r>
          </w:p>
        </w:tc>
        <w:tc>
          <w:tcPr>
            <w:tcW w:w="681" w:type="pct"/>
            <w:gridSpan w:val="2"/>
            <w:tcBorders>
              <w:top w:val="nil"/>
              <w:left w:val="nil"/>
              <w:bottom w:val="nil"/>
              <w:right w:val="nil"/>
            </w:tcBorders>
            <w:shd w:val="clear" w:color="auto" w:fill="FAD3B4"/>
          </w:tcPr>
          <w:p w14:paraId="3DC0FCE1" w14:textId="77777777" w:rsidR="000A6469" w:rsidRPr="004D11C9" w:rsidRDefault="000A6469" w:rsidP="001B5B55">
            <w:pPr>
              <w:pStyle w:val="TableParagraph"/>
              <w:jc w:val="center"/>
              <w:rPr>
                <w:rFonts w:ascii="Times New Roman" w:hAnsi="Times New Roman"/>
                <w:b/>
                <w:noProof/>
                <w:sz w:val="24"/>
              </w:rPr>
            </w:pPr>
            <w:r>
              <w:rPr>
                <w:rFonts w:ascii="Times New Roman" w:hAnsi="Times New Roman"/>
                <w:b/>
                <w:sz w:val="24"/>
              </w:rPr>
              <w:t>45</w:t>
            </w:r>
          </w:p>
        </w:tc>
        <w:tc>
          <w:tcPr>
            <w:tcW w:w="2735" w:type="pct"/>
            <w:gridSpan w:val="2"/>
            <w:tcBorders>
              <w:top w:val="nil"/>
              <w:left w:val="nil"/>
              <w:bottom w:val="nil"/>
              <w:right w:val="nil"/>
            </w:tcBorders>
            <w:shd w:val="clear" w:color="auto" w:fill="FAD3B4"/>
          </w:tcPr>
          <w:p w14:paraId="2FB2103E" w14:textId="77777777" w:rsidR="000A6469" w:rsidRPr="004D11C9" w:rsidRDefault="000A6469" w:rsidP="004D11C9">
            <w:pPr>
              <w:pStyle w:val="TableParagraph"/>
              <w:jc w:val="both"/>
              <w:rPr>
                <w:rFonts w:ascii="Times New Roman" w:hAnsi="Times New Roman"/>
                <w:b/>
                <w:noProof/>
                <w:sz w:val="24"/>
              </w:rPr>
            </w:pPr>
            <w:r>
              <w:rPr>
                <w:rFonts w:ascii="Times New Roman" w:hAnsi="Times New Roman"/>
                <w:b/>
                <w:sz w:val="24"/>
              </w:rPr>
              <w:t>B) Ierobežo piegādātāju iespējas konkurēt</w:t>
            </w:r>
          </w:p>
        </w:tc>
      </w:tr>
      <w:tr w:rsidR="000A6469" w:rsidRPr="004D11C9" w14:paraId="45B97027" w14:textId="77777777" w:rsidTr="001B5B55">
        <w:trPr>
          <w:gridBefore w:val="1"/>
          <w:wBefore w:w="12" w:type="pct"/>
        </w:trPr>
        <w:tc>
          <w:tcPr>
            <w:tcW w:w="540" w:type="pct"/>
            <w:gridSpan w:val="2"/>
            <w:tcBorders>
              <w:top w:val="nil"/>
              <w:left w:val="nil"/>
              <w:bottom w:val="nil"/>
              <w:right w:val="nil"/>
            </w:tcBorders>
          </w:tcPr>
          <w:p w14:paraId="10FA698B" w14:textId="77777777" w:rsidR="000A6469" w:rsidRPr="004D11C9" w:rsidRDefault="000A6469" w:rsidP="001B5B55">
            <w:pPr>
              <w:pStyle w:val="TableParagraph"/>
              <w:jc w:val="center"/>
              <w:rPr>
                <w:rFonts w:ascii="Times New Roman" w:hAnsi="Times New Roman"/>
                <w:noProof/>
                <w:sz w:val="24"/>
              </w:rPr>
            </w:pPr>
            <w:r>
              <w:rPr>
                <w:rFonts w:ascii="Times New Roman" w:hAnsi="Times New Roman"/>
                <w:sz w:val="24"/>
              </w:rPr>
              <w:t>–0,19</w:t>
            </w:r>
          </w:p>
        </w:tc>
        <w:tc>
          <w:tcPr>
            <w:tcW w:w="1032" w:type="pct"/>
            <w:gridSpan w:val="2"/>
            <w:tcBorders>
              <w:top w:val="nil"/>
              <w:left w:val="nil"/>
              <w:bottom w:val="nil"/>
              <w:right w:val="nil"/>
            </w:tcBorders>
          </w:tcPr>
          <w:p w14:paraId="71AFAB65" w14:textId="77777777" w:rsidR="000A6469" w:rsidRPr="004D11C9" w:rsidRDefault="000A6469" w:rsidP="001B5B55">
            <w:pPr>
              <w:pStyle w:val="TableParagraph"/>
              <w:jc w:val="center"/>
              <w:rPr>
                <w:rFonts w:ascii="Times New Roman" w:hAnsi="Times New Roman"/>
                <w:noProof/>
                <w:sz w:val="24"/>
              </w:rPr>
            </w:pPr>
            <w:r>
              <w:rPr>
                <w:rFonts w:ascii="Times New Roman" w:hAnsi="Times New Roman"/>
                <w:sz w:val="24"/>
              </w:rPr>
              <w:t>no –0,24 līdz –0,14</w:t>
            </w:r>
          </w:p>
        </w:tc>
        <w:tc>
          <w:tcPr>
            <w:tcW w:w="681" w:type="pct"/>
            <w:gridSpan w:val="2"/>
            <w:tcBorders>
              <w:top w:val="nil"/>
              <w:left w:val="nil"/>
              <w:bottom w:val="nil"/>
              <w:right w:val="nil"/>
            </w:tcBorders>
          </w:tcPr>
          <w:p w14:paraId="7B4F40D7" w14:textId="77777777" w:rsidR="000A6469" w:rsidRPr="004D11C9" w:rsidRDefault="000A6469" w:rsidP="001B5B55">
            <w:pPr>
              <w:pStyle w:val="TableParagraph"/>
              <w:jc w:val="center"/>
              <w:rPr>
                <w:rFonts w:ascii="Times New Roman" w:hAnsi="Times New Roman"/>
                <w:noProof/>
                <w:sz w:val="24"/>
              </w:rPr>
            </w:pPr>
            <w:r>
              <w:rPr>
                <w:rFonts w:ascii="Times New Roman" w:hAnsi="Times New Roman"/>
                <w:sz w:val="24"/>
              </w:rPr>
              <w:t>22</w:t>
            </w:r>
          </w:p>
        </w:tc>
        <w:tc>
          <w:tcPr>
            <w:tcW w:w="2735" w:type="pct"/>
            <w:gridSpan w:val="2"/>
            <w:tcBorders>
              <w:top w:val="nil"/>
              <w:left w:val="nil"/>
              <w:bottom w:val="nil"/>
              <w:right w:val="nil"/>
            </w:tcBorders>
          </w:tcPr>
          <w:p w14:paraId="2A7781C0" w14:textId="77777777" w:rsidR="000A6469" w:rsidRPr="004D11C9" w:rsidRDefault="000A6469" w:rsidP="004D11C9">
            <w:pPr>
              <w:pStyle w:val="TableParagraph"/>
              <w:jc w:val="both"/>
              <w:rPr>
                <w:rFonts w:ascii="Times New Roman" w:eastAsia="Arial" w:hAnsi="Times New Roman" w:cs="Arial"/>
                <w:noProof/>
                <w:sz w:val="24"/>
                <w:szCs w:val="18"/>
              </w:rPr>
            </w:pPr>
            <w:r>
              <w:rPr>
                <w:rFonts w:ascii="Times New Roman" w:hAnsi="Times New Roman"/>
                <w:sz w:val="24"/>
              </w:rPr>
              <w:t>1. Ierobežo pārdevēju iespējas noteikt preču vai pakalpojumu cenas</w:t>
            </w:r>
          </w:p>
        </w:tc>
      </w:tr>
      <w:tr w:rsidR="000A6469" w:rsidRPr="004D11C9" w14:paraId="232F1818" w14:textId="77777777" w:rsidTr="001B5B55">
        <w:trPr>
          <w:gridBefore w:val="1"/>
          <w:wBefore w:w="12" w:type="pct"/>
        </w:trPr>
        <w:tc>
          <w:tcPr>
            <w:tcW w:w="540" w:type="pct"/>
            <w:gridSpan w:val="2"/>
            <w:tcBorders>
              <w:top w:val="nil"/>
              <w:left w:val="nil"/>
              <w:bottom w:val="nil"/>
              <w:right w:val="nil"/>
            </w:tcBorders>
            <w:shd w:val="clear" w:color="auto" w:fill="FAD3B4"/>
          </w:tcPr>
          <w:p w14:paraId="761053FE" w14:textId="77777777" w:rsidR="000A6469" w:rsidRPr="004D11C9" w:rsidRDefault="000A6469" w:rsidP="001B5B55">
            <w:pPr>
              <w:pStyle w:val="TableParagraph"/>
              <w:jc w:val="center"/>
              <w:rPr>
                <w:rFonts w:ascii="Times New Roman" w:hAnsi="Times New Roman"/>
                <w:noProof/>
                <w:sz w:val="24"/>
              </w:rPr>
            </w:pPr>
            <w:r>
              <w:rPr>
                <w:rFonts w:ascii="Times New Roman" w:hAnsi="Times New Roman"/>
                <w:sz w:val="24"/>
              </w:rPr>
              <w:t>–0,14</w:t>
            </w:r>
          </w:p>
        </w:tc>
        <w:tc>
          <w:tcPr>
            <w:tcW w:w="1032" w:type="pct"/>
            <w:gridSpan w:val="2"/>
            <w:tcBorders>
              <w:top w:val="nil"/>
              <w:left w:val="nil"/>
              <w:bottom w:val="nil"/>
              <w:right w:val="nil"/>
            </w:tcBorders>
            <w:shd w:val="clear" w:color="auto" w:fill="FAD3B4"/>
          </w:tcPr>
          <w:p w14:paraId="6B733094" w14:textId="77777777" w:rsidR="000A6469" w:rsidRPr="004D11C9" w:rsidRDefault="000A6469" w:rsidP="001B5B55">
            <w:pPr>
              <w:pStyle w:val="TableParagraph"/>
              <w:jc w:val="center"/>
              <w:rPr>
                <w:rFonts w:ascii="Times New Roman" w:hAnsi="Times New Roman"/>
                <w:noProof/>
                <w:sz w:val="24"/>
              </w:rPr>
            </w:pPr>
            <w:r>
              <w:rPr>
                <w:rFonts w:ascii="Times New Roman" w:hAnsi="Times New Roman"/>
                <w:sz w:val="24"/>
              </w:rPr>
              <w:t>no –0,24 līdz –0,053</w:t>
            </w:r>
          </w:p>
        </w:tc>
        <w:tc>
          <w:tcPr>
            <w:tcW w:w="681" w:type="pct"/>
            <w:gridSpan w:val="2"/>
            <w:tcBorders>
              <w:top w:val="nil"/>
              <w:left w:val="nil"/>
              <w:bottom w:val="nil"/>
              <w:right w:val="nil"/>
            </w:tcBorders>
            <w:shd w:val="clear" w:color="auto" w:fill="FAD3B4"/>
          </w:tcPr>
          <w:p w14:paraId="3D1BA0F7" w14:textId="77777777" w:rsidR="000A6469" w:rsidRPr="004D11C9" w:rsidRDefault="000A6469" w:rsidP="001B5B55">
            <w:pPr>
              <w:pStyle w:val="TableParagraph"/>
              <w:jc w:val="center"/>
              <w:rPr>
                <w:rFonts w:ascii="Times New Roman" w:hAnsi="Times New Roman"/>
                <w:noProof/>
                <w:sz w:val="24"/>
              </w:rPr>
            </w:pPr>
            <w:r>
              <w:rPr>
                <w:rFonts w:ascii="Times New Roman" w:hAnsi="Times New Roman"/>
                <w:sz w:val="24"/>
              </w:rPr>
              <w:t>8</w:t>
            </w:r>
          </w:p>
        </w:tc>
        <w:tc>
          <w:tcPr>
            <w:tcW w:w="2735" w:type="pct"/>
            <w:gridSpan w:val="2"/>
            <w:tcBorders>
              <w:top w:val="nil"/>
              <w:left w:val="nil"/>
              <w:bottom w:val="nil"/>
              <w:right w:val="nil"/>
            </w:tcBorders>
            <w:shd w:val="clear" w:color="auto" w:fill="FAD3B4"/>
          </w:tcPr>
          <w:p w14:paraId="67FAFFAA" w14:textId="77777777" w:rsidR="000A6469" w:rsidRPr="004D11C9" w:rsidRDefault="000A6469" w:rsidP="004D11C9">
            <w:pPr>
              <w:pStyle w:val="TableParagraph"/>
              <w:jc w:val="both"/>
              <w:rPr>
                <w:rFonts w:ascii="Times New Roman" w:hAnsi="Times New Roman"/>
                <w:noProof/>
                <w:sz w:val="24"/>
              </w:rPr>
            </w:pPr>
            <w:r>
              <w:rPr>
                <w:rFonts w:ascii="Times New Roman" w:hAnsi="Times New Roman"/>
                <w:sz w:val="24"/>
              </w:rPr>
              <w:t>2. Ierobežo piegādātāju iespējas brīvi reklamēt vai pārdot savas preces vai pakalpojumus</w:t>
            </w:r>
          </w:p>
        </w:tc>
      </w:tr>
      <w:tr w:rsidR="000A6469" w:rsidRPr="004D11C9" w14:paraId="4C7B6FD4" w14:textId="77777777" w:rsidTr="001B5B55">
        <w:trPr>
          <w:gridBefore w:val="1"/>
          <w:wBefore w:w="12" w:type="pct"/>
        </w:trPr>
        <w:tc>
          <w:tcPr>
            <w:tcW w:w="540" w:type="pct"/>
            <w:gridSpan w:val="2"/>
            <w:tcBorders>
              <w:top w:val="nil"/>
              <w:left w:val="nil"/>
              <w:bottom w:val="nil"/>
              <w:right w:val="nil"/>
            </w:tcBorders>
          </w:tcPr>
          <w:p w14:paraId="60BC0372" w14:textId="77777777" w:rsidR="000A6469" w:rsidRPr="004D11C9" w:rsidRDefault="000A6469" w:rsidP="001B5B55">
            <w:pPr>
              <w:pStyle w:val="TableParagraph"/>
              <w:jc w:val="center"/>
              <w:rPr>
                <w:rFonts w:ascii="Times New Roman" w:hAnsi="Times New Roman"/>
                <w:noProof/>
                <w:sz w:val="24"/>
              </w:rPr>
            </w:pPr>
            <w:r>
              <w:rPr>
                <w:rFonts w:ascii="Times New Roman" w:hAnsi="Times New Roman"/>
                <w:sz w:val="24"/>
              </w:rPr>
              <w:t>–0,19</w:t>
            </w:r>
          </w:p>
        </w:tc>
        <w:tc>
          <w:tcPr>
            <w:tcW w:w="1032" w:type="pct"/>
            <w:gridSpan w:val="2"/>
            <w:tcBorders>
              <w:top w:val="nil"/>
              <w:left w:val="nil"/>
              <w:bottom w:val="nil"/>
              <w:right w:val="nil"/>
            </w:tcBorders>
          </w:tcPr>
          <w:p w14:paraId="27DD0522" w14:textId="77777777" w:rsidR="000A6469" w:rsidRPr="004D11C9" w:rsidRDefault="000A6469" w:rsidP="001B5B55">
            <w:pPr>
              <w:pStyle w:val="TableParagraph"/>
              <w:jc w:val="center"/>
              <w:rPr>
                <w:rFonts w:ascii="Times New Roman" w:hAnsi="Times New Roman"/>
                <w:noProof/>
                <w:sz w:val="24"/>
              </w:rPr>
            </w:pPr>
            <w:r>
              <w:rPr>
                <w:rFonts w:ascii="Times New Roman" w:hAnsi="Times New Roman"/>
                <w:sz w:val="24"/>
              </w:rPr>
              <w:t>no –0,24 līdz –0,081</w:t>
            </w:r>
          </w:p>
        </w:tc>
        <w:tc>
          <w:tcPr>
            <w:tcW w:w="681" w:type="pct"/>
            <w:gridSpan w:val="2"/>
            <w:tcBorders>
              <w:top w:val="nil"/>
              <w:left w:val="nil"/>
              <w:bottom w:val="nil"/>
              <w:right w:val="nil"/>
            </w:tcBorders>
          </w:tcPr>
          <w:p w14:paraId="651A9F39" w14:textId="77777777" w:rsidR="000A6469" w:rsidRPr="004D11C9" w:rsidRDefault="000A6469" w:rsidP="001B5B55">
            <w:pPr>
              <w:pStyle w:val="TableParagraph"/>
              <w:jc w:val="center"/>
              <w:rPr>
                <w:rFonts w:ascii="Times New Roman" w:hAnsi="Times New Roman"/>
                <w:noProof/>
                <w:sz w:val="24"/>
              </w:rPr>
            </w:pPr>
            <w:r>
              <w:rPr>
                <w:rFonts w:ascii="Times New Roman" w:hAnsi="Times New Roman"/>
                <w:sz w:val="24"/>
              </w:rPr>
              <w:t>13</w:t>
            </w:r>
          </w:p>
        </w:tc>
        <w:tc>
          <w:tcPr>
            <w:tcW w:w="2735" w:type="pct"/>
            <w:gridSpan w:val="2"/>
            <w:tcBorders>
              <w:top w:val="nil"/>
              <w:left w:val="nil"/>
              <w:bottom w:val="nil"/>
              <w:right w:val="nil"/>
            </w:tcBorders>
          </w:tcPr>
          <w:p w14:paraId="495B3E8C" w14:textId="77777777" w:rsidR="000A6469" w:rsidRPr="004D11C9" w:rsidRDefault="000A6469" w:rsidP="004D11C9">
            <w:pPr>
              <w:pStyle w:val="TableParagraph"/>
              <w:jc w:val="both"/>
              <w:rPr>
                <w:rFonts w:ascii="Times New Roman" w:hAnsi="Times New Roman"/>
                <w:noProof/>
                <w:sz w:val="24"/>
              </w:rPr>
            </w:pPr>
            <w:r>
              <w:rPr>
                <w:rFonts w:ascii="Times New Roman" w:hAnsi="Times New Roman"/>
                <w:sz w:val="24"/>
              </w:rPr>
              <w:t>3. Nosaka preču kvalitātes standartus, kas dažiem piegādātājiem rada pārmērīgas priekšrocības attiecībā pret citiem vai kas pārsniedz līmeni, kādu daži kompetenti pircēji izvēlētos</w:t>
            </w:r>
          </w:p>
        </w:tc>
      </w:tr>
      <w:tr w:rsidR="000A6469" w:rsidRPr="004D11C9" w14:paraId="1B7A146A" w14:textId="77777777" w:rsidTr="001B5B55">
        <w:trPr>
          <w:gridBefore w:val="1"/>
          <w:wBefore w:w="12" w:type="pct"/>
        </w:trPr>
        <w:tc>
          <w:tcPr>
            <w:tcW w:w="540" w:type="pct"/>
            <w:gridSpan w:val="2"/>
            <w:tcBorders>
              <w:top w:val="nil"/>
              <w:left w:val="nil"/>
              <w:bottom w:val="nil"/>
              <w:right w:val="nil"/>
            </w:tcBorders>
            <w:shd w:val="clear" w:color="auto" w:fill="FAD3B4"/>
          </w:tcPr>
          <w:p w14:paraId="367DF23B" w14:textId="77777777" w:rsidR="000A6469" w:rsidRPr="004D11C9" w:rsidRDefault="000A6469" w:rsidP="001B5B55">
            <w:pPr>
              <w:pStyle w:val="TableParagraph"/>
              <w:jc w:val="center"/>
              <w:rPr>
                <w:rFonts w:ascii="Times New Roman" w:hAnsi="Times New Roman"/>
                <w:noProof/>
                <w:sz w:val="24"/>
              </w:rPr>
            </w:pPr>
            <w:r>
              <w:rPr>
                <w:rFonts w:ascii="Times New Roman" w:hAnsi="Times New Roman"/>
                <w:sz w:val="24"/>
              </w:rPr>
              <w:t>–0,28</w:t>
            </w:r>
          </w:p>
        </w:tc>
        <w:tc>
          <w:tcPr>
            <w:tcW w:w="1032" w:type="pct"/>
            <w:gridSpan w:val="2"/>
            <w:tcBorders>
              <w:top w:val="nil"/>
              <w:left w:val="nil"/>
              <w:bottom w:val="nil"/>
              <w:right w:val="nil"/>
            </w:tcBorders>
            <w:shd w:val="clear" w:color="auto" w:fill="FAD3B4"/>
          </w:tcPr>
          <w:p w14:paraId="18C28F96" w14:textId="77777777" w:rsidR="000A6469" w:rsidRPr="004D11C9" w:rsidRDefault="000A6469" w:rsidP="001B5B55">
            <w:pPr>
              <w:pStyle w:val="TableParagraph"/>
              <w:jc w:val="center"/>
              <w:rPr>
                <w:rFonts w:ascii="Times New Roman" w:hAnsi="Times New Roman"/>
                <w:noProof/>
                <w:sz w:val="24"/>
              </w:rPr>
            </w:pPr>
            <w:r>
              <w:rPr>
                <w:rFonts w:ascii="Times New Roman" w:hAnsi="Times New Roman"/>
                <w:sz w:val="24"/>
              </w:rPr>
              <w:t>no –1,00 līdz 0,22</w:t>
            </w:r>
          </w:p>
        </w:tc>
        <w:tc>
          <w:tcPr>
            <w:tcW w:w="681" w:type="pct"/>
            <w:gridSpan w:val="2"/>
            <w:tcBorders>
              <w:top w:val="nil"/>
              <w:left w:val="nil"/>
              <w:bottom w:val="nil"/>
              <w:right w:val="nil"/>
            </w:tcBorders>
            <w:shd w:val="clear" w:color="auto" w:fill="FAD3B4"/>
          </w:tcPr>
          <w:p w14:paraId="7B0B3246" w14:textId="77777777" w:rsidR="000A6469" w:rsidRPr="004D11C9" w:rsidRDefault="000A6469" w:rsidP="001B5B55">
            <w:pPr>
              <w:pStyle w:val="TableParagraph"/>
              <w:jc w:val="center"/>
              <w:rPr>
                <w:rFonts w:ascii="Times New Roman" w:hAnsi="Times New Roman"/>
                <w:noProof/>
                <w:sz w:val="24"/>
              </w:rPr>
            </w:pPr>
            <w:r>
              <w:rPr>
                <w:rFonts w:ascii="Times New Roman" w:hAnsi="Times New Roman"/>
                <w:sz w:val="24"/>
              </w:rPr>
              <w:t>2</w:t>
            </w:r>
          </w:p>
        </w:tc>
        <w:tc>
          <w:tcPr>
            <w:tcW w:w="2735" w:type="pct"/>
            <w:gridSpan w:val="2"/>
            <w:tcBorders>
              <w:top w:val="nil"/>
              <w:left w:val="nil"/>
              <w:bottom w:val="nil"/>
              <w:right w:val="nil"/>
            </w:tcBorders>
            <w:shd w:val="clear" w:color="auto" w:fill="FAD3B4"/>
          </w:tcPr>
          <w:p w14:paraId="77949DE3" w14:textId="77777777" w:rsidR="000A6469" w:rsidRPr="004D11C9" w:rsidRDefault="000A6469" w:rsidP="004D11C9">
            <w:pPr>
              <w:pStyle w:val="TableParagraph"/>
              <w:jc w:val="both"/>
              <w:rPr>
                <w:rFonts w:ascii="Times New Roman" w:hAnsi="Times New Roman"/>
                <w:noProof/>
                <w:sz w:val="24"/>
              </w:rPr>
            </w:pPr>
            <w:r>
              <w:rPr>
                <w:rFonts w:ascii="Times New Roman" w:hAnsi="Times New Roman"/>
                <w:sz w:val="24"/>
              </w:rPr>
              <w:t>4. Būtiski sadārdzina ražošanas izmaksas dažiem piegādātājiem attiecībā pret citiem (it sevišķi, ja pret pašreizējiem tirgus dalībniekiem izturas citādi nekā pret jauniem ienācējiem tirgū)</w:t>
            </w:r>
          </w:p>
        </w:tc>
      </w:tr>
      <w:tr w:rsidR="000A6469" w:rsidRPr="004D11C9" w14:paraId="1F328D44" w14:textId="77777777" w:rsidTr="001B5B55">
        <w:trPr>
          <w:gridBefore w:val="1"/>
          <w:wBefore w:w="12" w:type="pct"/>
        </w:trPr>
        <w:tc>
          <w:tcPr>
            <w:tcW w:w="540" w:type="pct"/>
            <w:gridSpan w:val="2"/>
            <w:tcBorders>
              <w:top w:val="nil"/>
              <w:left w:val="nil"/>
              <w:bottom w:val="nil"/>
              <w:right w:val="nil"/>
            </w:tcBorders>
          </w:tcPr>
          <w:p w14:paraId="356DDF3B" w14:textId="77777777" w:rsidR="000A6469" w:rsidRPr="004D11C9" w:rsidRDefault="000A6469" w:rsidP="001B5B55">
            <w:pPr>
              <w:pStyle w:val="TableParagraph"/>
              <w:jc w:val="center"/>
              <w:rPr>
                <w:rFonts w:ascii="Times New Roman" w:hAnsi="Times New Roman"/>
                <w:b/>
                <w:noProof/>
                <w:sz w:val="24"/>
              </w:rPr>
            </w:pPr>
            <w:r>
              <w:rPr>
                <w:rFonts w:ascii="Times New Roman" w:hAnsi="Times New Roman"/>
                <w:b/>
                <w:sz w:val="24"/>
              </w:rPr>
              <w:lastRenderedPageBreak/>
              <w:t>–0,20</w:t>
            </w:r>
          </w:p>
        </w:tc>
        <w:tc>
          <w:tcPr>
            <w:tcW w:w="1032" w:type="pct"/>
            <w:gridSpan w:val="2"/>
            <w:tcBorders>
              <w:top w:val="nil"/>
              <w:left w:val="nil"/>
              <w:bottom w:val="nil"/>
              <w:right w:val="nil"/>
            </w:tcBorders>
          </w:tcPr>
          <w:p w14:paraId="5319A12A" w14:textId="77777777" w:rsidR="000A6469" w:rsidRPr="004D11C9" w:rsidRDefault="000A6469" w:rsidP="001B5B55">
            <w:pPr>
              <w:pStyle w:val="TableParagraph"/>
              <w:jc w:val="center"/>
              <w:rPr>
                <w:rFonts w:ascii="Times New Roman" w:hAnsi="Times New Roman"/>
                <w:b/>
                <w:noProof/>
                <w:sz w:val="24"/>
              </w:rPr>
            </w:pPr>
            <w:r>
              <w:rPr>
                <w:rFonts w:ascii="Times New Roman" w:hAnsi="Times New Roman"/>
                <w:b/>
                <w:sz w:val="24"/>
              </w:rPr>
              <w:t>no –0,26 līdz –0,14</w:t>
            </w:r>
          </w:p>
        </w:tc>
        <w:tc>
          <w:tcPr>
            <w:tcW w:w="681" w:type="pct"/>
            <w:gridSpan w:val="2"/>
            <w:tcBorders>
              <w:top w:val="nil"/>
              <w:left w:val="nil"/>
              <w:bottom w:val="nil"/>
              <w:right w:val="nil"/>
            </w:tcBorders>
          </w:tcPr>
          <w:p w14:paraId="1948B415" w14:textId="77777777" w:rsidR="000A6469" w:rsidRPr="004D11C9" w:rsidRDefault="000A6469" w:rsidP="001B5B55">
            <w:pPr>
              <w:pStyle w:val="TableParagraph"/>
              <w:jc w:val="center"/>
              <w:rPr>
                <w:rFonts w:ascii="Times New Roman" w:hAnsi="Times New Roman"/>
                <w:b/>
                <w:noProof/>
                <w:sz w:val="24"/>
              </w:rPr>
            </w:pPr>
            <w:r>
              <w:rPr>
                <w:rFonts w:ascii="Times New Roman" w:hAnsi="Times New Roman"/>
                <w:b/>
                <w:sz w:val="24"/>
              </w:rPr>
              <w:t>29</w:t>
            </w:r>
          </w:p>
        </w:tc>
        <w:tc>
          <w:tcPr>
            <w:tcW w:w="2735" w:type="pct"/>
            <w:gridSpan w:val="2"/>
            <w:tcBorders>
              <w:top w:val="nil"/>
              <w:left w:val="nil"/>
              <w:bottom w:val="nil"/>
              <w:right w:val="nil"/>
            </w:tcBorders>
          </w:tcPr>
          <w:p w14:paraId="15314BB8" w14:textId="77777777" w:rsidR="000A6469" w:rsidRPr="004D11C9" w:rsidRDefault="000A6469" w:rsidP="004D11C9">
            <w:pPr>
              <w:pStyle w:val="TableParagraph"/>
              <w:jc w:val="both"/>
              <w:rPr>
                <w:rFonts w:ascii="Times New Roman" w:hAnsi="Times New Roman"/>
                <w:b/>
                <w:noProof/>
                <w:sz w:val="24"/>
              </w:rPr>
            </w:pPr>
            <w:r>
              <w:rPr>
                <w:rFonts w:ascii="Times New Roman" w:hAnsi="Times New Roman"/>
                <w:b/>
                <w:sz w:val="24"/>
              </w:rPr>
              <w:t>C) Piegādātājiem zūd stimuls konkurēt</w:t>
            </w:r>
          </w:p>
        </w:tc>
      </w:tr>
      <w:tr w:rsidR="000A6469" w:rsidRPr="004D11C9" w14:paraId="3163B7E5" w14:textId="77777777" w:rsidTr="001B5B55">
        <w:trPr>
          <w:gridBefore w:val="1"/>
          <w:wBefore w:w="12" w:type="pct"/>
        </w:trPr>
        <w:tc>
          <w:tcPr>
            <w:tcW w:w="540" w:type="pct"/>
            <w:gridSpan w:val="2"/>
            <w:tcBorders>
              <w:top w:val="nil"/>
              <w:left w:val="nil"/>
              <w:bottom w:val="nil"/>
              <w:right w:val="nil"/>
            </w:tcBorders>
            <w:shd w:val="clear" w:color="auto" w:fill="FAD3B4"/>
          </w:tcPr>
          <w:p w14:paraId="71621EC0" w14:textId="77777777" w:rsidR="000A6469" w:rsidRPr="004D11C9" w:rsidRDefault="000A6469" w:rsidP="001B5B55">
            <w:pPr>
              <w:pStyle w:val="TableParagraph"/>
              <w:jc w:val="center"/>
              <w:rPr>
                <w:rFonts w:ascii="Times New Roman" w:hAnsi="Times New Roman"/>
                <w:noProof/>
                <w:sz w:val="24"/>
              </w:rPr>
            </w:pPr>
            <w:r>
              <w:rPr>
                <w:rFonts w:ascii="Times New Roman" w:hAnsi="Times New Roman"/>
                <w:sz w:val="24"/>
              </w:rPr>
              <w:t>–0,28</w:t>
            </w:r>
          </w:p>
        </w:tc>
        <w:tc>
          <w:tcPr>
            <w:tcW w:w="1032" w:type="pct"/>
            <w:gridSpan w:val="2"/>
            <w:tcBorders>
              <w:top w:val="nil"/>
              <w:left w:val="nil"/>
              <w:bottom w:val="nil"/>
              <w:right w:val="nil"/>
            </w:tcBorders>
            <w:shd w:val="clear" w:color="auto" w:fill="FAD3B4"/>
          </w:tcPr>
          <w:p w14:paraId="5C429CAA" w14:textId="77777777" w:rsidR="000A6469" w:rsidRPr="004D11C9" w:rsidRDefault="000A6469" w:rsidP="001B5B55">
            <w:pPr>
              <w:pStyle w:val="TableParagraph"/>
              <w:jc w:val="center"/>
              <w:rPr>
                <w:rFonts w:ascii="Times New Roman" w:hAnsi="Times New Roman"/>
                <w:noProof/>
                <w:sz w:val="24"/>
              </w:rPr>
            </w:pPr>
            <w:r>
              <w:rPr>
                <w:rFonts w:ascii="Times New Roman" w:hAnsi="Times New Roman"/>
                <w:sz w:val="24"/>
              </w:rPr>
              <w:t>no –0,48 līdz –0,080</w:t>
            </w:r>
          </w:p>
        </w:tc>
        <w:tc>
          <w:tcPr>
            <w:tcW w:w="681" w:type="pct"/>
            <w:gridSpan w:val="2"/>
            <w:tcBorders>
              <w:top w:val="nil"/>
              <w:left w:val="nil"/>
              <w:bottom w:val="nil"/>
              <w:right w:val="nil"/>
            </w:tcBorders>
            <w:shd w:val="clear" w:color="auto" w:fill="FAD3B4"/>
          </w:tcPr>
          <w:p w14:paraId="02811BC6" w14:textId="77777777" w:rsidR="000A6469" w:rsidRPr="004D11C9" w:rsidRDefault="000A6469" w:rsidP="001B5B55">
            <w:pPr>
              <w:pStyle w:val="TableParagraph"/>
              <w:jc w:val="center"/>
              <w:rPr>
                <w:rFonts w:ascii="Times New Roman" w:hAnsi="Times New Roman"/>
                <w:noProof/>
                <w:sz w:val="24"/>
              </w:rPr>
            </w:pPr>
            <w:r>
              <w:rPr>
                <w:rFonts w:ascii="Times New Roman" w:hAnsi="Times New Roman"/>
                <w:sz w:val="24"/>
              </w:rPr>
              <w:t>5</w:t>
            </w:r>
          </w:p>
        </w:tc>
        <w:tc>
          <w:tcPr>
            <w:tcW w:w="2735" w:type="pct"/>
            <w:gridSpan w:val="2"/>
            <w:tcBorders>
              <w:top w:val="nil"/>
              <w:left w:val="nil"/>
              <w:bottom w:val="nil"/>
              <w:right w:val="nil"/>
            </w:tcBorders>
            <w:shd w:val="clear" w:color="auto" w:fill="FAD3B4"/>
          </w:tcPr>
          <w:p w14:paraId="2E1331A1" w14:textId="77777777" w:rsidR="000A6469" w:rsidRPr="004D11C9" w:rsidRDefault="000A6469" w:rsidP="004D11C9">
            <w:pPr>
              <w:pStyle w:val="TableParagraph"/>
              <w:jc w:val="both"/>
              <w:rPr>
                <w:rFonts w:ascii="Times New Roman" w:hAnsi="Times New Roman"/>
                <w:noProof/>
                <w:sz w:val="24"/>
              </w:rPr>
            </w:pPr>
            <w:r>
              <w:rPr>
                <w:rFonts w:ascii="Times New Roman" w:hAnsi="Times New Roman"/>
                <w:sz w:val="24"/>
              </w:rPr>
              <w:t>1. Rada pašregulējošu vai kopregulējošu sistēmu</w:t>
            </w:r>
          </w:p>
        </w:tc>
      </w:tr>
      <w:tr w:rsidR="000A6469" w:rsidRPr="004D11C9" w14:paraId="5CCD9D53" w14:textId="77777777" w:rsidTr="001B5B55">
        <w:trPr>
          <w:gridBefore w:val="1"/>
          <w:wBefore w:w="12" w:type="pct"/>
        </w:trPr>
        <w:tc>
          <w:tcPr>
            <w:tcW w:w="540" w:type="pct"/>
            <w:gridSpan w:val="2"/>
            <w:tcBorders>
              <w:top w:val="nil"/>
              <w:left w:val="nil"/>
              <w:bottom w:val="nil"/>
              <w:right w:val="nil"/>
            </w:tcBorders>
          </w:tcPr>
          <w:p w14:paraId="5992A4D5" w14:textId="77777777" w:rsidR="000A6469" w:rsidRPr="004D11C9" w:rsidRDefault="000A6469" w:rsidP="001B5B55">
            <w:pPr>
              <w:pStyle w:val="TableParagraph"/>
              <w:jc w:val="center"/>
              <w:rPr>
                <w:rFonts w:ascii="Times New Roman" w:hAnsi="Times New Roman"/>
                <w:noProof/>
                <w:sz w:val="24"/>
              </w:rPr>
            </w:pPr>
            <w:r>
              <w:rPr>
                <w:rFonts w:ascii="Times New Roman" w:hAnsi="Times New Roman"/>
                <w:sz w:val="24"/>
              </w:rPr>
              <w:t>–0,10</w:t>
            </w:r>
          </w:p>
        </w:tc>
        <w:tc>
          <w:tcPr>
            <w:tcW w:w="1032" w:type="pct"/>
            <w:gridSpan w:val="2"/>
            <w:tcBorders>
              <w:top w:val="nil"/>
              <w:left w:val="nil"/>
              <w:bottom w:val="nil"/>
              <w:right w:val="nil"/>
            </w:tcBorders>
          </w:tcPr>
          <w:p w14:paraId="69CA54A5" w14:textId="77777777" w:rsidR="000A6469" w:rsidRPr="004D11C9" w:rsidRDefault="000A6469" w:rsidP="001B5B55">
            <w:pPr>
              <w:pStyle w:val="TableParagraph"/>
              <w:jc w:val="center"/>
              <w:rPr>
                <w:rFonts w:ascii="Times New Roman" w:hAnsi="Times New Roman"/>
                <w:noProof/>
                <w:sz w:val="24"/>
              </w:rPr>
            </w:pPr>
            <w:r>
              <w:rPr>
                <w:rFonts w:ascii="Times New Roman" w:hAnsi="Times New Roman"/>
                <w:sz w:val="24"/>
              </w:rPr>
              <w:t>no –0,13 līdz –0,064</w:t>
            </w:r>
          </w:p>
        </w:tc>
        <w:tc>
          <w:tcPr>
            <w:tcW w:w="681" w:type="pct"/>
            <w:gridSpan w:val="2"/>
            <w:tcBorders>
              <w:top w:val="nil"/>
              <w:left w:val="nil"/>
              <w:bottom w:val="nil"/>
              <w:right w:val="nil"/>
            </w:tcBorders>
          </w:tcPr>
          <w:p w14:paraId="121E32E8" w14:textId="77777777" w:rsidR="000A6469" w:rsidRPr="004D11C9" w:rsidRDefault="000A6469" w:rsidP="001B5B55">
            <w:pPr>
              <w:pStyle w:val="TableParagraph"/>
              <w:jc w:val="center"/>
              <w:rPr>
                <w:rFonts w:ascii="Times New Roman" w:hAnsi="Times New Roman"/>
                <w:noProof/>
                <w:sz w:val="24"/>
              </w:rPr>
            </w:pPr>
            <w:r>
              <w:rPr>
                <w:rFonts w:ascii="Times New Roman" w:hAnsi="Times New Roman"/>
                <w:sz w:val="24"/>
              </w:rPr>
              <w:t>11</w:t>
            </w:r>
          </w:p>
        </w:tc>
        <w:tc>
          <w:tcPr>
            <w:tcW w:w="2735" w:type="pct"/>
            <w:gridSpan w:val="2"/>
            <w:tcBorders>
              <w:top w:val="nil"/>
              <w:left w:val="nil"/>
              <w:bottom w:val="nil"/>
              <w:right w:val="nil"/>
            </w:tcBorders>
          </w:tcPr>
          <w:p w14:paraId="2B93B684" w14:textId="77777777" w:rsidR="000A6469" w:rsidRPr="004D11C9" w:rsidRDefault="000A6469" w:rsidP="004D11C9">
            <w:pPr>
              <w:pStyle w:val="TableParagraph"/>
              <w:jc w:val="both"/>
              <w:rPr>
                <w:rFonts w:ascii="Times New Roman" w:hAnsi="Times New Roman"/>
                <w:noProof/>
                <w:sz w:val="24"/>
              </w:rPr>
            </w:pPr>
            <w:r>
              <w:rPr>
                <w:rFonts w:ascii="Times New Roman" w:hAnsi="Times New Roman"/>
                <w:sz w:val="24"/>
              </w:rPr>
              <w:t>2. Prasa publicēt informāciju par piegādātāja produkciju, cenām, algām vai izmaksām vai arī mudina to darīt</w:t>
            </w:r>
          </w:p>
        </w:tc>
      </w:tr>
      <w:tr w:rsidR="000A6469" w:rsidRPr="004D11C9" w14:paraId="2FE975FB" w14:textId="77777777" w:rsidTr="001B5B55">
        <w:trPr>
          <w:gridBefore w:val="1"/>
          <w:wBefore w:w="12" w:type="pct"/>
        </w:trPr>
        <w:tc>
          <w:tcPr>
            <w:tcW w:w="540" w:type="pct"/>
            <w:gridSpan w:val="2"/>
            <w:tcBorders>
              <w:top w:val="nil"/>
              <w:left w:val="nil"/>
              <w:bottom w:val="nil"/>
              <w:right w:val="nil"/>
            </w:tcBorders>
            <w:shd w:val="clear" w:color="auto" w:fill="FAD3B4"/>
          </w:tcPr>
          <w:p w14:paraId="57195BE8" w14:textId="77777777" w:rsidR="000A6469" w:rsidRPr="004D11C9" w:rsidRDefault="000A6469" w:rsidP="001B5B55">
            <w:pPr>
              <w:pStyle w:val="TableParagraph"/>
              <w:jc w:val="center"/>
              <w:rPr>
                <w:rFonts w:ascii="Times New Roman" w:hAnsi="Times New Roman"/>
                <w:noProof/>
                <w:sz w:val="24"/>
              </w:rPr>
            </w:pPr>
            <w:r>
              <w:rPr>
                <w:rFonts w:ascii="Times New Roman" w:hAnsi="Times New Roman"/>
                <w:sz w:val="24"/>
              </w:rPr>
              <w:t>–0,25</w:t>
            </w:r>
          </w:p>
        </w:tc>
        <w:tc>
          <w:tcPr>
            <w:tcW w:w="1032" w:type="pct"/>
            <w:gridSpan w:val="2"/>
            <w:tcBorders>
              <w:top w:val="nil"/>
              <w:left w:val="nil"/>
              <w:bottom w:val="nil"/>
              <w:right w:val="nil"/>
            </w:tcBorders>
            <w:shd w:val="clear" w:color="auto" w:fill="FAD3B4"/>
          </w:tcPr>
          <w:p w14:paraId="02E7BC8F" w14:textId="77777777" w:rsidR="000A6469" w:rsidRPr="004D11C9" w:rsidRDefault="000A6469" w:rsidP="001B5B55">
            <w:pPr>
              <w:pStyle w:val="TableParagraph"/>
              <w:jc w:val="center"/>
              <w:rPr>
                <w:rFonts w:ascii="Times New Roman" w:hAnsi="Times New Roman"/>
                <w:noProof/>
                <w:sz w:val="24"/>
              </w:rPr>
            </w:pPr>
            <w:r>
              <w:rPr>
                <w:rFonts w:ascii="Times New Roman" w:hAnsi="Times New Roman"/>
                <w:sz w:val="24"/>
              </w:rPr>
              <w:t>no –0,35 līdz –0,16</w:t>
            </w:r>
          </w:p>
        </w:tc>
        <w:tc>
          <w:tcPr>
            <w:tcW w:w="681" w:type="pct"/>
            <w:gridSpan w:val="2"/>
            <w:tcBorders>
              <w:top w:val="nil"/>
              <w:left w:val="nil"/>
              <w:bottom w:val="nil"/>
              <w:right w:val="nil"/>
            </w:tcBorders>
            <w:shd w:val="clear" w:color="auto" w:fill="FAD3B4"/>
          </w:tcPr>
          <w:p w14:paraId="0F39754C" w14:textId="77777777" w:rsidR="000A6469" w:rsidRPr="004D11C9" w:rsidRDefault="000A6469" w:rsidP="001B5B55">
            <w:pPr>
              <w:pStyle w:val="TableParagraph"/>
              <w:jc w:val="center"/>
              <w:rPr>
                <w:rFonts w:ascii="Times New Roman" w:hAnsi="Times New Roman"/>
                <w:noProof/>
                <w:sz w:val="24"/>
              </w:rPr>
            </w:pPr>
            <w:r>
              <w:rPr>
                <w:rFonts w:ascii="Times New Roman" w:hAnsi="Times New Roman"/>
                <w:sz w:val="24"/>
              </w:rPr>
              <w:t>13</w:t>
            </w:r>
          </w:p>
        </w:tc>
        <w:tc>
          <w:tcPr>
            <w:tcW w:w="2735" w:type="pct"/>
            <w:gridSpan w:val="2"/>
            <w:tcBorders>
              <w:top w:val="nil"/>
              <w:left w:val="nil"/>
              <w:bottom w:val="nil"/>
              <w:right w:val="nil"/>
            </w:tcBorders>
            <w:shd w:val="clear" w:color="auto" w:fill="FAD3B4"/>
          </w:tcPr>
          <w:p w14:paraId="2A5592B2" w14:textId="77777777" w:rsidR="000A6469" w:rsidRPr="004D11C9" w:rsidRDefault="000A6469" w:rsidP="004D11C9">
            <w:pPr>
              <w:pStyle w:val="TableParagraph"/>
              <w:jc w:val="both"/>
              <w:rPr>
                <w:rFonts w:ascii="Times New Roman" w:hAnsi="Times New Roman"/>
                <w:noProof/>
                <w:sz w:val="24"/>
              </w:rPr>
            </w:pPr>
            <w:r>
              <w:rPr>
                <w:rFonts w:ascii="Times New Roman" w:hAnsi="Times New Roman"/>
                <w:sz w:val="24"/>
              </w:rPr>
              <w:t>3. Atbrīvo noteiktas rūpniecības nozares vai piegādātāju grupas darbības no vispārējo konkurences tiesību aktu ietekmes</w:t>
            </w:r>
          </w:p>
        </w:tc>
      </w:tr>
      <w:tr w:rsidR="000A6469" w:rsidRPr="004D11C9" w14:paraId="19FAF38E" w14:textId="77777777" w:rsidTr="001B5B55">
        <w:trPr>
          <w:gridBefore w:val="1"/>
          <w:wBefore w:w="12" w:type="pct"/>
        </w:trPr>
        <w:tc>
          <w:tcPr>
            <w:tcW w:w="540" w:type="pct"/>
            <w:gridSpan w:val="2"/>
            <w:tcBorders>
              <w:top w:val="nil"/>
              <w:left w:val="nil"/>
              <w:bottom w:val="nil"/>
              <w:right w:val="nil"/>
            </w:tcBorders>
          </w:tcPr>
          <w:p w14:paraId="2A5FE451" w14:textId="77777777" w:rsidR="000A6469" w:rsidRPr="004D11C9" w:rsidRDefault="000A6469" w:rsidP="001B5B55">
            <w:pPr>
              <w:pStyle w:val="TableParagraph"/>
              <w:jc w:val="center"/>
              <w:rPr>
                <w:rFonts w:ascii="Times New Roman" w:hAnsi="Times New Roman"/>
                <w:b/>
                <w:noProof/>
                <w:sz w:val="24"/>
              </w:rPr>
            </w:pPr>
            <w:r>
              <w:rPr>
                <w:rFonts w:ascii="Times New Roman" w:hAnsi="Times New Roman"/>
                <w:b/>
                <w:sz w:val="24"/>
              </w:rPr>
              <w:t>–0,20</w:t>
            </w:r>
          </w:p>
        </w:tc>
        <w:tc>
          <w:tcPr>
            <w:tcW w:w="1032" w:type="pct"/>
            <w:gridSpan w:val="2"/>
            <w:tcBorders>
              <w:top w:val="nil"/>
              <w:left w:val="nil"/>
              <w:bottom w:val="nil"/>
              <w:right w:val="nil"/>
            </w:tcBorders>
          </w:tcPr>
          <w:p w14:paraId="3BC6D1DD" w14:textId="77777777" w:rsidR="000A6469" w:rsidRPr="004D11C9" w:rsidRDefault="000A6469" w:rsidP="001B5B55">
            <w:pPr>
              <w:pStyle w:val="TableParagraph"/>
              <w:jc w:val="center"/>
              <w:rPr>
                <w:rFonts w:ascii="Times New Roman" w:hAnsi="Times New Roman"/>
                <w:b/>
                <w:noProof/>
                <w:sz w:val="24"/>
              </w:rPr>
            </w:pPr>
            <w:r>
              <w:rPr>
                <w:rFonts w:ascii="Times New Roman" w:hAnsi="Times New Roman"/>
                <w:b/>
                <w:sz w:val="24"/>
              </w:rPr>
              <w:t>–0,30 līdz –0,10</w:t>
            </w:r>
          </w:p>
        </w:tc>
        <w:tc>
          <w:tcPr>
            <w:tcW w:w="681" w:type="pct"/>
            <w:gridSpan w:val="2"/>
            <w:tcBorders>
              <w:top w:val="nil"/>
              <w:left w:val="nil"/>
              <w:bottom w:val="nil"/>
              <w:right w:val="nil"/>
            </w:tcBorders>
          </w:tcPr>
          <w:p w14:paraId="556DEE57" w14:textId="77777777" w:rsidR="000A6469" w:rsidRPr="004D11C9" w:rsidRDefault="000A6469" w:rsidP="001B5B55">
            <w:pPr>
              <w:pStyle w:val="TableParagraph"/>
              <w:jc w:val="center"/>
              <w:rPr>
                <w:rFonts w:ascii="Times New Roman" w:hAnsi="Times New Roman"/>
                <w:b/>
                <w:noProof/>
                <w:sz w:val="24"/>
              </w:rPr>
            </w:pPr>
            <w:r>
              <w:rPr>
                <w:rFonts w:ascii="Times New Roman" w:hAnsi="Times New Roman"/>
                <w:b/>
                <w:sz w:val="24"/>
              </w:rPr>
              <w:t>18</w:t>
            </w:r>
          </w:p>
        </w:tc>
        <w:tc>
          <w:tcPr>
            <w:tcW w:w="2735" w:type="pct"/>
            <w:gridSpan w:val="2"/>
            <w:tcBorders>
              <w:top w:val="nil"/>
              <w:left w:val="nil"/>
              <w:bottom w:val="nil"/>
              <w:right w:val="nil"/>
            </w:tcBorders>
          </w:tcPr>
          <w:p w14:paraId="755D5E63" w14:textId="77777777" w:rsidR="000A6469" w:rsidRPr="004D11C9" w:rsidRDefault="000A6469" w:rsidP="004D11C9">
            <w:pPr>
              <w:pStyle w:val="TableParagraph"/>
              <w:jc w:val="both"/>
              <w:rPr>
                <w:rFonts w:ascii="Times New Roman" w:hAnsi="Times New Roman"/>
                <w:b/>
                <w:noProof/>
                <w:sz w:val="24"/>
              </w:rPr>
            </w:pPr>
            <w:r>
              <w:rPr>
                <w:rFonts w:ascii="Times New Roman" w:hAnsi="Times New Roman"/>
                <w:b/>
                <w:sz w:val="24"/>
              </w:rPr>
              <w:t>D) Ierobežo pircējiem pieejamo izvēli un informāciju</w:t>
            </w:r>
          </w:p>
        </w:tc>
      </w:tr>
      <w:tr w:rsidR="000A6469" w:rsidRPr="004D11C9" w14:paraId="0633CE72" w14:textId="77777777" w:rsidTr="001B5B55">
        <w:trPr>
          <w:gridBefore w:val="1"/>
          <w:wBefore w:w="12" w:type="pct"/>
        </w:trPr>
        <w:tc>
          <w:tcPr>
            <w:tcW w:w="540" w:type="pct"/>
            <w:gridSpan w:val="2"/>
            <w:tcBorders>
              <w:top w:val="nil"/>
              <w:left w:val="nil"/>
              <w:bottom w:val="nil"/>
              <w:right w:val="nil"/>
            </w:tcBorders>
            <w:shd w:val="clear" w:color="auto" w:fill="FAD3B4"/>
          </w:tcPr>
          <w:p w14:paraId="4B5E3E2A" w14:textId="77777777" w:rsidR="000A6469" w:rsidRPr="004D11C9" w:rsidRDefault="000A6469" w:rsidP="001B5B55">
            <w:pPr>
              <w:pStyle w:val="TableParagraph"/>
              <w:jc w:val="center"/>
              <w:rPr>
                <w:rFonts w:ascii="Times New Roman" w:hAnsi="Times New Roman"/>
                <w:noProof/>
                <w:sz w:val="24"/>
              </w:rPr>
            </w:pPr>
            <w:r>
              <w:rPr>
                <w:rFonts w:ascii="Times New Roman" w:hAnsi="Times New Roman"/>
                <w:sz w:val="24"/>
              </w:rPr>
              <w:t>–0,32</w:t>
            </w:r>
          </w:p>
        </w:tc>
        <w:tc>
          <w:tcPr>
            <w:tcW w:w="1032" w:type="pct"/>
            <w:gridSpan w:val="2"/>
            <w:tcBorders>
              <w:top w:val="nil"/>
              <w:left w:val="nil"/>
              <w:bottom w:val="nil"/>
              <w:right w:val="nil"/>
            </w:tcBorders>
            <w:shd w:val="clear" w:color="auto" w:fill="FAD3B4"/>
          </w:tcPr>
          <w:p w14:paraId="7983B835" w14:textId="77777777" w:rsidR="000A6469" w:rsidRPr="004D11C9" w:rsidRDefault="000A6469" w:rsidP="001B5B55">
            <w:pPr>
              <w:pStyle w:val="TableParagraph"/>
              <w:jc w:val="center"/>
              <w:rPr>
                <w:rFonts w:ascii="Times New Roman" w:hAnsi="Times New Roman"/>
                <w:noProof/>
                <w:sz w:val="24"/>
              </w:rPr>
            </w:pPr>
            <w:r>
              <w:rPr>
                <w:rFonts w:ascii="Times New Roman" w:hAnsi="Times New Roman"/>
                <w:sz w:val="24"/>
              </w:rPr>
              <w:t>no –0,49 līdz –0,15</w:t>
            </w:r>
          </w:p>
        </w:tc>
        <w:tc>
          <w:tcPr>
            <w:tcW w:w="681" w:type="pct"/>
            <w:gridSpan w:val="2"/>
            <w:tcBorders>
              <w:top w:val="nil"/>
              <w:left w:val="nil"/>
              <w:bottom w:val="nil"/>
              <w:right w:val="nil"/>
            </w:tcBorders>
            <w:shd w:val="clear" w:color="auto" w:fill="FAD3B4"/>
          </w:tcPr>
          <w:p w14:paraId="4D3EB91F" w14:textId="77777777" w:rsidR="000A6469" w:rsidRPr="004D11C9" w:rsidRDefault="000A6469" w:rsidP="001B5B55">
            <w:pPr>
              <w:pStyle w:val="TableParagraph"/>
              <w:jc w:val="center"/>
              <w:rPr>
                <w:rFonts w:ascii="Times New Roman" w:hAnsi="Times New Roman"/>
                <w:noProof/>
                <w:sz w:val="24"/>
              </w:rPr>
            </w:pPr>
            <w:r>
              <w:rPr>
                <w:rFonts w:ascii="Times New Roman" w:hAnsi="Times New Roman"/>
                <w:sz w:val="24"/>
              </w:rPr>
              <w:t>7</w:t>
            </w:r>
          </w:p>
        </w:tc>
        <w:tc>
          <w:tcPr>
            <w:tcW w:w="2735" w:type="pct"/>
            <w:gridSpan w:val="2"/>
            <w:tcBorders>
              <w:top w:val="nil"/>
              <w:left w:val="nil"/>
              <w:bottom w:val="nil"/>
              <w:right w:val="nil"/>
            </w:tcBorders>
            <w:shd w:val="clear" w:color="auto" w:fill="FAD3B4"/>
          </w:tcPr>
          <w:p w14:paraId="7A50BB71" w14:textId="77777777" w:rsidR="000A6469" w:rsidRPr="004D11C9" w:rsidRDefault="000A6469" w:rsidP="004D11C9">
            <w:pPr>
              <w:pStyle w:val="TableParagraph"/>
              <w:jc w:val="both"/>
              <w:rPr>
                <w:rFonts w:ascii="Times New Roman" w:hAnsi="Times New Roman"/>
                <w:noProof/>
                <w:sz w:val="24"/>
              </w:rPr>
            </w:pPr>
            <w:r>
              <w:rPr>
                <w:rFonts w:ascii="Times New Roman" w:hAnsi="Times New Roman"/>
                <w:sz w:val="24"/>
              </w:rPr>
              <w:t>1. Ierobežo patērētāju iespējas izvēlēties, kur iepirkties</w:t>
            </w:r>
          </w:p>
        </w:tc>
      </w:tr>
      <w:tr w:rsidR="000A6469" w:rsidRPr="004D11C9" w14:paraId="177D4DED" w14:textId="77777777" w:rsidTr="001B5B55">
        <w:trPr>
          <w:gridBefore w:val="1"/>
          <w:wBefore w:w="12" w:type="pct"/>
        </w:trPr>
        <w:tc>
          <w:tcPr>
            <w:tcW w:w="540" w:type="pct"/>
            <w:gridSpan w:val="2"/>
            <w:tcBorders>
              <w:top w:val="nil"/>
              <w:left w:val="nil"/>
              <w:bottom w:val="nil"/>
              <w:right w:val="nil"/>
            </w:tcBorders>
          </w:tcPr>
          <w:p w14:paraId="0C83B094" w14:textId="77777777" w:rsidR="000A6469" w:rsidRPr="004D11C9" w:rsidRDefault="000A6469" w:rsidP="001B5B55">
            <w:pPr>
              <w:pStyle w:val="TableParagraph"/>
              <w:jc w:val="center"/>
              <w:rPr>
                <w:rFonts w:ascii="Times New Roman" w:hAnsi="Times New Roman"/>
                <w:noProof/>
                <w:sz w:val="24"/>
              </w:rPr>
            </w:pPr>
            <w:r>
              <w:rPr>
                <w:rFonts w:ascii="Times New Roman" w:hAnsi="Times New Roman"/>
                <w:sz w:val="24"/>
              </w:rPr>
              <w:t>–0,13</w:t>
            </w:r>
          </w:p>
        </w:tc>
        <w:tc>
          <w:tcPr>
            <w:tcW w:w="1032" w:type="pct"/>
            <w:gridSpan w:val="2"/>
            <w:tcBorders>
              <w:top w:val="nil"/>
              <w:left w:val="nil"/>
              <w:bottom w:val="nil"/>
              <w:right w:val="nil"/>
            </w:tcBorders>
          </w:tcPr>
          <w:p w14:paraId="3319C3FB" w14:textId="77777777" w:rsidR="000A6469" w:rsidRPr="004D11C9" w:rsidRDefault="000A6469" w:rsidP="001B5B55">
            <w:pPr>
              <w:pStyle w:val="TableParagraph"/>
              <w:jc w:val="center"/>
              <w:rPr>
                <w:rFonts w:ascii="Times New Roman" w:hAnsi="Times New Roman"/>
                <w:noProof/>
                <w:sz w:val="24"/>
              </w:rPr>
            </w:pPr>
            <w:r>
              <w:rPr>
                <w:rFonts w:ascii="Times New Roman" w:hAnsi="Times New Roman"/>
                <w:sz w:val="24"/>
              </w:rPr>
              <w:t>no –0,24 līdz 0,009</w:t>
            </w:r>
          </w:p>
        </w:tc>
        <w:tc>
          <w:tcPr>
            <w:tcW w:w="681" w:type="pct"/>
            <w:gridSpan w:val="2"/>
            <w:tcBorders>
              <w:top w:val="nil"/>
              <w:left w:val="nil"/>
              <w:bottom w:val="nil"/>
              <w:right w:val="nil"/>
            </w:tcBorders>
          </w:tcPr>
          <w:p w14:paraId="7E804015" w14:textId="77777777" w:rsidR="000A6469" w:rsidRPr="004D11C9" w:rsidRDefault="000A6469" w:rsidP="001B5B55">
            <w:pPr>
              <w:pStyle w:val="TableParagraph"/>
              <w:jc w:val="center"/>
              <w:rPr>
                <w:rFonts w:ascii="Times New Roman" w:hAnsi="Times New Roman"/>
                <w:noProof/>
                <w:sz w:val="24"/>
              </w:rPr>
            </w:pPr>
            <w:r>
              <w:rPr>
                <w:rFonts w:ascii="Times New Roman" w:hAnsi="Times New Roman"/>
                <w:sz w:val="24"/>
              </w:rPr>
              <w:t>9</w:t>
            </w:r>
          </w:p>
        </w:tc>
        <w:tc>
          <w:tcPr>
            <w:tcW w:w="2735" w:type="pct"/>
            <w:gridSpan w:val="2"/>
            <w:tcBorders>
              <w:top w:val="nil"/>
              <w:left w:val="nil"/>
              <w:bottom w:val="nil"/>
              <w:right w:val="nil"/>
            </w:tcBorders>
          </w:tcPr>
          <w:p w14:paraId="192765E9" w14:textId="77777777" w:rsidR="000A6469" w:rsidRPr="004D11C9" w:rsidRDefault="000A6469" w:rsidP="004D11C9">
            <w:pPr>
              <w:pStyle w:val="TableParagraph"/>
              <w:jc w:val="both"/>
              <w:rPr>
                <w:rFonts w:ascii="Times New Roman" w:hAnsi="Times New Roman"/>
                <w:noProof/>
                <w:sz w:val="24"/>
              </w:rPr>
            </w:pPr>
            <w:r>
              <w:rPr>
                <w:rFonts w:ascii="Times New Roman" w:hAnsi="Times New Roman"/>
                <w:sz w:val="24"/>
              </w:rPr>
              <w:t>2. Samazina klientu mobilitāti starp preču vai pakalpojumu piegādātājiem, paaugstinot viena piegādātāja nomaiņas ar citu tiešās vai netiešās izmaksas</w:t>
            </w:r>
          </w:p>
        </w:tc>
      </w:tr>
      <w:tr w:rsidR="000A6469" w:rsidRPr="004D11C9" w14:paraId="4226CA33" w14:textId="77777777" w:rsidTr="001B5B55">
        <w:trPr>
          <w:gridBefore w:val="1"/>
          <w:wBefore w:w="12" w:type="pct"/>
        </w:trPr>
        <w:tc>
          <w:tcPr>
            <w:tcW w:w="540" w:type="pct"/>
            <w:gridSpan w:val="2"/>
            <w:tcBorders>
              <w:top w:val="nil"/>
              <w:left w:val="nil"/>
              <w:bottom w:val="single" w:sz="5" w:space="0" w:color="000000"/>
              <w:right w:val="nil"/>
            </w:tcBorders>
            <w:shd w:val="clear" w:color="auto" w:fill="FAD3B4"/>
          </w:tcPr>
          <w:p w14:paraId="3D232C01" w14:textId="77777777" w:rsidR="000A6469" w:rsidRPr="004D11C9" w:rsidRDefault="000A6469" w:rsidP="001B5B55">
            <w:pPr>
              <w:pStyle w:val="TableParagraph"/>
              <w:jc w:val="center"/>
              <w:rPr>
                <w:rFonts w:ascii="Times New Roman" w:hAnsi="Times New Roman"/>
                <w:noProof/>
                <w:sz w:val="24"/>
              </w:rPr>
            </w:pPr>
            <w:r>
              <w:rPr>
                <w:rFonts w:ascii="Times New Roman" w:hAnsi="Times New Roman"/>
                <w:sz w:val="24"/>
              </w:rPr>
              <w:t>–0,074</w:t>
            </w:r>
          </w:p>
        </w:tc>
        <w:tc>
          <w:tcPr>
            <w:tcW w:w="1032" w:type="pct"/>
            <w:gridSpan w:val="2"/>
            <w:tcBorders>
              <w:top w:val="nil"/>
              <w:left w:val="nil"/>
              <w:bottom w:val="single" w:sz="5" w:space="0" w:color="000000"/>
              <w:right w:val="nil"/>
            </w:tcBorders>
            <w:shd w:val="clear" w:color="auto" w:fill="FAD3B4"/>
          </w:tcPr>
          <w:p w14:paraId="095BF0F7" w14:textId="77777777" w:rsidR="000A6469" w:rsidRPr="004D11C9" w:rsidRDefault="000A6469" w:rsidP="001B5B55">
            <w:pPr>
              <w:pStyle w:val="TableParagraph"/>
              <w:jc w:val="center"/>
              <w:rPr>
                <w:rFonts w:ascii="Times New Roman" w:hAnsi="Times New Roman"/>
                <w:noProof/>
                <w:sz w:val="24"/>
              </w:rPr>
            </w:pPr>
            <w:r>
              <w:rPr>
                <w:rFonts w:ascii="Times New Roman" w:hAnsi="Times New Roman"/>
                <w:sz w:val="24"/>
              </w:rPr>
              <w:t>no –0,33 līdz 0,011</w:t>
            </w:r>
          </w:p>
        </w:tc>
        <w:tc>
          <w:tcPr>
            <w:tcW w:w="681" w:type="pct"/>
            <w:gridSpan w:val="2"/>
            <w:tcBorders>
              <w:top w:val="nil"/>
              <w:left w:val="nil"/>
              <w:bottom w:val="single" w:sz="5" w:space="0" w:color="000000"/>
              <w:right w:val="nil"/>
            </w:tcBorders>
            <w:shd w:val="clear" w:color="auto" w:fill="FAD3B4"/>
          </w:tcPr>
          <w:p w14:paraId="2737FBF7" w14:textId="77777777" w:rsidR="000A6469" w:rsidRPr="004D11C9" w:rsidRDefault="000A6469" w:rsidP="001B5B55">
            <w:pPr>
              <w:pStyle w:val="TableParagraph"/>
              <w:jc w:val="center"/>
              <w:rPr>
                <w:rFonts w:ascii="Times New Roman" w:hAnsi="Times New Roman"/>
                <w:noProof/>
                <w:sz w:val="24"/>
              </w:rPr>
            </w:pPr>
            <w:r>
              <w:rPr>
                <w:rFonts w:ascii="Times New Roman" w:hAnsi="Times New Roman"/>
                <w:sz w:val="24"/>
              </w:rPr>
              <w:t>2</w:t>
            </w:r>
          </w:p>
        </w:tc>
        <w:tc>
          <w:tcPr>
            <w:tcW w:w="2735" w:type="pct"/>
            <w:gridSpan w:val="2"/>
            <w:tcBorders>
              <w:top w:val="nil"/>
              <w:left w:val="nil"/>
              <w:bottom w:val="single" w:sz="5" w:space="0" w:color="000000"/>
              <w:right w:val="nil"/>
            </w:tcBorders>
            <w:shd w:val="clear" w:color="auto" w:fill="FAD3B4"/>
          </w:tcPr>
          <w:p w14:paraId="29C9EA1B" w14:textId="77777777" w:rsidR="000A6469" w:rsidRPr="004D11C9" w:rsidRDefault="000A6469" w:rsidP="004D11C9">
            <w:pPr>
              <w:pStyle w:val="TableParagraph"/>
              <w:jc w:val="both"/>
              <w:rPr>
                <w:rFonts w:ascii="Times New Roman" w:hAnsi="Times New Roman"/>
                <w:noProof/>
                <w:sz w:val="24"/>
              </w:rPr>
            </w:pPr>
            <w:r>
              <w:rPr>
                <w:rFonts w:ascii="Times New Roman" w:hAnsi="Times New Roman"/>
                <w:sz w:val="24"/>
              </w:rPr>
              <w:t>3. Būtiski maina pircējam nepieciešamo informāciju efektīvai pirkuma veikšanai.</w:t>
            </w:r>
          </w:p>
        </w:tc>
      </w:tr>
    </w:tbl>
    <w:p w14:paraId="57D83898" w14:textId="77777777" w:rsidR="001B5B55" w:rsidRDefault="001B5B55" w:rsidP="004D11C9">
      <w:pPr>
        <w:jc w:val="both"/>
        <w:rPr>
          <w:rFonts w:ascii="Times New Roman" w:hAnsi="Times New Roman"/>
          <w:noProof/>
          <w:sz w:val="24"/>
        </w:rPr>
      </w:pPr>
    </w:p>
    <w:p w14:paraId="6527EFCD" w14:textId="1034E23F" w:rsidR="000A6469" w:rsidRPr="004D11C9" w:rsidRDefault="000A6469" w:rsidP="004D11C9">
      <w:pPr>
        <w:jc w:val="both"/>
        <w:rPr>
          <w:rFonts w:ascii="Times New Roman" w:hAnsi="Times New Roman"/>
          <w:noProof/>
          <w:sz w:val="24"/>
        </w:rPr>
      </w:pPr>
      <w:r>
        <w:rPr>
          <w:rFonts w:ascii="Times New Roman" w:hAnsi="Times New Roman"/>
          <w:sz w:val="24"/>
        </w:rPr>
        <w:t>Piezīme. * Cenas atšķirības (starp konkurētspējīgu un konkurētnespējīgu cenu) un konkurētnespējīgas cenas savstarpējā attiecība.</w:t>
      </w:r>
    </w:p>
    <w:p w14:paraId="48276D2E" w14:textId="77777777" w:rsidR="000A6469" w:rsidRPr="004D11C9" w:rsidRDefault="000A6469" w:rsidP="004D11C9">
      <w:pPr>
        <w:jc w:val="both"/>
        <w:rPr>
          <w:rFonts w:ascii="Times New Roman" w:eastAsia="Arial" w:hAnsi="Times New Roman" w:cs="Arial"/>
          <w:noProof/>
          <w:sz w:val="24"/>
          <w:szCs w:val="17"/>
        </w:rPr>
      </w:pPr>
      <w:bookmarkStart w:id="233" w:name="_bookmark116"/>
      <w:bookmarkEnd w:id="233"/>
      <w:r>
        <w:rPr>
          <w:rFonts w:ascii="Times New Roman" w:hAnsi="Times New Roman"/>
          <w:i/>
          <w:sz w:val="24"/>
        </w:rPr>
        <w:t xml:space="preserve">Avots. </w:t>
      </w:r>
      <w:r>
        <w:rPr>
          <w:rFonts w:ascii="Times New Roman" w:hAnsi="Times New Roman"/>
          <w:sz w:val="24"/>
        </w:rPr>
        <w:t>Pārskatīti aprēķini, izmantojot rokasgrāmatā izklāstīto metodi.</w:t>
      </w:r>
    </w:p>
    <w:p w14:paraId="69F04F0E" w14:textId="42D1FBCE" w:rsidR="001B5B55" w:rsidRDefault="001B5B55">
      <w:pPr>
        <w:rPr>
          <w:rFonts w:ascii="Times New Roman" w:eastAsia="Arial" w:hAnsi="Times New Roman" w:cs="Arial"/>
          <w:noProof/>
          <w:sz w:val="24"/>
          <w:szCs w:val="17"/>
        </w:rPr>
      </w:pPr>
      <w:r>
        <w:br w:type="page"/>
      </w:r>
    </w:p>
    <w:p w14:paraId="1BFAE0C6" w14:textId="4D810555" w:rsidR="000A6469" w:rsidRDefault="000A6469" w:rsidP="004D11C9">
      <w:pPr>
        <w:jc w:val="both"/>
        <w:rPr>
          <w:rFonts w:ascii="Times New Roman" w:eastAsia="Arial" w:hAnsi="Times New Roman" w:cs="Arial"/>
          <w:noProof/>
          <w:sz w:val="24"/>
          <w:szCs w:val="20"/>
        </w:rPr>
      </w:pPr>
    </w:p>
    <w:p w14:paraId="69B65B2F" w14:textId="13D50D2B" w:rsidR="001A796E" w:rsidRDefault="001A796E" w:rsidP="004D11C9">
      <w:pPr>
        <w:jc w:val="both"/>
        <w:rPr>
          <w:rFonts w:ascii="Times New Roman" w:eastAsia="Arial" w:hAnsi="Times New Roman" w:cs="Arial"/>
          <w:noProof/>
          <w:sz w:val="24"/>
          <w:szCs w:val="20"/>
        </w:rPr>
      </w:pPr>
    </w:p>
    <w:p w14:paraId="6F66DE18" w14:textId="1B53D9D5" w:rsidR="001A796E" w:rsidRDefault="001A796E" w:rsidP="004D11C9">
      <w:pPr>
        <w:jc w:val="both"/>
        <w:rPr>
          <w:rFonts w:ascii="Times New Roman" w:eastAsia="Arial" w:hAnsi="Times New Roman" w:cs="Arial"/>
          <w:noProof/>
          <w:sz w:val="24"/>
          <w:szCs w:val="20"/>
        </w:rPr>
      </w:pPr>
    </w:p>
    <w:p w14:paraId="7AD88409" w14:textId="60D5026A" w:rsidR="001A796E" w:rsidRDefault="001A796E" w:rsidP="004D11C9">
      <w:pPr>
        <w:jc w:val="both"/>
        <w:rPr>
          <w:rFonts w:ascii="Times New Roman" w:eastAsia="Arial" w:hAnsi="Times New Roman" w:cs="Arial"/>
          <w:noProof/>
          <w:sz w:val="24"/>
          <w:szCs w:val="20"/>
        </w:rPr>
      </w:pPr>
    </w:p>
    <w:p w14:paraId="66CA8CF9" w14:textId="1FF8B093" w:rsidR="001A796E" w:rsidRDefault="001A796E" w:rsidP="004D11C9">
      <w:pPr>
        <w:jc w:val="both"/>
        <w:rPr>
          <w:rFonts w:ascii="Times New Roman" w:eastAsia="Arial" w:hAnsi="Times New Roman" w:cs="Arial"/>
          <w:noProof/>
          <w:sz w:val="24"/>
          <w:szCs w:val="20"/>
        </w:rPr>
      </w:pPr>
    </w:p>
    <w:p w14:paraId="229ACDCC" w14:textId="3D0F587C" w:rsidR="001A796E" w:rsidRDefault="001A796E" w:rsidP="004D11C9">
      <w:pPr>
        <w:jc w:val="both"/>
        <w:rPr>
          <w:rFonts w:ascii="Times New Roman" w:eastAsia="Arial" w:hAnsi="Times New Roman" w:cs="Arial"/>
          <w:noProof/>
          <w:sz w:val="24"/>
          <w:szCs w:val="20"/>
        </w:rPr>
      </w:pPr>
    </w:p>
    <w:p w14:paraId="10C26158" w14:textId="07646708" w:rsidR="001A796E" w:rsidRDefault="001A796E" w:rsidP="004D11C9">
      <w:pPr>
        <w:jc w:val="both"/>
        <w:rPr>
          <w:rFonts w:ascii="Times New Roman" w:eastAsia="Arial" w:hAnsi="Times New Roman" w:cs="Arial"/>
          <w:noProof/>
          <w:sz w:val="24"/>
          <w:szCs w:val="20"/>
        </w:rPr>
      </w:pPr>
    </w:p>
    <w:p w14:paraId="31D161B8" w14:textId="519AAEB7" w:rsidR="001A796E" w:rsidRDefault="001A796E" w:rsidP="004D11C9">
      <w:pPr>
        <w:jc w:val="both"/>
        <w:rPr>
          <w:rFonts w:ascii="Times New Roman" w:eastAsia="Arial" w:hAnsi="Times New Roman" w:cs="Arial"/>
          <w:noProof/>
          <w:sz w:val="24"/>
          <w:szCs w:val="20"/>
        </w:rPr>
      </w:pPr>
    </w:p>
    <w:p w14:paraId="362D9426" w14:textId="569259AE" w:rsidR="001A796E" w:rsidRDefault="001A796E" w:rsidP="004D11C9">
      <w:pPr>
        <w:jc w:val="both"/>
        <w:rPr>
          <w:rFonts w:ascii="Times New Roman" w:eastAsia="Arial" w:hAnsi="Times New Roman" w:cs="Arial"/>
          <w:noProof/>
          <w:sz w:val="24"/>
          <w:szCs w:val="20"/>
        </w:rPr>
      </w:pPr>
    </w:p>
    <w:p w14:paraId="478752FC" w14:textId="5D817BAE" w:rsidR="001A796E" w:rsidRDefault="001A796E" w:rsidP="004D11C9">
      <w:pPr>
        <w:jc w:val="both"/>
        <w:rPr>
          <w:rFonts w:ascii="Times New Roman" w:eastAsia="Arial" w:hAnsi="Times New Roman" w:cs="Arial"/>
          <w:noProof/>
          <w:sz w:val="24"/>
          <w:szCs w:val="20"/>
        </w:rPr>
      </w:pPr>
    </w:p>
    <w:p w14:paraId="4B7297B4" w14:textId="54C14418" w:rsidR="001A796E" w:rsidRDefault="001A796E" w:rsidP="004D11C9">
      <w:pPr>
        <w:jc w:val="both"/>
        <w:rPr>
          <w:rFonts w:ascii="Times New Roman" w:eastAsia="Arial" w:hAnsi="Times New Roman" w:cs="Arial"/>
          <w:noProof/>
          <w:sz w:val="24"/>
          <w:szCs w:val="20"/>
        </w:rPr>
      </w:pPr>
    </w:p>
    <w:p w14:paraId="155E24EA" w14:textId="0271CFF0" w:rsidR="001A796E" w:rsidRDefault="001A796E" w:rsidP="004D11C9">
      <w:pPr>
        <w:jc w:val="both"/>
        <w:rPr>
          <w:rFonts w:ascii="Times New Roman" w:eastAsia="Arial" w:hAnsi="Times New Roman" w:cs="Arial"/>
          <w:noProof/>
          <w:sz w:val="24"/>
          <w:szCs w:val="20"/>
        </w:rPr>
      </w:pPr>
    </w:p>
    <w:p w14:paraId="6342D053" w14:textId="6729141F" w:rsidR="001A796E" w:rsidRDefault="001A796E" w:rsidP="004D11C9">
      <w:pPr>
        <w:jc w:val="both"/>
        <w:rPr>
          <w:rFonts w:ascii="Times New Roman" w:eastAsia="Arial" w:hAnsi="Times New Roman" w:cs="Arial"/>
          <w:noProof/>
          <w:sz w:val="24"/>
          <w:szCs w:val="20"/>
        </w:rPr>
      </w:pPr>
    </w:p>
    <w:p w14:paraId="2DF5E93E" w14:textId="518FD251" w:rsidR="001A796E" w:rsidRDefault="001A796E" w:rsidP="004D11C9">
      <w:pPr>
        <w:jc w:val="both"/>
        <w:rPr>
          <w:rFonts w:ascii="Times New Roman" w:eastAsia="Arial" w:hAnsi="Times New Roman" w:cs="Arial"/>
          <w:noProof/>
          <w:sz w:val="24"/>
          <w:szCs w:val="20"/>
        </w:rPr>
      </w:pPr>
    </w:p>
    <w:p w14:paraId="158443BF" w14:textId="77777777" w:rsidR="001A796E" w:rsidRPr="004D11C9" w:rsidRDefault="001A796E" w:rsidP="004D11C9">
      <w:pPr>
        <w:jc w:val="both"/>
        <w:rPr>
          <w:rFonts w:ascii="Times New Roman" w:eastAsia="Arial" w:hAnsi="Times New Roman" w:cs="Arial"/>
          <w:noProof/>
          <w:sz w:val="24"/>
          <w:szCs w:val="20"/>
        </w:rPr>
      </w:pPr>
    </w:p>
    <w:p w14:paraId="028DDE5B" w14:textId="77777777" w:rsidR="000A6469" w:rsidRPr="004D11C9" w:rsidRDefault="000A6469" w:rsidP="004D11C9">
      <w:pPr>
        <w:pStyle w:val="Heading3"/>
        <w:ind w:left="0"/>
        <w:jc w:val="both"/>
        <w:rPr>
          <w:rFonts w:ascii="Times New Roman" w:hAnsi="Times New Roman"/>
          <w:noProof/>
          <w:sz w:val="24"/>
        </w:rPr>
      </w:pPr>
      <w:bookmarkStart w:id="234" w:name="_Toc62650506"/>
      <w:r>
        <w:rPr>
          <w:rFonts w:ascii="Times New Roman" w:hAnsi="Times New Roman"/>
          <w:sz w:val="24"/>
        </w:rPr>
        <w:t>Par ESAO Konkurences novērtēšanas metodisko līdzekli</w:t>
      </w:r>
      <w:bookmarkEnd w:id="234"/>
    </w:p>
    <w:p w14:paraId="1797F50B" w14:textId="77777777" w:rsidR="000A6469" w:rsidRPr="004D11C9" w:rsidRDefault="000A6469" w:rsidP="004D11C9">
      <w:pPr>
        <w:jc w:val="both"/>
        <w:rPr>
          <w:rFonts w:ascii="Times New Roman" w:eastAsia="Arial" w:hAnsi="Times New Roman" w:cs="Arial"/>
          <w:b/>
          <w:bCs/>
          <w:noProof/>
          <w:sz w:val="24"/>
          <w:szCs w:val="19"/>
        </w:rPr>
      </w:pPr>
    </w:p>
    <w:p w14:paraId="3BA07260" w14:textId="77777777" w:rsidR="000A6469" w:rsidRPr="004D11C9" w:rsidRDefault="000A6469" w:rsidP="004D11C9">
      <w:pPr>
        <w:jc w:val="both"/>
        <w:rPr>
          <w:rFonts w:ascii="Times New Roman" w:eastAsia="Arial" w:hAnsi="Times New Roman" w:cs="Arial"/>
          <w:noProof/>
          <w:sz w:val="24"/>
          <w:szCs w:val="18"/>
        </w:rPr>
      </w:pPr>
      <w:r>
        <w:rPr>
          <w:rFonts w:ascii="Times New Roman" w:hAnsi="Times New Roman"/>
          <w:sz w:val="24"/>
        </w:rPr>
        <w:t xml:space="preserve">ESAO Konkurences novērtēšanas metodiskais līdzeklis palīdz valstīm likvidēt šķēršļus, kuri ierobežo konkurenci, piedāvājot metodi nevajadzīgu tirgus darbības ierobežojumu noskaidrošanai un tādu alternatīvu, mazāk ierobežojošu pasākumu izstrādāšanai, ar kuriem joprojām ir iespējams sasniegt valsts politikas mērķus. Tas sastāv no šādiem 3 sējumiem: Principi, Norādījumi un Rokasgrāmata. Papildu informācija ar metodisko līdzekli ir pieejama tīmekļa vietnē </w:t>
      </w:r>
      <w:r>
        <w:rPr>
          <w:rFonts w:ascii="Times New Roman" w:hAnsi="Times New Roman"/>
          <w:b/>
          <w:sz w:val="24"/>
        </w:rPr>
        <w:t>oe.cd/cat.</w:t>
      </w:r>
    </w:p>
    <w:p w14:paraId="1550B361" w14:textId="37CDDD4F" w:rsidR="000A6469" w:rsidRDefault="000A6469" w:rsidP="004D11C9">
      <w:pPr>
        <w:jc w:val="both"/>
        <w:rPr>
          <w:rFonts w:ascii="Times New Roman" w:eastAsia="Arial" w:hAnsi="Times New Roman" w:cs="Arial"/>
          <w:b/>
          <w:bCs/>
          <w:noProof/>
          <w:sz w:val="24"/>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555"/>
        <w:gridCol w:w="7507"/>
      </w:tblGrid>
      <w:tr w:rsidR="001B5B55" w14:paraId="3528AF2E" w14:textId="77777777" w:rsidTr="001A796E">
        <w:tc>
          <w:tcPr>
            <w:tcW w:w="1555" w:type="dxa"/>
          </w:tcPr>
          <w:p w14:paraId="184FE820" w14:textId="79420C48" w:rsidR="001B5B55" w:rsidRDefault="001B5B55" w:rsidP="004D11C9">
            <w:pPr>
              <w:jc w:val="both"/>
              <w:rPr>
                <w:rFonts w:ascii="Times New Roman" w:eastAsia="Arial" w:hAnsi="Times New Roman" w:cs="Arial"/>
                <w:noProof/>
                <w:sz w:val="24"/>
                <w:szCs w:val="18"/>
              </w:rPr>
            </w:pPr>
            <w:r>
              <w:rPr>
                <w:rFonts w:ascii="Times New Roman" w:hAnsi="Times New Roman"/>
                <w:noProof/>
                <w:sz w:val="24"/>
                <w:szCs w:val="18"/>
              </w:rPr>
              <w:drawing>
                <wp:inline distT="0" distB="0" distL="0" distR="0" wp14:anchorId="0B94A9E2" wp14:editId="1CF4DFFF">
                  <wp:extent cx="829310" cy="1233170"/>
                  <wp:effectExtent l="0" t="0" r="889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29310" cy="1233170"/>
                          </a:xfrm>
                          <a:prstGeom prst="rect">
                            <a:avLst/>
                          </a:prstGeom>
                          <a:noFill/>
                          <a:ln>
                            <a:noFill/>
                          </a:ln>
                        </pic:spPr>
                      </pic:pic>
                    </a:graphicData>
                  </a:graphic>
                </wp:inline>
              </w:drawing>
            </w:r>
          </w:p>
        </w:tc>
        <w:tc>
          <w:tcPr>
            <w:tcW w:w="7507" w:type="dxa"/>
          </w:tcPr>
          <w:p w14:paraId="5E5A1BFA" w14:textId="77777777" w:rsidR="001B5B55" w:rsidRPr="004D11C9" w:rsidRDefault="001B5B55" w:rsidP="001B5B55">
            <w:pPr>
              <w:pStyle w:val="Heading3"/>
              <w:ind w:left="0"/>
              <w:jc w:val="both"/>
              <w:rPr>
                <w:rFonts w:ascii="Times New Roman" w:hAnsi="Times New Roman"/>
                <w:noProof/>
                <w:sz w:val="24"/>
              </w:rPr>
            </w:pPr>
            <w:bookmarkStart w:id="235" w:name="_Toc62650507"/>
            <w:r>
              <w:rPr>
                <w:rFonts w:ascii="Times New Roman" w:hAnsi="Times New Roman"/>
                <w:sz w:val="24"/>
              </w:rPr>
              <w:t>Metodiskā līdzekļa principi</w:t>
            </w:r>
            <w:bookmarkEnd w:id="235"/>
          </w:p>
          <w:p w14:paraId="41F03769" w14:textId="77777777" w:rsidR="001B5B55" w:rsidRPr="004D11C9" w:rsidRDefault="001B5B55" w:rsidP="001B5B55">
            <w:pPr>
              <w:jc w:val="both"/>
              <w:rPr>
                <w:rFonts w:ascii="Times New Roman" w:eastAsia="Arial" w:hAnsi="Times New Roman" w:cs="Arial"/>
                <w:b/>
                <w:bCs/>
                <w:noProof/>
                <w:sz w:val="24"/>
                <w:szCs w:val="19"/>
              </w:rPr>
            </w:pPr>
          </w:p>
          <w:p w14:paraId="4C88BF88" w14:textId="5C054CE7" w:rsidR="001B5B55" w:rsidRPr="001B5B55" w:rsidRDefault="001B5B55" w:rsidP="004D11C9">
            <w:pPr>
              <w:jc w:val="both"/>
              <w:rPr>
                <w:rFonts w:ascii="Times New Roman" w:hAnsi="Times New Roman"/>
                <w:noProof/>
                <w:sz w:val="24"/>
              </w:rPr>
            </w:pPr>
            <w:r>
              <w:rPr>
                <w:rFonts w:ascii="Times New Roman" w:hAnsi="Times New Roman"/>
                <w:sz w:val="24"/>
              </w:rPr>
              <w:t>1. sējumā ir noteikti metodiskā līdzekļa principi un izklāstīti ieguvumi no konkurences, kā arī sniegta informācija par pārbaudes lapu un valdības procesu piemēri.</w:t>
            </w:r>
          </w:p>
        </w:tc>
      </w:tr>
      <w:tr w:rsidR="001B5B55" w14:paraId="66E558BB" w14:textId="77777777" w:rsidTr="001A796E">
        <w:tc>
          <w:tcPr>
            <w:tcW w:w="1555" w:type="dxa"/>
          </w:tcPr>
          <w:p w14:paraId="74D54B54" w14:textId="4E7897B2" w:rsidR="001B5B55" w:rsidRDefault="001B5B55" w:rsidP="004D11C9">
            <w:pPr>
              <w:jc w:val="both"/>
              <w:rPr>
                <w:rFonts w:ascii="Times New Roman" w:eastAsia="Arial" w:hAnsi="Times New Roman" w:cs="Arial"/>
                <w:noProof/>
                <w:sz w:val="24"/>
                <w:szCs w:val="18"/>
              </w:rPr>
            </w:pPr>
            <w:r>
              <w:rPr>
                <w:rFonts w:ascii="Times New Roman" w:hAnsi="Times New Roman"/>
                <w:noProof/>
                <w:sz w:val="24"/>
                <w:szCs w:val="18"/>
              </w:rPr>
              <w:drawing>
                <wp:inline distT="0" distB="0" distL="0" distR="0" wp14:anchorId="319B3B87" wp14:editId="597A937A">
                  <wp:extent cx="871855" cy="1223010"/>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71855" cy="1223010"/>
                          </a:xfrm>
                          <a:prstGeom prst="rect">
                            <a:avLst/>
                          </a:prstGeom>
                          <a:noFill/>
                          <a:ln>
                            <a:noFill/>
                          </a:ln>
                        </pic:spPr>
                      </pic:pic>
                    </a:graphicData>
                  </a:graphic>
                </wp:inline>
              </w:drawing>
            </w:r>
          </w:p>
        </w:tc>
        <w:tc>
          <w:tcPr>
            <w:tcW w:w="7507" w:type="dxa"/>
          </w:tcPr>
          <w:p w14:paraId="0BE23CF4" w14:textId="77777777" w:rsidR="001B5B55" w:rsidRPr="004D11C9" w:rsidRDefault="001B5B55" w:rsidP="001B5B55">
            <w:pPr>
              <w:pStyle w:val="Heading3"/>
              <w:ind w:left="0"/>
              <w:jc w:val="both"/>
              <w:rPr>
                <w:rFonts w:ascii="Times New Roman" w:hAnsi="Times New Roman"/>
                <w:noProof/>
                <w:sz w:val="24"/>
              </w:rPr>
            </w:pPr>
            <w:bookmarkStart w:id="236" w:name="_Toc62650508"/>
            <w:r>
              <w:rPr>
                <w:rFonts w:ascii="Times New Roman" w:hAnsi="Times New Roman"/>
                <w:sz w:val="24"/>
              </w:rPr>
              <w:t>Tehniskie norādījumi</w:t>
            </w:r>
            <w:bookmarkEnd w:id="236"/>
          </w:p>
          <w:p w14:paraId="014906AE" w14:textId="77777777" w:rsidR="001B5B55" w:rsidRDefault="001B5B55" w:rsidP="001B5B55">
            <w:pPr>
              <w:jc w:val="both"/>
              <w:rPr>
                <w:rFonts w:ascii="Times New Roman" w:hAnsi="Times New Roman"/>
                <w:noProof/>
                <w:sz w:val="24"/>
              </w:rPr>
            </w:pPr>
          </w:p>
          <w:p w14:paraId="35B7CAA1" w14:textId="1ED23C35" w:rsidR="001B5B55" w:rsidRPr="001B5B55" w:rsidRDefault="001B5B55" w:rsidP="004D11C9">
            <w:pPr>
              <w:jc w:val="both"/>
              <w:rPr>
                <w:rFonts w:ascii="Times New Roman" w:hAnsi="Times New Roman"/>
                <w:noProof/>
                <w:sz w:val="24"/>
              </w:rPr>
            </w:pPr>
            <w:r>
              <w:rPr>
                <w:rFonts w:ascii="Times New Roman" w:hAnsi="Times New Roman"/>
                <w:sz w:val="24"/>
              </w:rPr>
              <w:t>2. sējumā ir sīki izklāstīti tehniskie norādījumi par galvenajiem jautājumiem, kas ir jāapsver, kad tiek veikts konkurences novērtējums.</w:t>
            </w:r>
          </w:p>
        </w:tc>
      </w:tr>
      <w:tr w:rsidR="001B5B55" w14:paraId="73B69F81" w14:textId="77777777" w:rsidTr="001A796E">
        <w:tc>
          <w:tcPr>
            <w:tcW w:w="1555" w:type="dxa"/>
          </w:tcPr>
          <w:p w14:paraId="0789DA66" w14:textId="4BAF9B04" w:rsidR="001B5B55" w:rsidRDefault="001B5B55" w:rsidP="004D11C9">
            <w:pPr>
              <w:jc w:val="both"/>
              <w:rPr>
                <w:rFonts w:ascii="Times New Roman" w:eastAsia="Arial" w:hAnsi="Times New Roman" w:cs="Arial"/>
                <w:noProof/>
                <w:sz w:val="24"/>
                <w:szCs w:val="18"/>
              </w:rPr>
            </w:pPr>
            <w:r>
              <w:rPr>
                <w:rFonts w:ascii="Times New Roman" w:hAnsi="Times New Roman"/>
                <w:noProof/>
                <w:sz w:val="24"/>
                <w:szCs w:val="18"/>
              </w:rPr>
              <w:drawing>
                <wp:inline distT="0" distB="0" distL="0" distR="0" wp14:anchorId="476EFDC1" wp14:editId="1604A80C">
                  <wp:extent cx="871855" cy="1223010"/>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71855" cy="1223010"/>
                          </a:xfrm>
                          <a:prstGeom prst="rect">
                            <a:avLst/>
                          </a:prstGeom>
                          <a:noFill/>
                          <a:ln>
                            <a:noFill/>
                          </a:ln>
                        </pic:spPr>
                      </pic:pic>
                    </a:graphicData>
                  </a:graphic>
                </wp:inline>
              </w:drawing>
            </w:r>
          </w:p>
        </w:tc>
        <w:tc>
          <w:tcPr>
            <w:tcW w:w="7507" w:type="dxa"/>
          </w:tcPr>
          <w:p w14:paraId="01BA28A3" w14:textId="77777777" w:rsidR="001B5B55" w:rsidRPr="004D11C9" w:rsidRDefault="001B5B55" w:rsidP="001B5B55">
            <w:pPr>
              <w:jc w:val="both"/>
              <w:rPr>
                <w:rFonts w:ascii="Times New Roman" w:eastAsia="Arial" w:hAnsi="Times New Roman" w:cs="Arial"/>
                <w:noProof/>
                <w:sz w:val="24"/>
              </w:rPr>
            </w:pPr>
            <w:r>
              <w:rPr>
                <w:rFonts w:ascii="Times New Roman" w:hAnsi="Times New Roman"/>
                <w:b/>
                <w:sz w:val="24"/>
              </w:rPr>
              <w:t>Konkurences novērtēšanas rokasgrāmata</w:t>
            </w:r>
          </w:p>
          <w:p w14:paraId="5DB5A4CB" w14:textId="77777777" w:rsidR="001B5B55" w:rsidRPr="004D11C9" w:rsidRDefault="001B5B55" w:rsidP="001B5B55">
            <w:pPr>
              <w:jc w:val="both"/>
              <w:rPr>
                <w:rFonts w:ascii="Times New Roman" w:eastAsia="Arial" w:hAnsi="Times New Roman" w:cs="Arial"/>
                <w:noProof/>
                <w:sz w:val="24"/>
                <w:szCs w:val="19"/>
              </w:rPr>
            </w:pPr>
          </w:p>
          <w:p w14:paraId="4E8C3413" w14:textId="71C24188" w:rsidR="001B5B55" w:rsidRDefault="001B5B55" w:rsidP="004D11C9">
            <w:pPr>
              <w:jc w:val="both"/>
              <w:rPr>
                <w:rFonts w:ascii="Times New Roman" w:eastAsia="Arial" w:hAnsi="Times New Roman" w:cs="Arial"/>
                <w:noProof/>
                <w:sz w:val="24"/>
                <w:szCs w:val="18"/>
              </w:rPr>
            </w:pPr>
            <w:r>
              <w:rPr>
                <w:rFonts w:ascii="Times New Roman" w:hAnsi="Times New Roman"/>
                <w:sz w:val="24"/>
              </w:rPr>
              <w:t>3. sējumā ir iekļauta rokasgrāmata, kurā soli pa solim izklāstīts konkurences novērtēšanas process.</w:t>
            </w:r>
          </w:p>
        </w:tc>
      </w:tr>
    </w:tbl>
    <w:p w14:paraId="6FAFE36F" w14:textId="0374D4C8" w:rsidR="001B5B55" w:rsidRDefault="001B5B55" w:rsidP="004D11C9">
      <w:pPr>
        <w:jc w:val="both"/>
        <w:rPr>
          <w:rFonts w:ascii="Times New Roman" w:eastAsia="Arial" w:hAnsi="Times New Roman" w:cs="Arial"/>
          <w:noProof/>
          <w:sz w:val="24"/>
          <w:szCs w:val="18"/>
        </w:rPr>
      </w:pPr>
    </w:p>
    <w:p w14:paraId="3413AE09" w14:textId="4458FCCF" w:rsidR="001B5B55" w:rsidRDefault="001B5B55">
      <w:pPr>
        <w:rPr>
          <w:rFonts w:ascii="Times New Roman" w:eastAsia="Arial" w:hAnsi="Times New Roman" w:cs="Arial"/>
          <w:noProof/>
          <w:sz w:val="24"/>
          <w:szCs w:val="18"/>
        </w:rPr>
      </w:pPr>
      <w:r>
        <w:br w:type="page"/>
      </w:r>
    </w:p>
    <w:p w14:paraId="4315BE47" w14:textId="4B96F689" w:rsidR="00867DDD" w:rsidRDefault="00867DDD" w:rsidP="004D11C9">
      <w:pPr>
        <w:jc w:val="both"/>
        <w:rPr>
          <w:rFonts w:ascii="Times New Roman" w:eastAsia="Arial" w:hAnsi="Times New Roman" w:cs="Arial"/>
          <w:noProof/>
          <w:sz w:val="24"/>
          <w:szCs w:val="20"/>
        </w:rPr>
      </w:pPr>
    </w:p>
    <w:p w14:paraId="797CBA6F" w14:textId="41093E44" w:rsidR="001A796E" w:rsidRDefault="001A796E" w:rsidP="004D11C9">
      <w:pPr>
        <w:jc w:val="both"/>
        <w:rPr>
          <w:rFonts w:ascii="Times New Roman" w:eastAsia="Arial" w:hAnsi="Times New Roman" w:cs="Arial"/>
          <w:noProof/>
          <w:sz w:val="24"/>
          <w:szCs w:val="20"/>
        </w:rPr>
      </w:pPr>
    </w:p>
    <w:p w14:paraId="1AA69FFB" w14:textId="77777777" w:rsidR="001A796E" w:rsidRPr="004D11C9" w:rsidRDefault="001A796E" w:rsidP="004D11C9">
      <w:pPr>
        <w:jc w:val="both"/>
        <w:rPr>
          <w:rFonts w:ascii="Times New Roman" w:eastAsia="Arial" w:hAnsi="Times New Roman" w:cs="Arial"/>
          <w:noProof/>
          <w:sz w:val="24"/>
          <w:szCs w:val="20"/>
        </w:rPr>
      </w:pPr>
    </w:p>
    <w:p w14:paraId="64474C94" w14:textId="77777777" w:rsidR="000A6469" w:rsidRPr="004D11C9" w:rsidRDefault="000A6469" w:rsidP="004D11C9">
      <w:pPr>
        <w:pStyle w:val="Heading5"/>
        <w:ind w:left="0"/>
        <w:jc w:val="both"/>
        <w:rPr>
          <w:rFonts w:ascii="Times New Roman" w:hAnsi="Times New Roman"/>
          <w:noProof/>
          <w:sz w:val="24"/>
        </w:rPr>
      </w:pPr>
      <w:r>
        <w:rPr>
          <w:rFonts w:ascii="Times New Roman" w:hAnsi="Times New Roman"/>
          <w:sz w:val="24"/>
        </w:rPr>
        <w:t>ESAO Konkurences novērtēšanas metodiskais līdzeklis palīdz valstīm likvidēt konkurenci ierobežojošos šķēršļus. Tas sastāv no šādiem trīs sējumiem:</w:t>
      </w:r>
    </w:p>
    <w:p w14:paraId="1E51B8BD" w14:textId="77777777" w:rsidR="000A6469" w:rsidRPr="004D11C9" w:rsidRDefault="000A6469" w:rsidP="004D11C9">
      <w:pPr>
        <w:jc w:val="both"/>
        <w:rPr>
          <w:rFonts w:ascii="Times New Roman" w:eastAsia="Arial" w:hAnsi="Times New Roman" w:cs="Arial"/>
          <w:noProof/>
          <w:sz w:val="24"/>
        </w:rPr>
      </w:pPr>
    </w:p>
    <w:p w14:paraId="4028DE83" w14:textId="77777777" w:rsidR="000A6469" w:rsidRPr="004D11C9" w:rsidRDefault="000A6469" w:rsidP="004D11C9">
      <w:pPr>
        <w:jc w:val="both"/>
        <w:rPr>
          <w:rFonts w:ascii="Times New Roman" w:hAnsi="Times New Roman"/>
          <w:noProof/>
          <w:sz w:val="24"/>
        </w:rPr>
      </w:pPr>
      <w:r>
        <w:rPr>
          <w:rFonts w:ascii="Times New Roman" w:hAnsi="Times New Roman"/>
          <w:sz w:val="24"/>
        </w:rPr>
        <w:t>3. sējumā ir iekļauta rokasgrāmata, kurā soli pa solim izklāstīts konkurences novērtēšanas process.</w:t>
      </w:r>
    </w:p>
    <w:p w14:paraId="7AED15BD" w14:textId="77777777" w:rsidR="000A6469" w:rsidRPr="004D11C9" w:rsidRDefault="000A6469" w:rsidP="004D11C9">
      <w:pPr>
        <w:jc w:val="both"/>
        <w:rPr>
          <w:rFonts w:ascii="Times New Roman" w:eastAsia="Arial" w:hAnsi="Times New Roman" w:cs="Arial"/>
          <w:noProof/>
          <w:sz w:val="24"/>
        </w:rPr>
      </w:pPr>
    </w:p>
    <w:p w14:paraId="7467DECE" w14:textId="6AD02490" w:rsidR="000A6469" w:rsidRPr="004D11C9" w:rsidRDefault="000A6469" w:rsidP="004D11C9">
      <w:pPr>
        <w:jc w:val="both"/>
        <w:rPr>
          <w:rFonts w:ascii="Times New Roman" w:eastAsia="Arial" w:hAnsi="Times New Roman" w:cs="Arial"/>
          <w:noProof/>
          <w:sz w:val="24"/>
        </w:rPr>
      </w:pPr>
      <w:r>
        <w:rPr>
          <w:rFonts w:ascii="Times New Roman" w:hAnsi="Times New Roman"/>
          <w:sz w:val="24"/>
        </w:rPr>
        <w:t xml:space="preserve">Metodiskais līdzeklis ir pieejams lejupielādei 15 valodās tīmekļa vietnē </w:t>
      </w:r>
      <w:r>
        <w:rPr>
          <w:rFonts w:ascii="Times New Roman" w:hAnsi="Times New Roman"/>
          <w:b/>
          <w:sz w:val="24"/>
        </w:rPr>
        <w:t>www.oecd.org/competition/toolkit</w:t>
      </w:r>
      <w:r>
        <w:rPr>
          <w:rFonts w:ascii="Times New Roman" w:hAnsi="Times New Roman"/>
          <w:sz w:val="24"/>
        </w:rPr>
        <w:t>.</w:t>
      </w:r>
    </w:p>
    <w:p w14:paraId="4FDB7B72" w14:textId="77777777" w:rsidR="000A6469" w:rsidRPr="004D11C9" w:rsidRDefault="000A6469" w:rsidP="004D11C9">
      <w:pPr>
        <w:jc w:val="both"/>
        <w:rPr>
          <w:rFonts w:ascii="Times New Roman" w:eastAsia="Arial" w:hAnsi="Times New Roman" w:cs="Arial"/>
          <w:b/>
          <w:bCs/>
          <w:noProof/>
          <w:sz w:val="24"/>
          <w:szCs w:val="20"/>
        </w:rPr>
      </w:pPr>
    </w:p>
    <w:p w14:paraId="2D2E1650" w14:textId="6D7715AB" w:rsidR="000A6469" w:rsidRPr="004D11C9" w:rsidRDefault="000A6469" w:rsidP="004D11C9">
      <w:pPr>
        <w:jc w:val="both"/>
        <w:rPr>
          <w:rFonts w:ascii="Times New Roman" w:eastAsia="Arial" w:hAnsi="Times New Roman" w:cs="Arial"/>
          <w:noProof/>
          <w:sz w:val="24"/>
          <w:szCs w:val="20"/>
        </w:rPr>
      </w:pPr>
    </w:p>
    <w:sectPr w:rsidR="000A6469" w:rsidRPr="004D11C9" w:rsidSect="004D11C9">
      <w:headerReference w:type="even" r:id="rId38"/>
      <w:headerReference w:type="default" r:id="rId39"/>
      <w:footerReference w:type="even" r:id="rId40"/>
      <w:footerReference w:type="default" r:id="rId41"/>
      <w:headerReference w:type="first" r:id="rId42"/>
      <w:footerReference w:type="first" r:id="rId43"/>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D60EC" w14:textId="77777777" w:rsidR="009C39FB" w:rsidRPr="000A6469" w:rsidRDefault="009C39FB">
      <w:pPr>
        <w:rPr>
          <w:noProof/>
        </w:rPr>
      </w:pPr>
      <w:r w:rsidRPr="000A6469">
        <w:rPr>
          <w:noProof/>
        </w:rPr>
        <w:separator/>
      </w:r>
    </w:p>
  </w:endnote>
  <w:endnote w:type="continuationSeparator" w:id="0">
    <w:p w14:paraId="4D421620" w14:textId="77777777" w:rsidR="009C39FB" w:rsidRPr="000A6469" w:rsidRDefault="009C39FB">
      <w:pPr>
        <w:rPr>
          <w:noProof/>
        </w:rPr>
      </w:pPr>
      <w:r w:rsidRPr="000A6469">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80193" w14:textId="77777777" w:rsidR="009C39FB" w:rsidRDefault="009C39FB">
    <w:pPr>
      <w:spacing w:line="14"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63F7B" w14:textId="77777777" w:rsidR="009C39FB" w:rsidRPr="00F4401E" w:rsidRDefault="009C39FB" w:rsidP="00F4401E">
    <w:pPr>
      <w:pStyle w:val="Header"/>
      <w:tabs>
        <w:tab w:val="left" w:pos="9072"/>
      </w:tabs>
      <w:rPr>
        <w:rStyle w:val="PageNumber"/>
        <w:rFonts w:ascii="Times New Roman" w:hAnsi="Times New Roman" w:cs="Times New Roman"/>
        <w:sz w:val="20"/>
        <w:szCs w:val="20"/>
      </w:rPr>
    </w:pPr>
  </w:p>
  <w:p w14:paraId="2D6E1BDD" w14:textId="52027869" w:rsidR="009C39FB" w:rsidRPr="00F4401E" w:rsidRDefault="009C39FB" w:rsidP="00F4401E">
    <w:pPr>
      <w:pStyle w:val="Header"/>
      <w:tabs>
        <w:tab w:val="clear" w:pos="4513"/>
        <w:tab w:val="clear" w:pos="9026"/>
        <w:tab w:val="right" w:leader="underscore" w:pos="9072"/>
      </w:tabs>
      <w:rPr>
        <w:rStyle w:val="PageNumber"/>
        <w:rFonts w:ascii="Times New Roman" w:hAnsi="Times New Roman" w:cs="Times New Roman"/>
        <w:sz w:val="20"/>
        <w:szCs w:val="20"/>
      </w:rPr>
    </w:pPr>
    <w:r w:rsidRPr="00F4401E">
      <w:rPr>
        <w:rStyle w:val="PageNumber"/>
        <w:rFonts w:ascii="Times New Roman" w:hAnsi="Times New Roman" w:cs="Times New Roman"/>
        <w:sz w:val="20"/>
        <w:szCs w:val="20"/>
      </w:rPr>
      <w:tab/>
    </w:r>
  </w:p>
  <w:p w14:paraId="742FC061" w14:textId="77777777" w:rsidR="009C39FB" w:rsidRPr="00F4401E" w:rsidRDefault="009C39FB" w:rsidP="00F4401E">
    <w:pPr>
      <w:pStyle w:val="Header"/>
      <w:tabs>
        <w:tab w:val="right" w:pos="9072"/>
      </w:tabs>
      <w:rPr>
        <w:rStyle w:val="PageNumber"/>
        <w:rFonts w:ascii="Times New Roman" w:hAnsi="Times New Roman" w:cs="Times New Roman"/>
        <w:sz w:val="20"/>
        <w:szCs w:val="20"/>
      </w:rPr>
    </w:pPr>
  </w:p>
  <w:p w14:paraId="66F433EF" w14:textId="77777777" w:rsidR="009C39FB" w:rsidRPr="00F4401E" w:rsidRDefault="009C39FB" w:rsidP="00F4401E">
    <w:pPr>
      <w:pStyle w:val="Footer"/>
      <w:tabs>
        <w:tab w:val="clear" w:pos="4513"/>
        <w:tab w:val="clear" w:pos="9026"/>
        <w:tab w:val="center" w:pos="9072"/>
      </w:tabs>
      <w:rPr>
        <w:rFonts w:ascii="Times New Roman" w:hAnsi="Times New Roman" w:cs="Times New Roman"/>
        <w:sz w:val="20"/>
        <w:szCs w:val="20"/>
      </w:rPr>
    </w:pPr>
    <w:r w:rsidRPr="00F4401E">
      <w:rPr>
        <w:rFonts w:ascii="Times New Roman" w:hAnsi="Times New Roman" w:cs="Times New Roman"/>
        <w:noProof/>
        <w:sz w:val="20"/>
        <w:szCs w:val="20"/>
      </w:rPr>
      <w:t xml:space="preserve">Tulkojums </w:t>
    </w:r>
    <w:r w:rsidRPr="00F4401E">
      <w:rPr>
        <w:rFonts w:ascii="Times New Roman" w:hAnsi="Times New Roman" w:cs="Times New Roman"/>
        <w:noProof/>
        <w:sz w:val="20"/>
        <w:szCs w:val="20"/>
      </w:rPr>
      <w:fldChar w:fldCharType="begin"/>
    </w:r>
    <w:r w:rsidRPr="00F4401E">
      <w:rPr>
        <w:rFonts w:ascii="Times New Roman" w:hAnsi="Times New Roman" w:cs="Times New Roman"/>
        <w:noProof/>
        <w:sz w:val="20"/>
        <w:szCs w:val="20"/>
      </w:rPr>
      <w:instrText>symbol 211 \f "Symbol" \s 9</w:instrText>
    </w:r>
    <w:r w:rsidRPr="00F4401E">
      <w:rPr>
        <w:rFonts w:ascii="Times New Roman" w:hAnsi="Times New Roman" w:cs="Times New Roman"/>
        <w:noProof/>
        <w:sz w:val="20"/>
        <w:szCs w:val="20"/>
      </w:rPr>
      <w:fldChar w:fldCharType="separate"/>
    </w:r>
    <w:r w:rsidRPr="00F4401E">
      <w:rPr>
        <w:rFonts w:ascii="Times New Roman" w:hAnsi="Times New Roman" w:cs="Times New Roman"/>
        <w:noProof/>
        <w:sz w:val="20"/>
        <w:szCs w:val="20"/>
      </w:rPr>
      <w:t>Ó</w:t>
    </w:r>
    <w:r w:rsidRPr="00F4401E">
      <w:rPr>
        <w:rFonts w:ascii="Times New Roman" w:hAnsi="Times New Roman" w:cs="Times New Roman"/>
        <w:noProof/>
        <w:sz w:val="20"/>
        <w:szCs w:val="20"/>
      </w:rPr>
      <w:fldChar w:fldCharType="end"/>
    </w:r>
    <w:r w:rsidRPr="00F4401E">
      <w:rPr>
        <w:rFonts w:ascii="Times New Roman" w:hAnsi="Times New Roman" w:cs="Times New Roman"/>
        <w:noProof/>
        <w:sz w:val="20"/>
        <w:szCs w:val="20"/>
      </w:rPr>
      <w:t xml:space="preserve"> Valsts valodas centrs, 2021</w:t>
    </w:r>
    <w:r w:rsidRPr="00F4401E">
      <w:rPr>
        <w:rFonts w:ascii="Times New Roman" w:hAnsi="Times New Roman" w:cs="Times New Roman"/>
        <w:sz w:val="20"/>
        <w:szCs w:val="20"/>
      </w:rPr>
      <w:tab/>
    </w:r>
    <w:r w:rsidRPr="00F4401E">
      <w:rPr>
        <w:rStyle w:val="PageNumber"/>
        <w:rFonts w:ascii="Times New Roman" w:hAnsi="Times New Roman" w:cs="Times New Roman"/>
        <w:sz w:val="20"/>
        <w:szCs w:val="20"/>
      </w:rPr>
      <w:fldChar w:fldCharType="begin"/>
    </w:r>
    <w:r w:rsidRPr="00F4401E">
      <w:rPr>
        <w:rStyle w:val="PageNumber"/>
        <w:rFonts w:ascii="Times New Roman" w:hAnsi="Times New Roman" w:cs="Times New Roman"/>
        <w:sz w:val="20"/>
        <w:szCs w:val="20"/>
      </w:rPr>
      <w:instrText xml:space="preserve">page </w:instrText>
    </w:r>
    <w:r w:rsidRPr="00F4401E">
      <w:rPr>
        <w:rStyle w:val="PageNumber"/>
        <w:rFonts w:ascii="Times New Roman" w:hAnsi="Times New Roman" w:cs="Times New Roman"/>
        <w:sz w:val="20"/>
        <w:szCs w:val="20"/>
      </w:rPr>
      <w:fldChar w:fldCharType="separate"/>
    </w:r>
    <w:r w:rsidRPr="00F4401E">
      <w:rPr>
        <w:rStyle w:val="PageNumber"/>
        <w:rFonts w:ascii="Times New Roman" w:hAnsi="Times New Roman" w:cs="Times New Roman"/>
        <w:sz w:val="20"/>
        <w:szCs w:val="20"/>
      </w:rPr>
      <w:t>2</w:t>
    </w:r>
    <w:r w:rsidRPr="00F4401E">
      <w:rPr>
        <w:rStyle w:val="PageNumber"/>
        <w:rFonts w:ascii="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AA0BE" w14:textId="77777777" w:rsidR="009C39FB" w:rsidRPr="00F4401E" w:rsidRDefault="009C39FB" w:rsidP="00F4401E">
    <w:pPr>
      <w:pStyle w:val="Header"/>
      <w:tabs>
        <w:tab w:val="left" w:pos="9072"/>
      </w:tabs>
      <w:rPr>
        <w:rStyle w:val="PageNumber"/>
        <w:rFonts w:ascii="Times New Roman" w:hAnsi="Times New Roman" w:cs="Times New Roman"/>
        <w:szCs w:val="18"/>
      </w:rPr>
    </w:pPr>
    <w:bookmarkStart w:id="251" w:name="_Hlk496261764"/>
    <w:bookmarkStart w:id="252" w:name="_Hlk496261765"/>
    <w:bookmarkStart w:id="253" w:name="_Hlk496261766"/>
    <w:bookmarkStart w:id="254" w:name="_Hlk30491075"/>
    <w:bookmarkStart w:id="255" w:name="_Hlk30491076"/>
  </w:p>
  <w:p w14:paraId="31D598EE" w14:textId="462D28E1" w:rsidR="009C39FB" w:rsidRPr="00F4401E" w:rsidRDefault="009C39FB" w:rsidP="00F4401E">
    <w:pPr>
      <w:pStyle w:val="Header"/>
      <w:tabs>
        <w:tab w:val="clear" w:pos="4513"/>
        <w:tab w:val="clear" w:pos="9026"/>
        <w:tab w:val="left" w:leader="underscore" w:pos="9072"/>
      </w:tabs>
      <w:rPr>
        <w:rStyle w:val="PageNumber"/>
        <w:rFonts w:ascii="Times New Roman" w:hAnsi="Times New Roman" w:cs="Times New Roman"/>
        <w:szCs w:val="18"/>
      </w:rPr>
    </w:pPr>
    <w:r w:rsidRPr="00F4401E">
      <w:rPr>
        <w:rStyle w:val="PageNumber"/>
        <w:rFonts w:ascii="Times New Roman" w:hAnsi="Times New Roman" w:cs="Times New Roman"/>
        <w:szCs w:val="18"/>
      </w:rPr>
      <w:tab/>
    </w:r>
  </w:p>
  <w:p w14:paraId="6A58A6A5" w14:textId="77777777" w:rsidR="009C39FB" w:rsidRPr="00F4401E" w:rsidRDefault="009C39FB" w:rsidP="00F4401E">
    <w:pPr>
      <w:pStyle w:val="Header"/>
      <w:tabs>
        <w:tab w:val="left" w:pos="9072"/>
      </w:tabs>
      <w:rPr>
        <w:rStyle w:val="PageNumber"/>
        <w:rFonts w:ascii="Times New Roman" w:hAnsi="Times New Roman" w:cs="Times New Roman"/>
        <w:szCs w:val="18"/>
      </w:rPr>
    </w:pPr>
  </w:p>
  <w:p w14:paraId="65FDED05" w14:textId="77777777" w:rsidR="009C39FB" w:rsidRPr="00F4401E" w:rsidRDefault="009C39FB" w:rsidP="00F4401E">
    <w:pPr>
      <w:pStyle w:val="Footer"/>
      <w:rPr>
        <w:rFonts w:ascii="Times New Roman" w:hAnsi="Times New Roman" w:cs="Times New Roman"/>
        <w:sz w:val="20"/>
        <w:szCs w:val="18"/>
      </w:rPr>
    </w:pPr>
    <w:r w:rsidRPr="00F4401E">
      <w:rPr>
        <w:rFonts w:ascii="Times New Roman" w:hAnsi="Times New Roman" w:cs="Times New Roman"/>
        <w:noProof/>
        <w:sz w:val="20"/>
        <w:szCs w:val="18"/>
      </w:rPr>
      <w:t xml:space="preserve">Tulkojums </w:t>
    </w:r>
    <w:r w:rsidRPr="00F4401E">
      <w:rPr>
        <w:rFonts w:ascii="Times New Roman" w:hAnsi="Times New Roman" w:cs="Times New Roman"/>
        <w:noProof/>
        <w:sz w:val="20"/>
        <w:szCs w:val="18"/>
      </w:rPr>
      <w:fldChar w:fldCharType="begin"/>
    </w:r>
    <w:r w:rsidRPr="00F4401E">
      <w:rPr>
        <w:rFonts w:ascii="Times New Roman" w:hAnsi="Times New Roman" w:cs="Times New Roman"/>
        <w:noProof/>
        <w:sz w:val="20"/>
        <w:szCs w:val="18"/>
      </w:rPr>
      <w:instrText>symbol 211 \f "Symbol" \s 9</w:instrText>
    </w:r>
    <w:r w:rsidRPr="00F4401E">
      <w:rPr>
        <w:rFonts w:ascii="Times New Roman" w:hAnsi="Times New Roman" w:cs="Times New Roman"/>
        <w:noProof/>
        <w:sz w:val="20"/>
        <w:szCs w:val="18"/>
      </w:rPr>
      <w:fldChar w:fldCharType="separate"/>
    </w:r>
    <w:r w:rsidRPr="00F4401E">
      <w:rPr>
        <w:rFonts w:ascii="Times New Roman" w:hAnsi="Times New Roman" w:cs="Times New Roman"/>
        <w:noProof/>
        <w:sz w:val="20"/>
        <w:szCs w:val="18"/>
      </w:rPr>
      <w:t>Ó</w:t>
    </w:r>
    <w:r w:rsidRPr="00F4401E">
      <w:rPr>
        <w:rFonts w:ascii="Times New Roman" w:hAnsi="Times New Roman" w:cs="Times New Roman"/>
        <w:noProof/>
        <w:sz w:val="20"/>
        <w:szCs w:val="18"/>
      </w:rPr>
      <w:fldChar w:fldCharType="end"/>
    </w:r>
    <w:r w:rsidRPr="00F4401E">
      <w:rPr>
        <w:rFonts w:ascii="Times New Roman" w:hAnsi="Times New Roman" w:cs="Times New Roman"/>
        <w:noProof/>
        <w:sz w:val="20"/>
        <w:szCs w:val="18"/>
      </w:rPr>
      <w:t xml:space="preserve"> Valsts valodas centrs, 20</w:t>
    </w:r>
    <w:bookmarkEnd w:id="251"/>
    <w:bookmarkEnd w:id="252"/>
    <w:bookmarkEnd w:id="253"/>
    <w:r w:rsidRPr="00F4401E">
      <w:rPr>
        <w:rFonts w:ascii="Times New Roman" w:hAnsi="Times New Roman" w:cs="Times New Roman"/>
        <w:noProof/>
        <w:sz w:val="20"/>
        <w:szCs w:val="18"/>
      </w:rPr>
      <w:t>2</w:t>
    </w:r>
    <w:bookmarkEnd w:id="254"/>
    <w:bookmarkEnd w:id="255"/>
    <w:r w:rsidRPr="00F4401E">
      <w:rPr>
        <w:rFonts w:ascii="Times New Roman" w:hAnsi="Times New Roman" w:cs="Times New Roman"/>
        <w:noProof/>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1E245" w14:textId="77777777" w:rsidR="009C39FB" w:rsidRPr="000A6469" w:rsidRDefault="009C39FB">
      <w:pPr>
        <w:rPr>
          <w:noProof/>
        </w:rPr>
      </w:pPr>
      <w:r w:rsidRPr="000A6469">
        <w:rPr>
          <w:noProof/>
        </w:rPr>
        <w:separator/>
      </w:r>
    </w:p>
  </w:footnote>
  <w:footnote w:type="continuationSeparator" w:id="0">
    <w:p w14:paraId="36CBA07E" w14:textId="77777777" w:rsidR="009C39FB" w:rsidRPr="000A6469" w:rsidRDefault="009C39FB">
      <w:pPr>
        <w:rPr>
          <w:noProof/>
        </w:rPr>
      </w:pPr>
      <w:r w:rsidRPr="000A6469">
        <w:rPr>
          <w:noProof/>
        </w:rPr>
        <w:continuationSeparator/>
      </w:r>
    </w:p>
  </w:footnote>
  <w:footnote w:id="1">
    <w:p w14:paraId="57958D61" w14:textId="2EFC8337" w:rsidR="009C39FB" w:rsidRPr="001B172E" w:rsidRDefault="009C39FB" w:rsidP="001B172E">
      <w:pPr>
        <w:tabs>
          <w:tab w:val="left" w:pos="1002"/>
        </w:tabs>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Šo rokasgrāmatu var papildināt ar informāciju no pārējiem diviem Konkurences novērtēšanas metodiskā līdzekļa sējumiem – 1. sējums “Principi” un 2. sējums “Norādījumi”.</w:t>
      </w:r>
    </w:p>
  </w:footnote>
  <w:footnote w:id="2">
    <w:p w14:paraId="3FD4E246" w14:textId="457AD37B" w:rsidR="009C39FB" w:rsidRPr="00486953" w:rsidRDefault="009C39FB" w:rsidP="00486953">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Piegādātāju tirgus vara ir spēja izdevīgi paaugstināt cenu, pazemināt kvalitāti vai samazināt inovācijas attiecībā pret līmeni, kāds dominētu konkurējošā tirgū.</w:t>
      </w:r>
    </w:p>
  </w:footnote>
  <w:footnote w:id="3">
    <w:p w14:paraId="55A6A72D" w14:textId="363D94E0" w:rsidR="009C39FB" w:rsidRPr="00486953" w:rsidRDefault="009C39FB" w:rsidP="0048695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Monopols pastāv tad, ja preci vai pakalpojumu par saprātīgiem nosacījumiem var iegādāties tikai pie viena piegādātāja. “Dabiskajā monopolā” viens piegādātājs var vēlamo produkciju ražot efektīvāk un ar zemākām kopējām izmaksām nekā divi vai vairāki piegādātāji.</w:t>
      </w:r>
    </w:p>
  </w:footnote>
  <w:footnote w:id="4">
    <w:p w14:paraId="7968A9DD" w14:textId="6FB18C82" w:rsidR="009C39FB" w:rsidRPr="001215CF" w:rsidRDefault="009C39FB" w:rsidP="001215C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Kartelis pastāv tad, ja konkurenti vienojas ar mērķi palielināt savu kopējo peļņu, ierobežojot konkurenci, piemēram, nosakot cenu, ierobežojot piegādi, daloties peļņā vai krāpjoties konkursizsolēs.</w:t>
      </w:r>
    </w:p>
  </w:footnote>
  <w:footnote w:id="5">
    <w:p w14:paraId="0451FD6D" w14:textId="556C65E5" w:rsidR="009C39FB" w:rsidRPr="001215CF" w:rsidRDefault="009C39FB" w:rsidP="001215CF">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Apvienošanās ir divu (vai vairāku) iepriekš neatkarīgu piegādātāju apvienošanās, lai izveidotu vienu lielāku piegādātāju.</w:t>
      </w:r>
    </w:p>
  </w:footnote>
  <w:footnote w:id="6">
    <w:p w14:paraId="76D246CA" w14:textId="77DAB4E0" w:rsidR="009C39FB" w:rsidRPr="007E3D44" w:rsidRDefault="009C39FB" w:rsidP="007E3D4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Dažkārt ierobežotā laika dēļ pārbaudei var būt pieejamas tikai dažas dienas.</w:t>
      </w:r>
    </w:p>
  </w:footnote>
  <w:footnote w:id="7">
    <w:p w14:paraId="48911497" w14:textId="04206F82" w:rsidR="009C39FB" w:rsidRPr="008324B1" w:rsidRDefault="009C39FB" w:rsidP="008324B1">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Piemēram, banku nozarē banku drošības un stabilitātes nodrošināšana un arī sistēmas mēroga nestabilitātes novēršana ir regulatīvs mērķis, kas neizriet no tirgus nepilnībām to tradicionālajā izpratnē.</w:t>
      </w:r>
    </w:p>
  </w:footnote>
  <w:footnote w:id="8">
    <w:p w14:paraId="4F948FA2" w14:textId="370244BB" w:rsidR="009C39FB" w:rsidRPr="004E2512" w:rsidRDefault="009C39FB" w:rsidP="004E251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Ietekmes uz nodarbinātību mērīšanu dažkārt apgrūtina efektivitātes uzlabošanās izraisīta nodarbinātības pieauguma vienā nozarē izkliedētā ietekme un tas, ka darba vietu samazināšanu, ciktāl tā notiek vienā uzņēmumā, var kompensēt ar ieguvumiem, kas tiek iegūti ilgtermiņā, bet ne uzreiz.</w:t>
      </w:r>
    </w:p>
  </w:footnote>
  <w:footnote w:id="9">
    <w:p w14:paraId="70AAF642" w14:textId="01FAE62B" w:rsidR="009C39FB" w:rsidRPr="00BF0474" w:rsidRDefault="009C39FB" w:rsidP="00BF047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Šie avoti varētu būt palīdzējuši noteikt piegādes līknes, kas pastāvētu bāzes scenārija regulējuma gadījumā un konkurenci veicinošā regulējuma gadījumā.</w:t>
      </w:r>
    </w:p>
  </w:footnote>
  <w:footnote w:id="10">
    <w:p w14:paraId="0DB4B67C" w14:textId="22FC8F5D" w:rsidR="009C39FB" w:rsidRPr="00BF0474" w:rsidRDefault="009C39FB" w:rsidP="00BF047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Standarta rādītājs pieņem, ka tirgus elastīguma rādītājs ir –2 (vai |ε|=2 nemainīgā elastīguma pieprasījuma funkcijā). Tā nolūks ir atspoguļot tipisku produkta elastīgumu mērenas konkurences apstākļos un attālas, taču realizējamas alternatīvas. Šis rādītājs var būt precīzāks, ja ir pieejama papildu informācija vai ja ir pamats uzskatīt, ka pieprasījums ir īpaši neelastīgs, kā tas ir elektrības vai insulīna gadījumā, vai īpaši elastīgs, kā tas var būt atsevišķu patēriņa preču gadījumā.</w:t>
      </w:r>
    </w:p>
  </w:footnote>
  <w:footnote w:id="11">
    <w:p w14:paraId="6B6FE85E" w14:textId="14B9DE8E" w:rsidR="009C39FB" w:rsidRPr="00BF0474" w:rsidRDefault="009C39FB" w:rsidP="00BF0474">
      <w:pPr>
        <w:pStyle w:val="FootnoteText"/>
        <w:jc w:val="both"/>
      </w:pPr>
      <w:r>
        <w:rPr>
          <w:rStyle w:val="FootnoteReference"/>
          <w:rFonts w:ascii="Times New Roman" w:hAnsi="Times New Roman" w:cs="Times New Roman"/>
        </w:rPr>
        <w:footnoteRef/>
      </w:r>
      <w:r>
        <w:rPr>
          <w:rFonts w:ascii="Times New Roman" w:hAnsi="Times New Roman"/>
        </w:rPr>
        <w:t xml:space="preserve"> Skat. atvasinājumu 1. pielikumā.</w:t>
      </w:r>
    </w:p>
  </w:footnote>
  <w:footnote w:id="12">
    <w:p w14:paraId="45937FFD" w14:textId="552FA06E" w:rsidR="009C39FB" w:rsidRPr="00922A96" w:rsidRDefault="009C39FB" w:rsidP="00922A9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Papildu informācija par ierosināto risinājumu riska un nenoteiktības mērīšanas un salīdzināšanas paņēmieniem ir sniegta, piemēram, Apvienotās Karalistes Viņas Majestātes Valsts kases izdevumā (2018) </w:t>
      </w:r>
      <w:r>
        <w:rPr>
          <w:rFonts w:ascii="Times New Roman" w:hAnsi="Times New Roman"/>
          <w:i/>
        </w:rPr>
        <w:t>The Green Book</w:t>
      </w:r>
      <w:r>
        <w:rPr>
          <w:rFonts w:ascii="Times New Roman" w:hAnsi="Times New Roman"/>
        </w:rPr>
        <w:t xml:space="preserve">: </w:t>
      </w:r>
      <w:r>
        <w:rPr>
          <w:rFonts w:ascii="Times New Roman" w:hAnsi="Times New Roman"/>
          <w:i/>
        </w:rPr>
        <w:t>Appraisal and Evaluation in Central Government</w:t>
      </w:r>
      <w:r>
        <w:rPr>
          <w:rFonts w:ascii="Times New Roman" w:hAnsi="Times New Roman"/>
        </w:rPr>
        <w:t xml:space="preserve">, ASV Vadības un budžeta biroja apkārtrakstā </w:t>
      </w:r>
      <w:r>
        <w:rPr>
          <w:rFonts w:ascii="Times New Roman" w:hAnsi="Times New Roman"/>
          <w:i/>
        </w:rPr>
        <w:t>Circular No. A-94 Revised</w:t>
      </w:r>
      <w:r>
        <w:rPr>
          <w:rFonts w:ascii="Times New Roman" w:hAnsi="Times New Roman"/>
        </w:rPr>
        <w:t xml:space="preserve"> un Kanādas Valsts kases padomes sekretariāta izdevumā (2007), </w:t>
      </w:r>
      <w:r>
        <w:rPr>
          <w:rFonts w:ascii="Times New Roman" w:hAnsi="Times New Roman"/>
          <w:i/>
        </w:rPr>
        <w:t>Canadian Cost-Benefit Analysis Guide: Regulatory Proposals</w:t>
      </w:r>
      <w:r>
        <w:rPr>
          <w:rFonts w:ascii="Times New Roman" w:hAnsi="Times New Roman"/>
        </w:rPr>
        <w:t>.</w:t>
      </w:r>
    </w:p>
  </w:footnote>
  <w:footnote w:id="13">
    <w:p w14:paraId="6B8DA8AB" w14:textId="387DE194" w:rsidR="009C39FB" w:rsidRPr="007B2CEE" w:rsidRDefault="009C39FB" w:rsidP="007B2CEE">
      <w:pPr>
        <w:pStyle w:val="FootnoteText"/>
        <w:jc w:val="both"/>
        <w:rPr>
          <w:rFonts w:ascii="Times New Roman" w:hAnsi="Times New Roman" w:cs="Times New Roman"/>
        </w:rPr>
      </w:pPr>
      <w:r>
        <w:rPr>
          <w:rStyle w:val="FootnoteReference"/>
          <w:rFonts w:ascii="Times New Roman" w:hAnsi="Times New Roman"/>
        </w:rPr>
        <w:t>1</w:t>
      </w:r>
      <w:r>
        <w:rPr>
          <w:rFonts w:ascii="Times New Roman" w:hAnsi="Times New Roman"/>
        </w:rPr>
        <w:t xml:space="preserve"> Lineārā pieprasījuma līkni ir vienkārši modelēt, izmantojot vienādojumu, savukārt </w:t>
      </w:r>
      <w:r>
        <w:rPr>
          <w:rFonts w:ascii="Times New Roman" w:hAnsi="Times New Roman"/>
          <w:i/>
          <w:iCs/>
        </w:rPr>
        <w:t>CES</w:t>
      </w:r>
      <w:r>
        <w:rPr>
          <w:rFonts w:ascii="Times New Roman" w:hAnsi="Times New Roman"/>
        </w:rPr>
        <w:t xml:space="preserve"> pieprasījuma līknei var piemist īpašības, kas ticamāk atspoguļo patiesās pieprasījuma līknes. Abas var uzskatīt par vienkāršojumiem, kas atšķiras atkarībā no produkta un kas dažkārt var </w:t>
      </w:r>
      <w:r w:rsidR="008A5E23">
        <w:rPr>
          <w:rFonts w:ascii="Times New Roman" w:hAnsi="Times New Roman"/>
        </w:rPr>
        <w:t>iz</w:t>
      </w:r>
      <w:r>
        <w:rPr>
          <w:rFonts w:ascii="Times New Roman" w:hAnsi="Times New Roman"/>
        </w:rPr>
        <w:t>rādīt kompleks</w:t>
      </w:r>
      <w:r w:rsidR="008A5E23">
        <w:rPr>
          <w:rFonts w:ascii="Times New Roman" w:hAnsi="Times New Roman"/>
        </w:rPr>
        <w:t>u uzvedību</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E8CDC" w14:textId="77777777" w:rsidR="009C39FB" w:rsidRDefault="009C39FB">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423F0" w14:textId="77777777" w:rsidR="009C39FB" w:rsidRPr="00F4401E" w:rsidRDefault="009C39FB" w:rsidP="00F4401E">
    <w:pPr>
      <w:pStyle w:val="Header"/>
      <w:rPr>
        <w:rStyle w:val="PageNumber"/>
        <w:rFonts w:ascii="Times New Roman" w:hAnsi="Times New Roman" w:cs="Times New Roman"/>
        <w:sz w:val="20"/>
        <w:szCs w:val="20"/>
      </w:rPr>
    </w:pPr>
    <w:bookmarkStart w:id="237" w:name="_Hlk496261784"/>
    <w:bookmarkStart w:id="238" w:name="_Hlk496261785"/>
    <w:bookmarkStart w:id="239" w:name="_Hlk496261786"/>
    <w:bookmarkStart w:id="240" w:name="_Hlk502757728"/>
    <w:bookmarkStart w:id="241" w:name="_Hlk502757729"/>
    <w:bookmarkStart w:id="242" w:name="_Hlk502757738"/>
    <w:bookmarkStart w:id="243" w:name="_Hlk502757739"/>
    <w:bookmarkStart w:id="244" w:name="_Hlk30491084"/>
    <w:bookmarkStart w:id="245" w:name="_Hlk30491085"/>
  </w:p>
  <w:p w14:paraId="1D43AF4B" w14:textId="0E4382F1" w:rsidR="009C39FB" w:rsidRPr="00F4401E" w:rsidRDefault="009C39FB" w:rsidP="00F4401E">
    <w:pPr>
      <w:pStyle w:val="Header"/>
      <w:tabs>
        <w:tab w:val="clear" w:pos="4513"/>
        <w:tab w:val="clear" w:pos="9026"/>
        <w:tab w:val="right" w:leader="underscore" w:pos="9072"/>
      </w:tabs>
      <w:rPr>
        <w:rStyle w:val="PageNumber"/>
        <w:rFonts w:ascii="Times New Roman" w:hAnsi="Times New Roman" w:cs="Times New Roman"/>
        <w:sz w:val="20"/>
        <w:szCs w:val="20"/>
      </w:rPr>
    </w:pPr>
    <w:r w:rsidRPr="00F4401E">
      <w:rPr>
        <w:rStyle w:val="PageNumber"/>
        <w:rFonts w:ascii="Times New Roman" w:hAnsi="Times New Roman" w:cs="Times New Roman"/>
        <w:sz w:val="20"/>
        <w:szCs w:val="20"/>
      </w:rPr>
      <w:tab/>
    </w:r>
  </w:p>
  <w:bookmarkEnd w:id="237"/>
  <w:bookmarkEnd w:id="238"/>
  <w:bookmarkEnd w:id="239"/>
  <w:bookmarkEnd w:id="240"/>
  <w:bookmarkEnd w:id="241"/>
  <w:bookmarkEnd w:id="242"/>
  <w:bookmarkEnd w:id="243"/>
  <w:bookmarkEnd w:id="244"/>
  <w:bookmarkEnd w:id="245"/>
  <w:p w14:paraId="48A88286" w14:textId="77777777" w:rsidR="009C39FB" w:rsidRPr="00F4401E" w:rsidRDefault="009C39FB" w:rsidP="00F4401E">
    <w:pPr>
      <w:pStyle w:val="Head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B8413" w14:textId="77777777" w:rsidR="009C39FB" w:rsidRPr="00F4401E" w:rsidRDefault="009C39FB" w:rsidP="00F4401E">
    <w:pPr>
      <w:pBdr>
        <w:bottom w:val="single" w:sz="12" w:space="5" w:color="auto"/>
      </w:pBdr>
      <w:rPr>
        <w:rFonts w:ascii="Times New Roman" w:hAnsi="Times New Roman" w:cs="Times New Roman"/>
        <w:spacing w:val="-2"/>
        <w:sz w:val="20"/>
        <w:szCs w:val="20"/>
      </w:rPr>
    </w:pPr>
    <w:bookmarkStart w:id="246" w:name="_Hlk496261745"/>
    <w:bookmarkStart w:id="247" w:name="_Hlk496261746"/>
    <w:bookmarkStart w:id="248" w:name="_Hlk496261747"/>
    <w:bookmarkStart w:id="249" w:name="_Hlk30491063"/>
    <w:bookmarkStart w:id="250" w:name="_Hlk30491064"/>
  </w:p>
  <w:bookmarkEnd w:id="246"/>
  <w:bookmarkEnd w:id="247"/>
  <w:bookmarkEnd w:id="248"/>
  <w:bookmarkEnd w:id="249"/>
  <w:bookmarkEnd w:id="250"/>
  <w:p w14:paraId="0E66C218" w14:textId="77777777" w:rsidR="009C39FB" w:rsidRPr="00F4401E" w:rsidRDefault="009C39FB" w:rsidP="00F4401E">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C75AC"/>
    <w:multiLevelType w:val="multilevel"/>
    <w:tmpl w:val="AB960C1E"/>
    <w:lvl w:ilvl="0">
      <w:start w:val="1"/>
      <w:numFmt w:val="decimal"/>
      <w:lvlText w:val="%1."/>
      <w:lvlJc w:val="left"/>
      <w:pPr>
        <w:ind w:left="557" w:hanging="245"/>
        <w:jc w:val="right"/>
      </w:pPr>
      <w:rPr>
        <w:rFonts w:ascii="Arial" w:eastAsia="Arial" w:hAnsi="Arial" w:hint="default"/>
        <w:b/>
        <w:bCs/>
        <w:spacing w:val="-1"/>
        <w:sz w:val="22"/>
        <w:szCs w:val="22"/>
      </w:rPr>
    </w:lvl>
    <w:lvl w:ilvl="1">
      <w:start w:val="1"/>
      <w:numFmt w:val="decimal"/>
      <w:lvlText w:val="%1.%2."/>
      <w:lvlJc w:val="left"/>
      <w:pPr>
        <w:ind w:left="742" w:hanging="430"/>
      </w:pPr>
      <w:rPr>
        <w:rFonts w:ascii="Arial" w:eastAsia="Arial" w:hAnsi="Arial" w:hint="default"/>
        <w:b/>
        <w:bCs/>
        <w:i/>
        <w:spacing w:val="-1"/>
        <w:sz w:val="22"/>
        <w:szCs w:val="22"/>
      </w:rPr>
    </w:lvl>
    <w:lvl w:ilvl="2">
      <w:start w:val="1"/>
      <w:numFmt w:val="bullet"/>
      <w:lvlText w:val=""/>
      <w:lvlJc w:val="left"/>
      <w:pPr>
        <w:ind w:left="1162" w:hanging="408"/>
      </w:pPr>
      <w:rPr>
        <w:rFonts w:ascii="Symbol" w:eastAsia="Symbol" w:hAnsi="Symbol" w:hint="default"/>
        <w:sz w:val="22"/>
        <w:szCs w:val="22"/>
      </w:rPr>
    </w:lvl>
    <w:lvl w:ilvl="3">
      <w:start w:val="1"/>
      <w:numFmt w:val="bullet"/>
      <w:lvlText w:val="•"/>
      <w:lvlJc w:val="left"/>
      <w:pPr>
        <w:ind w:left="1002" w:hanging="408"/>
      </w:pPr>
      <w:rPr>
        <w:rFonts w:hint="default"/>
      </w:rPr>
    </w:lvl>
    <w:lvl w:ilvl="4">
      <w:start w:val="1"/>
      <w:numFmt w:val="bullet"/>
      <w:lvlText w:val="•"/>
      <w:lvlJc w:val="left"/>
      <w:pPr>
        <w:ind w:left="1162" w:hanging="408"/>
      </w:pPr>
      <w:rPr>
        <w:rFonts w:hint="default"/>
      </w:rPr>
    </w:lvl>
    <w:lvl w:ilvl="5">
      <w:start w:val="1"/>
      <w:numFmt w:val="bullet"/>
      <w:lvlText w:val="•"/>
      <w:lvlJc w:val="left"/>
      <w:pPr>
        <w:ind w:left="2200" w:hanging="408"/>
      </w:pPr>
      <w:rPr>
        <w:rFonts w:hint="default"/>
      </w:rPr>
    </w:lvl>
    <w:lvl w:ilvl="6">
      <w:start w:val="1"/>
      <w:numFmt w:val="bullet"/>
      <w:lvlText w:val="•"/>
      <w:lvlJc w:val="left"/>
      <w:pPr>
        <w:ind w:left="3239" w:hanging="408"/>
      </w:pPr>
      <w:rPr>
        <w:rFonts w:hint="default"/>
      </w:rPr>
    </w:lvl>
    <w:lvl w:ilvl="7">
      <w:start w:val="1"/>
      <w:numFmt w:val="bullet"/>
      <w:lvlText w:val="•"/>
      <w:lvlJc w:val="left"/>
      <w:pPr>
        <w:ind w:left="4277" w:hanging="408"/>
      </w:pPr>
      <w:rPr>
        <w:rFonts w:hint="default"/>
      </w:rPr>
    </w:lvl>
    <w:lvl w:ilvl="8">
      <w:start w:val="1"/>
      <w:numFmt w:val="bullet"/>
      <w:lvlText w:val="•"/>
      <w:lvlJc w:val="left"/>
      <w:pPr>
        <w:ind w:left="5315" w:hanging="408"/>
      </w:pPr>
      <w:rPr>
        <w:rFonts w:hint="default"/>
      </w:rPr>
    </w:lvl>
  </w:abstractNum>
  <w:abstractNum w:abstractNumId="1" w15:restartNumberingAfterBreak="0">
    <w:nsid w:val="0B003507"/>
    <w:multiLevelType w:val="hybridMultilevel"/>
    <w:tmpl w:val="F2289D04"/>
    <w:lvl w:ilvl="0" w:tplc="3432B510">
      <w:start w:val="1"/>
      <w:numFmt w:val="bullet"/>
      <w:lvlText w:val=""/>
      <w:lvlJc w:val="left"/>
      <w:pPr>
        <w:ind w:left="1002" w:hanging="408"/>
      </w:pPr>
      <w:rPr>
        <w:rFonts w:ascii="Symbol" w:eastAsia="Symbol" w:hAnsi="Symbol" w:hint="default"/>
        <w:sz w:val="22"/>
        <w:szCs w:val="22"/>
      </w:rPr>
    </w:lvl>
    <w:lvl w:ilvl="1" w:tplc="9984C186">
      <w:start w:val="1"/>
      <w:numFmt w:val="bullet"/>
      <w:lvlText w:val="•"/>
      <w:lvlJc w:val="left"/>
      <w:pPr>
        <w:ind w:left="1641" w:hanging="408"/>
      </w:pPr>
      <w:rPr>
        <w:rFonts w:hint="default"/>
      </w:rPr>
    </w:lvl>
    <w:lvl w:ilvl="2" w:tplc="DC867B2C">
      <w:start w:val="1"/>
      <w:numFmt w:val="bullet"/>
      <w:lvlText w:val="•"/>
      <w:lvlJc w:val="left"/>
      <w:pPr>
        <w:ind w:left="2280" w:hanging="408"/>
      </w:pPr>
      <w:rPr>
        <w:rFonts w:hint="default"/>
      </w:rPr>
    </w:lvl>
    <w:lvl w:ilvl="3" w:tplc="B8A4DDE8">
      <w:start w:val="1"/>
      <w:numFmt w:val="bullet"/>
      <w:lvlText w:val="•"/>
      <w:lvlJc w:val="left"/>
      <w:pPr>
        <w:ind w:left="2919" w:hanging="408"/>
      </w:pPr>
      <w:rPr>
        <w:rFonts w:hint="default"/>
      </w:rPr>
    </w:lvl>
    <w:lvl w:ilvl="4" w:tplc="8FC4C756">
      <w:start w:val="1"/>
      <w:numFmt w:val="bullet"/>
      <w:lvlText w:val="•"/>
      <w:lvlJc w:val="left"/>
      <w:pPr>
        <w:ind w:left="3558" w:hanging="408"/>
      </w:pPr>
      <w:rPr>
        <w:rFonts w:hint="default"/>
      </w:rPr>
    </w:lvl>
    <w:lvl w:ilvl="5" w:tplc="A88A38D6">
      <w:start w:val="1"/>
      <w:numFmt w:val="bullet"/>
      <w:lvlText w:val="•"/>
      <w:lvlJc w:val="left"/>
      <w:pPr>
        <w:ind w:left="4197" w:hanging="408"/>
      </w:pPr>
      <w:rPr>
        <w:rFonts w:hint="default"/>
      </w:rPr>
    </w:lvl>
    <w:lvl w:ilvl="6" w:tplc="CA26ABE0">
      <w:start w:val="1"/>
      <w:numFmt w:val="bullet"/>
      <w:lvlText w:val="•"/>
      <w:lvlJc w:val="left"/>
      <w:pPr>
        <w:ind w:left="4836" w:hanging="408"/>
      </w:pPr>
      <w:rPr>
        <w:rFonts w:hint="default"/>
      </w:rPr>
    </w:lvl>
    <w:lvl w:ilvl="7" w:tplc="217E65BA">
      <w:start w:val="1"/>
      <w:numFmt w:val="bullet"/>
      <w:lvlText w:val="•"/>
      <w:lvlJc w:val="left"/>
      <w:pPr>
        <w:ind w:left="5475" w:hanging="408"/>
      </w:pPr>
      <w:rPr>
        <w:rFonts w:hint="default"/>
      </w:rPr>
    </w:lvl>
    <w:lvl w:ilvl="8" w:tplc="136A5100">
      <w:start w:val="1"/>
      <w:numFmt w:val="bullet"/>
      <w:lvlText w:val="•"/>
      <w:lvlJc w:val="left"/>
      <w:pPr>
        <w:ind w:left="6113" w:hanging="408"/>
      </w:pPr>
      <w:rPr>
        <w:rFonts w:hint="default"/>
      </w:rPr>
    </w:lvl>
  </w:abstractNum>
  <w:abstractNum w:abstractNumId="2" w15:restartNumberingAfterBreak="0">
    <w:nsid w:val="10275A6D"/>
    <w:multiLevelType w:val="hybridMultilevel"/>
    <w:tmpl w:val="9D0C7E94"/>
    <w:lvl w:ilvl="0" w:tplc="8B34B07E">
      <w:start w:val="1"/>
      <w:numFmt w:val="decimal"/>
      <w:lvlText w:val="%1."/>
      <w:lvlJc w:val="left"/>
      <w:pPr>
        <w:ind w:left="1162" w:hanging="409"/>
      </w:pPr>
      <w:rPr>
        <w:rFonts w:ascii="Arial" w:eastAsia="Arial" w:hAnsi="Arial" w:hint="default"/>
        <w:sz w:val="21"/>
        <w:szCs w:val="21"/>
      </w:rPr>
    </w:lvl>
    <w:lvl w:ilvl="1" w:tplc="3F32DB7E">
      <w:start w:val="1"/>
      <w:numFmt w:val="bullet"/>
      <w:lvlText w:val="•"/>
      <w:lvlJc w:val="left"/>
      <w:pPr>
        <w:ind w:left="1817" w:hanging="409"/>
      </w:pPr>
      <w:rPr>
        <w:rFonts w:hint="default"/>
      </w:rPr>
    </w:lvl>
    <w:lvl w:ilvl="2" w:tplc="1498569C">
      <w:start w:val="1"/>
      <w:numFmt w:val="bullet"/>
      <w:lvlText w:val="•"/>
      <w:lvlJc w:val="left"/>
      <w:pPr>
        <w:ind w:left="2472" w:hanging="409"/>
      </w:pPr>
      <w:rPr>
        <w:rFonts w:hint="default"/>
      </w:rPr>
    </w:lvl>
    <w:lvl w:ilvl="3" w:tplc="2B84B5EE">
      <w:start w:val="1"/>
      <w:numFmt w:val="bullet"/>
      <w:lvlText w:val="•"/>
      <w:lvlJc w:val="left"/>
      <w:pPr>
        <w:ind w:left="3127" w:hanging="409"/>
      </w:pPr>
      <w:rPr>
        <w:rFonts w:hint="default"/>
      </w:rPr>
    </w:lvl>
    <w:lvl w:ilvl="4" w:tplc="EA9CF108">
      <w:start w:val="1"/>
      <w:numFmt w:val="bullet"/>
      <w:lvlText w:val="•"/>
      <w:lvlJc w:val="left"/>
      <w:pPr>
        <w:ind w:left="3782" w:hanging="409"/>
      </w:pPr>
      <w:rPr>
        <w:rFonts w:hint="default"/>
      </w:rPr>
    </w:lvl>
    <w:lvl w:ilvl="5" w:tplc="3E98C938">
      <w:start w:val="1"/>
      <w:numFmt w:val="bullet"/>
      <w:lvlText w:val="•"/>
      <w:lvlJc w:val="left"/>
      <w:pPr>
        <w:ind w:left="4437" w:hanging="409"/>
      </w:pPr>
      <w:rPr>
        <w:rFonts w:hint="default"/>
      </w:rPr>
    </w:lvl>
    <w:lvl w:ilvl="6" w:tplc="DE36515E">
      <w:start w:val="1"/>
      <w:numFmt w:val="bullet"/>
      <w:lvlText w:val="•"/>
      <w:lvlJc w:val="left"/>
      <w:pPr>
        <w:ind w:left="5092" w:hanging="409"/>
      </w:pPr>
      <w:rPr>
        <w:rFonts w:hint="default"/>
      </w:rPr>
    </w:lvl>
    <w:lvl w:ilvl="7" w:tplc="04CC6EAC">
      <w:start w:val="1"/>
      <w:numFmt w:val="bullet"/>
      <w:lvlText w:val="•"/>
      <w:lvlJc w:val="left"/>
      <w:pPr>
        <w:ind w:left="5747" w:hanging="409"/>
      </w:pPr>
      <w:rPr>
        <w:rFonts w:hint="default"/>
      </w:rPr>
    </w:lvl>
    <w:lvl w:ilvl="8" w:tplc="34061838">
      <w:start w:val="1"/>
      <w:numFmt w:val="bullet"/>
      <w:lvlText w:val="•"/>
      <w:lvlJc w:val="left"/>
      <w:pPr>
        <w:ind w:left="6401" w:hanging="409"/>
      </w:pPr>
      <w:rPr>
        <w:rFonts w:hint="default"/>
      </w:rPr>
    </w:lvl>
  </w:abstractNum>
  <w:abstractNum w:abstractNumId="3" w15:restartNumberingAfterBreak="0">
    <w:nsid w:val="10E43E76"/>
    <w:multiLevelType w:val="hybridMultilevel"/>
    <w:tmpl w:val="C7F82C6C"/>
    <w:lvl w:ilvl="0" w:tplc="9C3E642E">
      <w:start w:val="1"/>
      <w:numFmt w:val="upperLetter"/>
      <w:lvlText w:val="%1."/>
      <w:lvlJc w:val="left"/>
      <w:pPr>
        <w:ind w:left="447" w:hanging="224"/>
      </w:pPr>
      <w:rPr>
        <w:rFonts w:ascii="Arial" w:eastAsia="Arial" w:hAnsi="Arial" w:hint="default"/>
        <w:b/>
        <w:bCs/>
        <w:spacing w:val="-1"/>
        <w:w w:val="96"/>
        <w:sz w:val="18"/>
        <w:szCs w:val="18"/>
      </w:rPr>
    </w:lvl>
    <w:lvl w:ilvl="1" w:tplc="9D7C180E">
      <w:start w:val="1"/>
      <w:numFmt w:val="bullet"/>
      <w:lvlText w:val=""/>
      <w:lvlJc w:val="left"/>
      <w:pPr>
        <w:ind w:left="740" w:hanging="284"/>
      </w:pPr>
      <w:rPr>
        <w:rFonts w:ascii="Symbol" w:eastAsia="Symbol" w:hAnsi="Symbol" w:hint="default"/>
        <w:sz w:val="18"/>
        <w:szCs w:val="18"/>
      </w:rPr>
    </w:lvl>
    <w:lvl w:ilvl="2" w:tplc="53126A20">
      <w:start w:val="1"/>
      <w:numFmt w:val="bullet"/>
      <w:lvlText w:val="•"/>
      <w:lvlJc w:val="left"/>
      <w:pPr>
        <w:ind w:left="1514" w:hanging="284"/>
      </w:pPr>
      <w:rPr>
        <w:rFonts w:hint="default"/>
      </w:rPr>
    </w:lvl>
    <w:lvl w:ilvl="3" w:tplc="BC187A1A">
      <w:start w:val="1"/>
      <w:numFmt w:val="bullet"/>
      <w:lvlText w:val="•"/>
      <w:lvlJc w:val="left"/>
      <w:pPr>
        <w:ind w:left="2289" w:hanging="284"/>
      </w:pPr>
      <w:rPr>
        <w:rFonts w:hint="default"/>
      </w:rPr>
    </w:lvl>
    <w:lvl w:ilvl="4" w:tplc="B39A97DA">
      <w:start w:val="1"/>
      <w:numFmt w:val="bullet"/>
      <w:lvlText w:val="•"/>
      <w:lvlJc w:val="left"/>
      <w:pPr>
        <w:ind w:left="3064" w:hanging="284"/>
      </w:pPr>
      <w:rPr>
        <w:rFonts w:hint="default"/>
      </w:rPr>
    </w:lvl>
    <w:lvl w:ilvl="5" w:tplc="1DBACCBC">
      <w:start w:val="1"/>
      <w:numFmt w:val="bullet"/>
      <w:lvlText w:val="•"/>
      <w:lvlJc w:val="left"/>
      <w:pPr>
        <w:ind w:left="3838" w:hanging="284"/>
      </w:pPr>
      <w:rPr>
        <w:rFonts w:hint="default"/>
      </w:rPr>
    </w:lvl>
    <w:lvl w:ilvl="6" w:tplc="FFF644C2">
      <w:start w:val="1"/>
      <w:numFmt w:val="bullet"/>
      <w:lvlText w:val="•"/>
      <w:lvlJc w:val="left"/>
      <w:pPr>
        <w:ind w:left="4613" w:hanging="284"/>
      </w:pPr>
      <w:rPr>
        <w:rFonts w:hint="default"/>
      </w:rPr>
    </w:lvl>
    <w:lvl w:ilvl="7" w:tplc="5CE67AF4">
      <w:start w:val="1"/>
      <w:numFmt w:val="bullet"/>
      <w:lvlText w:val="•"/>
      <w:lvlJc w:val="left"/>
      <w:pPr>
        <w:ind w:left="5387" w:hanging="284"/>
      </w:pPr>
      <w:rPr>
        <w:rFonts w:hint="default"/>
      </w:rPr>
    </w:lvl>
    <w:lvl w:ilvl="8" w:tplc="6F42CCA8">
      <w:start w:val="1"/>
      <w:numFmt w:val="bullet"/>
      <w:lvlText w:val="•"/>
      <w:lvlJc w:val="left"/>
      <w:pPr>
        <w:ind w:left="6162" w:hanging="284"/>
      </w:pPr>
      <w:rPr>
        <w:rFonts w:hint="default"/>
      </w:rPr>
    </w:lvl>
  </w:abstractNum>
  <w:abstractNum w:abstractNumId="4" w15:restartNumberingAfterBreak="0">
    <w:nsid w:val="12EA46D1"/>
    <w:multiLevelType w:val="hybridMultilevel"/>
    <w:tmpl w:val="09B8278A"/>
    <w:lvl w:ilvl="0" w:tplc="1BEA56B2">
      <w:start w:val="1"/>
      <w:numFmt w:val="bullet"/>
      <w:lvlText w:val=""/>
      <w:lvlJc w:val="left"/>
      <w:pPr>
        <w:ind w:left="922" w:hanging="360"/>
      </w:pPr>
      <w:rPr>
        <w:rFonts w:ascii="Symbol" w:eastAsia="Symbol" w:hAnsi="Symbol" w:hint="default"/>
        <w:sz w:val="18"/>
        <w:szCs w:val="18"/>
      </w:rPr>
    </w:lvl>
    <w:lvl w:ilvl="1" w:tplc="63787058">
      <w:start w:val="1"/>
      <w:numFmt w:val="bullet"/>
      <w:lvlText w:val="•"/>
      <w:lvlJc w:val="left"/>
      <w:pPr>
        <w:ind w:left="1225" w:hanging="360"/>
      </w:pPr>
      <w:rPr>
        <w:rFonts w:hint="default"/>
      </w:rPr>
    </w:lvl>
    <w:lvl w:ilvl="2" w:tplc="725CA78E">
      <w:start w:val="1"/>
      <w:numFmt w:val="bullet"/>
      <w:lvlText w:val="•"/>
      <w:lvlJc w:val="left"/>
      <w:pPr>
        <w:ind w:left="1527" w:hanging="360"/>
      </w:pPr>
      <w:rPr>
        <w:rFonts w:hint="default"/>
      </w:rPr>
    </w:lvl>
    <w:lvl w:ilvl="3" w:tplc="9E6C0000">
      <w:start w:val="1"/>
      <w:numFmt w:val="bullet"/>
      <w:lvlText w:val="•"/>
      <w:lvlJc w:val="left"/>
      <w:pPr>
        <w:ind w:left="1830" w:hanging="360"/>
      </w:pPr>
      <w:rPr>
        <w:rFonts w:hint="default"/>
      </w:rPr>
    </w:lvl>
    <w:lvl w:ilvl="4" w:tplc="7D581802">
      <w:start w:val="1"/>
      <w:numFmt w:val="bullet"/>
      <w:lvlText w:val="•"/>
      <w:lvlJc w:val="left"/>
      <w:pPr>
        <w:ind w:left="2133" w:hanging="360"/>
      </w:pPr>
      <w:rPr>
        <w:rFonts w:hint="default"/>
      </w:rPr>
    </w:lvl>
    <w:lvl w:ilvl="5" w:tplc="6A723368">
      <w:start w:val="1"/>
      <w:numFmt w:val="bullet"/>
      <w:lvlText w:val="•"/>
      <w:lvlJc w:val="left"/>
      <w:pPr>
        <w:ind w:left="2435" w:hanging="360"/>
      </w:pPr>
      <w:rPr>
        <w:rFonts w:hint="default"/>
      </w:rPr>
    </w:lvl>
    <w:lvl w:ilvl="6" w:tplc="A98291B2">
      <w:start w:val="1"/>
      <w:numFmt w:val="bullet"/>
      <w:lvlText w:val="•"/>
      <w:lvlJc w:val="left"/>
      <w:pPr>
        <w:ind w:left="2738" w:hanging="360"/>
      </w:pPr>
      <w:rPr>
        <w:rFonts w:hint="default"/>
      </w:rPr>
    </w:lvl>
    <w:lvl w:ilvl="7" w:tplc="02F4C9F8">
      <w:start w:val="1"/>
      <w:numFmt w:val="bullet"/>
      <w:lvlText w:val="•"/>
      <w:lvlJc w:val="left"/>
      <w:pPr>
        <w:ind w:left="3040" w:hanging="360"/>
      </w:pPr>
      <w:rPr>
        <w:rFonts w:hint="default"/>
      </w:rPr>
    </w:lvl>
    <w:lvl w:ilvl="8" w:tplc="BCB2697A">
      <w:start w:val="1"/>
      <w:numFmt w:val="bullet"/>
      <w:lvlText w:val="•"/>
      <w:lvlJc w:val="left"/>
      <w:pPr>
        <w:ind w:left="3343" w:hanging="360"/>
      </w:pPr>
      <w:rPr>
        <w:rFonts w:hint="default"/>
      </w:rPr>
    </w:lvl>
  </w:abstractNum>
  <w:abstractNum w:abstractNumId="5" w15:restartNumberingAfterBreak="0">
    <w:nsid w:val="1497199E"/>
    <w:multiLevelType w:val="hybridMultilevel"/>
    <w:tmpl w:val="0E4E1816"/>
    <w:lvl w:ilvl="0" w:tplc="6196517A">
      <w:start w:val="1"/>
      <w:numFmt w:val="bullet"/>
      <w:lvlText w:val=""/>
      <w:lvlJc w:val="left"/>
      <w:pPr>
        <w:ind w:left="543" w:hanging="284"/>
      </w:pPr>
      <w:rPr>
        <w:rFonts w:ascii="Symbol" w:eastAsia="Symbol" w:hAnsi="Symbol" w:hint="default"/>
        <w:sz w:val="18"/>
        <w:szCs w:val="18"/>
      </w:rPr>
    </w:lvl>
    <w:lvl w:ilvl="1" w:tplc="0EAE8CEC">
      <w:start w:val="1"/>
      <w:numFmt w:val="bullet"/>
      <w:lvlText w:val="•"/>
      <w:lvlJc w:val="left"/>
      <w:pPr>
        <w:ind w:left="799" w:hanging="284"/>
      </w:pPr>
      <w:rPr>
        <w:rFonts w:hint="default"/>
      </w:rPr>
    </w:lvl>
    <w:lvl w:ilvl="2" w:tplc="B66839A4">
      <w:start w:val="1"/>
      <w:numFmt w:val="bullet"/>
      <w:lvlText w:val="•"/>
      <w:lvlJc w:val="left"/>
      <w:pPr>
        <w:ind w:left="1055" w:hanging="284"/>
      </w:pPr>
      <w:rPr>
        <w:rFonts w:hint="default"/>
      </w:rPr>
    </w:lvl>
    <w:lvl w:ilvl="3" w:tplc="9D9621A6">
      <w:start w:val="1"/>
      <w:numFmt w:val="bullet"/>
      <w:lvlText w:val="•"/>
      <w:lvlJc w:val="left"/>
      <w:pPr>
        <w:ind w:left="1311" w:hanging="284"/>
      </w:pPr>
      <w:rPr>
        <w:rFonts w:hint="default"/>
      </w:rPr>
    </w:lvl>
    <w:lvl w:ilvl="4" w:tplc="389411CA">
      <w:start w:val="1"/>
      <w:numFmt w:val="bullet"/>
      <w:lvlText w:val="•"/>
      <w:lvlJc w:val="left"/>
      <w:pPr>
        <w:ind w:left="1567" w:hanging="284"/>
      </w:pPr>
      <w:rPr>
        <w:rFonts w:hint="default"/>
      </w:rPr>
    </w:lvl>
    <w:lvl w:ilvl="5" w:tplc="C6BA5510">
      <w:start w:val="1"/>
      <w:numFmt w:val="bullet"/>
      <w:lvlText w:val="•"/>
      <w:lvlJc w:val="left"/>
      <w:pPr>
        <w:ind w:left="1822" w:hanging="284"/>
      </w:pPr>
      <w:rPr>
        <w:rFonts w:hint="default"/>
      </w:rPr>
    </w:lvl>
    <w:lvl w:ilvl="6" w:tplc="D946FAE6">
      <w:start w:val="1"/>
      <w:numFmt w:val="bullet"/>
      <w:lvlText w:val="•"/>
      <w:lvlJc w:val="left"/>
      <w:pPr>
        <w:ind w:left="2078" w:hanging="284"/>
      </w:pPr>
      <w:rPr>
        <w:rFonts w:hint="default"/>
      </w:rPr>
    </w:lvl>
    <w:lvl w:ilvl="7" w:tplc="0B8A1C7C">
      <w:start w:val="1"/>
      <w:numFmt w:val="bullet"/>
      <w:lvlText w:val="•"/>
      <w:lvlJc w:val="left"/>
      <w:pPr>
        <w:ind w:left="2334" w:hanging="284"/>
      </w:pPr>
      <w:rPr>
        <w:rFonts w:hint="default"/>
      </w:rPr>
    </w:lvl>
    <w:lvl w:ilvl="8" w:tplc="143C93E2">
      <w:start w:val="1"/>
      <w:numFmt w:val="bullet"/>
      <w:lvlText w:val="•"/>
      <w:lvlJc w:val="left"/>
      <w:pPr>
        <w:ind w:left="2590" w:hanging="284"/>
      </w:pPr>
      <w:rPr>
        <w:rFonts w:hint="default"/>
      </w:rPr>
    </w:lvl>
  </w:abstractNum>
  <w:abstractNum w:abstractNumId="6" w15:restartNumberingAfterBreak="0">
    <w:nsid w:val="1F071A07"/>
    <w:multiLevelType w:val="multilevel"/>
    <w:tmpl w:val="3ADA10E2"/>
    <w:lvl w:ilvl="0">
      <w:start w:val="1"/>
      <w:numFmt w:val="decimal"/>
      <w:lvlText w:val="%1."/>
      <w:lvlJc w:val="left"/>
      <w:pPr>
        <w:ind w:left="370" w:hanging="248"/>
      </w:pPr>
      <w:rPr>
        <w:rFonts w:ascii="Arial" w:eastAsia="Arial" w:hAnsi="Arial" w:hint="default"/>
        <w:b/>
        <w:bCs/>
        <w:spacing w:val="-1"/>
        <w:sz w:val="22"/>
        <w:szCs w:val="22"/>
      </w:rPr>
    </w:lvl>
    <w:lvl w:ilvl="1">
      <w:start w:val="1"/>
      <w:numFmt w:val="decimal"/>
      <w:lvlText w:val="%1.%2."/>
      <w:lvlJc w:val="left"/>
      <w:pPr>
        <w:ind w:left="553" w:hanging="430"/>
      </w:pPr>
      <w:rPr>
        <w:rFonts w:ascii="Arial" w:eastAsia="Arial" w:hAnsi="Arial" w:hint="default"/>
        <w:b/>
        <w:bCs/>
        <w:i/>
        <w:spacing w:val="-1"/>
        <w:sz w:val="22"/>
        <w:szCs w:val="22"/>
      </w:rPr>
    </w:lvl>
    <w:lvl w:ilvl="2">
      <w:start w:val="1"/>
      <w:numFmt w:val="bullet"/>
      <w:lvlText w:val="•"/>
      <w:lvlJc w:val="left"/>
      <w:pPr>
        <w:ind w:left="1406" w:hanging="430"/>
      </w:pPr>
      <w:rPr>
        <w:rFonts w:hint="default"/>
      </w:rPr>
    </w:lvl>
    <w:lvl w:ilvl="3">
      <w:start w:val="1"/>
      <w:numFmt w:val="bullet"/>
      <w:lvlText w:val="•"/>
      <w:lvlJc w:val="left"/>
      <w:pPr>
        <w:ind w:left="2259" w:hanging="430"/>
      </w:pPr>
      <w:rPr>
        <w:rFonts w:hint="default"/>
      </w:rPr>
    </w:lvl>
    <w:lvl w:ilvl="4">
      <w:start w:val="1"/>
      <w:numFmt w:val="bullet"/>
      <w:lvlText w:val="•"/>
      <w:lvlJc w:val="left"/>
      <w:pPr>
        <w:ind w:left="3112" w:hanging="430"/>
      </w:pPr>
      <w:rPr>
        <w:rFonts w:hint="default"/>
      </w:rPr>
    </w:lvl>
    <w:lvl w:ilvl="5">
      <w:start w:val="1"/>
      <w:numFmt w:val="bullet"/>
      <w:lvlText w:val="•"/>
      <w:lvlJc w:val="left"/>
      <w:pPr>
        <w:ind w:left="3965" w:hanging="430"/>
      </w:pPr>
      <w:rPr>
        <w:rFonts w:hint="default"/>
      </w:rPr>
    </w:lvl>
    <w:lvl w:ilvl="6">
      <w:start w:val="1"/>
      <w:numFmt w:val="bullet"/>
      <w:lvlText w:val="•"/>
      <w:lvlJc w:val="left"/>
      <w:pPr>
        <w:ind w:left="4819" w:hanging="430"/>
      </w:pPr>
      <w:rPr>
        <w:rFonts w:hint="default"/>
      </w:rPr>
    </w:lvl>
    <w:lvl w:ilvl="7">
      <w:start w:val="1"/>
      <w:numFmt w:val="bullet"/>
      <w:lvlText w:val="•"/>
      <w:lvlJc w:val="left"/>
      <w:pPr>
        <w:ind w:left="5672" w:hanging="430"/>
      </w:pPr>
      <w:rPr>
        <w:rFonts w:hint="default"/>
      </w:rPr>
    </w:lvl>
    <w:lvl w:ilvl="8">
      <w:start w:val="1"/>
      <w:numFmt w:val="bullet"/>
      <w:lvlText w:val="•"/>
      <w:lvlJc w:val="left"/>
      <w:pPr>
        <w:ind w:left="6525" w:hanging="430"/>
      </w:pPr>
      <w:rPr>
        <w:rFonts w:hint="default"/>
      </w:rPr>
    </w:lvl>
  </w:abstractNum>
  <w:abstractNum w:abstractNumId="7" w15:restartNumberingAfterBreak="0">
    <w:nsid w:val="1F6346AA"/>
    <w:multiLevelType w:val="hybridMultilevel"/>
    <w:tmpl w:val="601A4C26"/>
    <w:lvl w:ilvl="0" w:tplc="C2F49EC8">
      <w:start w:val="1"/>
      <w:numFmt w:val="decimal"/>
      <w:lvlText w:val="%1."/>
      <w:lvlJc w:val="left"/>
      <w:pPr>
        <w:ind w:left="300" w:hanging="269"/>
      </w:pPr>
      <w:rPr>
        <w:rFonts w:ascii="Arial" w:eastAsia="Arial" w:hAnsi="Arial" w:hint="default"/>
        <w:sz w:val="24"/>
        <w:szCs w:val="24"/>
      </w:rPr>
    </w:lvl>
    <w:lvl w:ilvl="1" w:tplc="DECCBC32">
      <w:start w:val="1"/>
      <w:numFmt w:val="bullet"/>
      <w:lvlText w:val="•"/>
      <w:lvlJc w:val="left"/>
      <w:pPr>
        <w:ind w:left="1091" w:hanging="269"/>
      </w:pPr>
      <w:rPr>
        <w:rFonts w:hint="default"/>
      </w:rPr>
    </w:lvl>
    <w:lvl w:ilvl="2" w:tplc="7B1411AA">
      <w:start w:val="1"/>
      <w:numFmt w:val="bullet"/>
      <w:lvlText w:val="•"/>
      <w:lvlJc w:val="left"/>
      <w:pPr>
        <w:ind w:left="1882" w:hanging="269"/>
      </w:pPr>
      <w:rPr>
        <w:rFonts w:hint="default"/>
      </w:rPr>
    </w:lvl>
    <w:lvl w:ilvl="3" w:tplc="FF2E3C00">
      <w:start w:val="1"/>
      <w:numFmt w:val="bullet"/>
      <w:lvlText w:val="•"/>
      <w:lvlJc w:val="left"/>
      <w:pPr>
        <w:ind w:left="2673" w:hanging="269"/>
      </w:pPr>
      <w:rPr>
        <w:rFonts w:hint="default"/>
      </w:rPr>
    </w:lvl>
    <w:lvl w:ilvl="4" w:tplc="39DADFBC">
      <w:start w:val="1"/>
      <w:numFmt w:val="bullet"/>
      <w:lvlText w:val="•"/>
      <w:lvlJc w:val="left"/>
      <w:pPr>
        <w:ind w:left="3464" w:hanging="269"/>
      </w:pPr>
      <w:rPr>
        <w:rFonts w:hint="default"/>
      </w:rPr>
    </w:lvl>
    <w:lvl w:ilvl="5" w:tplc="C5EA5B58">
      <w:start w:val="1"/>
      <w:numFmt w:val="bullet"/>
      <w:lvlText w:val="•"/>
      <w:lvlJc w:val="left"/>
      <w:pPr>
        <w:ind w:left="4256" w:hanging="269"/>
      </w:pPr>
      <w:rPr>
        <w:rFonts w:hint="default"/>
      </w:rPr>
    </w:lvl>
    <w:lvl w:ilvl="6" w:tplc="98BA8A62">
      <w:start w:val="1"/>
      <w:numFmt w:val="bullet"/>
      <w:lvlText w:val="•"/>
      <w:lvlJc w:val="left"/>
      <w:pPr>
        <w:ind w:left="5047" w:hanging="269"/>
      </w:pPr>
      <w:rPr>
        <w:rFonts w:hint="default"/>
      </w:rPr>
    </w:lvl>
    <w:lvl w:ilvl="7" w:tplc="3BD4A22A">
      <w:start w:val="1"/>
      <w:numFmt w:val="bullet"/>
      <w:lvlText w:val="•"/>
      <w:lvlJc w:val="left"/>
      <w:pPr>
        <w:ind w:left="5838" w:hanging="269"/>
      </w:pPr>
      <w:rPr>
        <w:rFonts w:hint="default"/>
      </w:rPr>
    </w:lvl>
    <w:lvl w:ilvl="8" w:tplc="B2864A0E">
      <w:start w:val="1"/>
      <w:numFmt w:val="bullet"/>
      <w:lvlText w:val="•"/>
      <w:lvlJc w:val="left"/>
      <w:pPr>
        <w:ind w:left="6629" w:hanging="269"/>
      </w:pPr>
      <w:rPr>
        <w:rFonts w:hint="default"/>
      </w:rPr>
    </w:lvl>
  </w:abstractNum>
  <w:abstractNum w:abstractNumId="8" w15:restartNumberingAfterBreak="0">
    <w:nsid w:val="291D732F"/>
    <w:multiLevelType w:val="hybridMultilevel"/>
    <w:tmpl w:val="34CA9144"/>
    <w:lvl w:ilvl="0" w:tplc="81C6132E">
      <w:start w:val="38"/>
      <w:numFmt w:val="decimal"/>
      <w:lvlText w:val="%1."/>
      <w:lvlJc w:val="left"/>
      <w:pPr>
        <w:ind w:left="578" w:hanging="351"/>
      </w:pPr>
      <w:rPr>
        <w:rFonts w:ascii="Arial" w:eastAsia="Arial" w:hAnsi="Arial" w:hint="default"/>
        <w:sz w:val="21"/>
        <w:szCs w:val="21"/>
      </w:rPr>
    </w:lvl>
    <w:lvl w:ilvl="1" w:tplc="13D4F636">
      <w:start w:val="1"/>
      <w:numFmt w:val="decimal"/>
      <w:lvlText w:val="%2."/>
      <w:lvlJc w:val="left"/>
      <w:pPr>
        <w:ind w:left="962" w:hanging="409"/>
      </w:pPr>
      <w:rPr>
        <w:rFonts w:ascii="Arial" w:eastAsia="Arial" w:hAnsi="Arial" w:hint="default"/>
        <w:sz w:val="21"/>
        <w:szCs w:val="21"/>
      </w:rPr>
    </w:lvl>
    <w:lvl w:ilvl="2" w:tplc="16669FE8">
      <w:start w:val="1"/>
      <w:numFmt w:val="bullet"/>
      <w:lvlText w:val="•"/>
      <w:lvlJc w:val="left"/>
      <w:pPr>
        <w:ind w:left="1681" w:hanging="409"/>
      </w:pPr>
      <w:rPr>
        <w:rFonts w:hint="default"/>
      </w:rPr>
    </w:lvl>
    <w:lvl w:ilvl="3" w:tplc="2FBCB3C8">
      <w:start w:val="1"/>
      <w:numFmt w:val="bullet"/>
      <w:lvlText w:val="•"/>
      <w:lvlJc w:val="left"/>
      <w:pPr>
        <w:ind w:left="2400" w:hanging="409"/>
      </w:pPr>
      <w:rPr>
        <w:rFonts w:hint="default"/>
      </w:rPr>
    </w:lvl>
    <w:lvl w:ilvl="4" w:tplc="A44EB812">
      <w:start w:val="1"/>
      <w:numFmt w:val="bullet"/>
      <w:lvlText w:val="•"/>
      <w:lvlJc w:val="left"/>
      <w:pPr>
        <w:ind w:left="3118" w:hanging="409"/>
      </w:pPr>
      <w:rPr>
        <w:rFonts w:hint="default"/>
      </w:rPr>
    </w:lvl>
    <w:lvl w:ilvl="5" w:tplc="FB86E608">
      <w:start w:val="1"/>
      <w:numFmt w:val="bullet"/>
      <w:lvlText w:val="•"/>
      <w:lvlJc w:val="left"/>
      <w:pPr>
        <w:ind w:left="3837" w:hanging="409"/>
      </w:pPr>
      <w:rPr>
        <w:rFonts w:hint="default"/>
      </w:rPr>
    </w:lvl>
    <w:lvl w:ilvl="6" w:tplc="683C42DA">
      <w:start w:val="1"/>
      <w:numFmt w:val="bullet"/>
      <w:lvlText w:val="•"/>
      <w:lvlJc w:val="left"/>
      <w:pPr>
        <w:ind w:left="4556" w:hanging="409"/>
      </w:pPr>
      <w:rPr>
        <w:rFonts w:hint="default"/>
      </w:rPr>
    </w:lvl>
    <w:lvl w:ilvl="7" w:tplc="21A2B6A4">
      <w:start w:val="1"/>
      <w:numFmt w:val="bullet"/>
      <w:lvlText w:val="•"/>
      <w:lvlJc w:val="left"/>
      <w:pPr>
        <w:ind w:left="5275" w:hanging="409"/>
      </w:pPr>
      <w:rPr>
        <w:rFonts w:hint="default"/>
      </w:rPr>
    </w:lvl>
    <w:lvl w:ilvl="8" w:tplc="336289B8">
      <w:start w:val="1"/>
      <w:numFmt w:val="bullet"/>
      <w:lvlText w:val="•"/>
      <w:lvlJc w:val="left"/>
      <w:pPr>
        <w:ind w:left="5994" w:hanging="409"/>
      </w:pPr>
      <w:rPr>
        <w:rFonts w:hint="default"/>
      </w:rPr>
    </w:lvl>
  </w:abstractNum>
  <w:abstractNum w:abstractNumId="9" w15:restartNumberingAfterBreak="0">
    <w:nsid w:val="31DB5197"/>
    <w:multiLevelType w:val="hybridMultilevel"/>
    <w:tmpl w:val="CC72B1D6"/>
    <w:lvl w:ilvl="0" w:tplc="10EEBE36">
      <w:start w:val="1"/>
      <w:numFmt w:val="decimal"/>
      <w:lvlText w:val="%1."/>
      <w:lvlJc w:val="left"/>
      <w:pPr>
        <w:ind w:left="425" w:hanging="202"/>
      </w:pPr>
      <w:rPr>
        <w:rFonts w:ascii="Arial" w:eastAsia="Arial" w:hAnsi="Arial" w:hint="default"/>
        <w:b/>
        <w:bCs/>
        <w:i/>
        <w:sz w:val="18"/>
        <w:szCs w:val="18"/>
      </w:rPr>
    </w:lvl>
    <w:lvl w:ilvl="1" w:tplc="D5EAEADC">
      <w:start w:val="1"/>
      <w:numFmt w:val="bullet"/>
      <w:lvlText w:val=""/>
      <w:lvlJc w:val="left"/>
      <w:pPr>
        <w:ind w:left="1073" w:hanging="408"/>
      </w:pPr>
      <w:rPr>
        <w:rFonts w:ascii="Symbol" w:eastAsia="Symbol" w:hAnsi="Symbol" w:hint="default"/>
        <w:sz w:val="22"/>
        <w:szCs w:val="22"/>
      </w:rPr>
    </w:lvl>
    <w:lvl w:ilvl="2" w:tplc="A4F4C0AC">
      <w:start w:val="1"/>
      <w:numFmt w:val="bullet"/>
      <w:lvlText w:val="•"/>
      <w:lvlJc w:val="left"/>
      <w:pPr>
        <w:ind w:left="1811" w:hanging="408"/>
      </w:pPr>
      <w:rPr>
        <w:rFonts w:hint="default"/>
      </w:rPr>
    </w:lvl>
    <w:lvl w:ilvl="3" w:tplc="10D65D66">
      <w:start w:val="1"/>
      <w:numFmt w:val="bullet"/>
      <w:lvlText w:val="•"/>
      <w:lvlJc w:val="left"/>
      <w:pPr>
        <w:ind w:left="2548" w:hanging="408"/>
      </w:pPr>
      <w:rPr>
        <w:rFonts w:hint="default"/>
      </w:rPr>
    </w:lvl>
    <w:lvl w:ilvl="4" w:tplc="84BC8D28">
      <w:start w:val="1"/>
      <w:numFmt w:val="bullet"/>
      <w:lvlText w:val="•"/>
      <w:lvlJc w:val="left"/>
      <w:pPr>
        <w:ind w:left="3286" w:hanging="408"/>
      </w:pPr>
      <w:rPr>
        <w:rFonts w:hint="default"/>
      </w:rPr>
    </w:lvl>
    <w:lvl w:ilvl="5" w:tplc="9E9AEA5A">
      <w:start w:val="1"/>
      <w:numFmt w:val="bullet"/>
      <w:lvlText w:val="•"/>
      <w:lvlJc w:val="left"/>
      <w:pPr>
        <w:ind w:left="4024" w:hanging="408"/>
      </w:pPr>
      <w:rPr>
        <w:rFonts w:hint="default"/>
      </w:rPr>
    </w:lvl>
    <w:lvl w:ilvl="6" w:tplc="0C104836">
      <w:start w:val="1"/>
      <w:numFmt w:val="bullet"/>
      <w:lvlText w:val="•"/>
      <w:lvlJc w:val="left"/>
      <w:pPr>
        <w:ind w:left="4761" w:hanging="408"/>
      </w:pPr>
      <w:rPr>
        <w:rFonts w:hint="default"/>
      </w:rPr>
    </w:lvl>
    <w:lvl w:ilvl="7" w:tplc="A1048E72">
      <w:start w:val="1"/>
      <w:numFmt w:val="bullet"/>
      <w:lvlText w:val="•"/>
      <w:lvlJc w:val="left"/>
      <w:pPr>
        <w:ind w:left="5499" w:hanging="408"/>
      </w:pPr>
      <w:rPr>
        <w:rFonts w:hint="default"/>
      </w:rPr>
    </w:lvl>
    <w:lvl w:ilvl="8" w:tplc="447006A4">
      <w:start w:val="1"/>
      <w:numFmt w:val="bullet"/>
      <w:lvlText w:val="•"/>
      <w:lvlJc w:val="left"/>
      <w:pPr>
        <w:ind w:left="6236" w:hanging="408"/>
      </w:pPr>
      <w:rPr>
        <w:rFonts w:hint="default"/>
      </w:rPr>
    </w:lvl>
  </w:abstractNum>
  <w:abstractNum w:abstractNumId="10" w15:restartNumberingAfterBreak="0">
    <w:nsid w:val="32360940"/>
    <w:multiLevelType w:val="hybridMultilevel"/>
    <w:tmpl w:val="33628242"/>
    <w:lvl w:ilvl="0" w:tplc="A7B44A8A">
      <w:start w:val="1"/>
      <w:numFmt w:val="decimal"/>
      <w:lvlText w:val="%1."/>
      <w:lvlJc w:val="left"/>
      <w:pPr>
        <w:ind w:left="609" w:hanging="269"/>
      </w:pPr>
      <w:rPr>
        <w:rFonts w:ascii="Arial" w:eastAsia="Arial" w:hAnsi="Arial" w:hint="default"/>
        <w:sz w:val="24"/>
        <w:szCs w:val="24"/>
      </w:rPr>
    </w:lvl>
    <w:lvl w:ilvl="1" w:tplc="E5F20520">
      <w:start w:val="1"/>
      <w:numFmt w:val="bullet"/>
      <w:lvlText w:val="•"/>
      <w:lvlJc w:val="left"/>
      <w:pPr>
        <w:ind w:left="1291" w:hanging="269"/>
      </w:pPr>
      <w:rPr>
        <w:rFonts w:hint="default"/>
      </w:rPr>
    </w:lvl>
    <w:lvl w:ilvl="2" w:tplc="1772DB3C">
      <w:start w:val="1"/>
      <w:numFmt w:val="bullet"/>
      <w:lvlText w:val="•"/>
      <w:lvlJc w:val="left"/>
      <w:pPr>
        <w:ind w:left="1973" w:hanging="269"/>
      </w:pPr>
      <w:rPr>
        <w:rFonts w:hint="default"/>
      </w:rPr>
    </w:lvl>
    <w:lvl w:ilvl="3" w:tplc="285243B4">
      <w:start w:val="1"/>
      <w:numFmt w:val="bullet"/>
      <w:lvlText w:val="•"/>
      <w:lvlJc w:val="left"/>
      <w:pPr>
        <w:ind w:left="2655" w:hanging="269"/>
      </w:pPr>
      <w:rPr>
        <w:rFonts w:hint="default"/>
      </w:rPr>
    </w:lvl>
    <w:lvl w:ilvl="4" w:tplc="DFA65D74">
      <w:start w:val="1"/>
      <w:numFmt w:val="bullet"/>
      <w:lvlText w:val="•"/>
      <w:lvlJc w:val="left"/>
      <w:pPr>
        <w:ind w:left="3338" w:hanging="269"/>
      </w:pPr>
      <w:rPr>
        <w:rFonts w:hint="default"/>
      </w:rPr>
    </w:lvl>
    <w:lvl w:ilvl="5" w:tplc="B9580B3A">
      <w:start w:val="1"/>
      <w:numFmt w:val="bullet"/>
      <w:lvlText w:val="•"/>
      <w:lvlJc w:val="left"/>
      <w:pPr>
        <w:ind w:left="4020" w:hanging="269"/>
      </w:pPr>
      <w:rPr>
        <w:rFonts w:hint="default"/>
      </w:rPr>
    </w:lvl>
    <w:lvl w:ilvl="6" w:tplc="22D4671C">
      <w:start w:val="1"/>
      <w:numFmt w:val="bullet"/>
      <w:lvlText w:val="•"/>
      <w:lvlJc w:val="left"/>
      <w:pPr>
        <w:ind w:left="4702" w:hanging="269"/>
      </w:pPr>
      <w:rPr>
        <w:rFonts w:hint="default"/>
      </w:rPr>
    </w:lvl>
    <w:lvl w:ilvl="7" w:tplc="26284824">
      <w:start w:val="1"/>
      <w:numFmt w:val="bullet"/>
      <w:lvlText w:val="•"/>
      <w:lvlJc w:val="left"/>
      <w:pPr>
        <w:ind w:left="5384" w:hanging="269"/>
      </w:pPr>
      <w:rPr>
        <w:rFonts w:hint="default"/>
      </w:rPr>
    </w:lvl>
    <w:lvl w:ilvl="8" w:tplc="206295E0">
      <w:start w:val="1"/>
      <w:numFmt w:val="bullet"/>
      <w:lvlText w:val="•"/>
      <w:lvlJc w:val="left"/>
      <w:pPr>
        <w:ind w:left="6067" w:hanging="269"/>
      </w:pPr>
      <w:rPr>
        <w:rFonts w:hint="default"/>
      </w:rPr>
    </w:lvl>
  </w:abstractNum>
  <w:abstractNum w:abstractNumId="11" w15:restartNumberingAfterBreak="0">
    <w:nsid w:val="3C4E3B0A"/>
    <w:multiLevelType w:val="multilevel"/>
    <w:tmpl w:val="041273C8"/>
    <w:lvl w:ilvl="0">
      <w:start w:val="4"/>
      <w:numFmt w:val="decimal"/>
      <w:lvlText w:val="%1"/>
      <w:lvlJc w:val="left"/>
      <w:pPr>
        <w:ind w:left="896" w:hanging="584"/>
      </w:pPr>
      <w:rPr>
        <w:rFonts w:hint="default"/>
      </w:rPr>
    </w:lvl>
    <w:lvl w:ilvl="1">
      <w:start w:val="4"/>
      <w:numFmt w:val="decimal"/>
      <w:lvlText w:val="%1.%2"/>
      <w:lvlJc w:val="left"/>
      <w:pPr>
        <w:ind w:left="896" w:hanging="584"/>
      </w:pPr>
      <w:rPr>
        <w:rFonts w:hint="default"/>
      </w:rPr>
    </w:lvl>
    <w:lvl w:ilvl="2">
      <w:start w:val="1"/>
      <w:numFmt w:val="decimal"/>
      <w:lvlText w:val="%1.%2.%3."/>
      <w:lvlJc w:val="left"/>
      <w:pPr>
        <w:ind w:left="896" w:hanging="584"/>
      </w:pPr>
      <w:rPr>
        <w:rFonts w:ascii="Arial" w:eastAsia="Arial" w:hAnsi="Arial" w:hint="default"/>
        <w:i/>
        <w:sz w:val="21"/>
        <w:szCs w:val="21"/>
      </w:rPr>
    </w:lvl>
    <w:lvl w:ilvl="3">
      <w:start w:val="1"/>
      <w:numFmt w:val="bullet"/>
      <w:lvlText w:val=""/>
      <w:lvlJc w:val="left"/>
      <w:pPr>
        <w:ind w:left="1343" w:hanging="341"/>
      </w:pPr>
      <w:rPr>
        <w:rFonts w:ascii="Symbol" w:eastAsia="Symbol" w:hAnsi="Symbol" w:hint="default"/>
        <w:position w:val="2"/>
        <w:sz w:val="22"/>
        <w:szCs w:val="22"/>
      </w:rPr>
    </w:lvl>
    <w:lvl w:ilvl="4">
      <w:start w:val="1"/>
      <w:numFmt w:val="bullet"/>
      <w:lvlText w:val="•"/>
      <w:lvlJc w:val="left"/>
      <w:pPr>
        <w:ind w:left="3359" w:hanging="341"/>
      </w:pPr>
      <w:rPr>
        <w:rFonts w:hint="default"/>
      </w:rPr>
    </w:lvl>
    <w:lvl w:ilvl="5">
      <w:start w:val="1"/>
      <w:numFmt w:val="bullet"/>
      <w:lvlText w:val="•"/>
      <w:lvlJc w:val="left"/>
      <w:pPr>
        <w:ind w:left="4031" w:hanging="341"/>
      </w:pPr>
      <w:rPr>
        <w:rFonts w:hint="default"/>
      </w:rPr>
    </w:lvl>
    <w:lvl w:ilvl="6">
      <w:start w:val="1"/>
      <w:numFmt w:val="bullet"/>
      <w:lvlText w:val="•"/>
      <w:lvlJc w:val="left"/>
      <w:pPr>
        <w:ind w:left="4703" w:hanging="341"/>
      </w:pPr>
      <w:rPr>
        <w:rFonts w:hint="default"/>
      </w:rPr>
    </w:lvl>
    <w:lvl w:ilvl="7">
      <w:start w:val="1"/>
      <w:numFmt w:val="bullet"/>
      <w:lvlText w:val="•"/>
      <w:lvlJc w:val="left"/>
      <w:pPr>
        <w:ind w:left="5375" w:hanging="341"/>
      </w:pPr>
      <w:rPr>
        <w:rFonts w:hint="default"/>
      </w:rPr>
    </w:lvl>
    <w:lvl w:ilvl="8">
      <w:start w:val="1"/>
      <w:numFmt w:val="bullet"/>
      <w:lvlText w:val="•"/>
      <w:lvlJc w:val="left"/>
      <w:pPr>
        <w:ind w:left="6047" w:hanging="341"/>
      </w:pPr>
      <w:rPr>
        <w:rFonts w:hint="default"/>
      </w:rPr>
    </w:lvl>
  </w:abstractNum>
  <w:abstractNum w:abstractNumId="12" w15:restartNumberingAfterBreak="0">
    <w:nsid w:val="3D54128B"/>
    <w:multiLevelType w:val="hybridMultilevel"/>
    <w:tmpl w:val="02FCC63E"/>
    <w:lvl w:ilvl="0" w:tplc="ECD2C300">
      <w:start w:val="1"/>
      <w:numFmt w:val="bullet"/>
      <w:lvlText w:val=""/>
      <w:lvlJc w:val="left"/>
      <w:pPr>
        <w:ind w:left="470" w:hanging="286"/>
      </w:pPr>
      <w:rPr>
        <w:rFonts w:ascii="Symbol" w:eastAsia="Symbol" w:hAnsi="Symbol" w:hint="default"/>
        <w:sz w:val="18"/>
        <w:szCs w:val="18"/>
      </w:rPr>
    </w:lvl>
    <w:lvl w:ilvl="1" w:tplc="83024798">
      <w:start w:val="1"/>
      <w:numFmt w:val="bullet"/>
      <w:lvlText w:val="•"/>
      <w:lvlJc w:val="left"/>
      <w:pPr>
        <w:ind w:left="760" w:hanging="286"/>
      </w:pPr>
      <w:rPr>
        <w:rFonts w:hint="default"/>
      </w:rPr>
    </w:lvl>
    <w:lvl w:ilvl="2" w:tplc="0A72303C">
      <w:start w:val="1"/>
      <w:numFmt w:val="bullet"/>
      <w:lvlText w:val="•"/>
      <w:lvlJc w:val="left"/>
      <w:pPr>
        <w:ind w:left="1050" w:hanging="286"/>
      </w:pPr>
      <w:rPr>
        <w:rFonts w:hint="default"/>
      </w:rPr>
    </w:lvl>
    <w:lvl w:ilvl="3" w:tplc="F37EBAB8">
      <w:start w:val="1"/>
      <w:numFmt w:val="bullet"/>
      <w:lvlText w:val="•"/>
      <w:lvlJc w:val="left"/>
      <w:pPr>
        <w:ind w:left="1340" w:hanging="286"/>
      </w:pPr>
      <w:rPr>
        <w:rFonts w:hint="default"/>
      </w:rPr>
    </w:lvl>
    <w:lvl w:ilvl="4" w:tplc="D62E3234">
      <w:start w:val="1"/>
      <w:numFmt w:val="bullet"/>
      <w:lvlText w:val="•"/>
      <w:lvlJc w:val="left"/>
      <w:pPr>
        <w:ind w:left="1630" w:hanging="286"/>
      </w:pPr>
      <w:rPr>
        <w:rFonts w:hint="default"/>
      </w:rPr>
    </w:lvl>
    <w:lvl w:ilvl="5" w:tplc="64AA5872">
      <w:start w:val="1"/>
      <w:numFmt w:val="bullet"/>
      <w:lvlText w:val="•"/>
      <w:lvlJc w:val="left"/>
      <w:pPr>
        <w:ind w:left="1920" w:hanging="286"/>
      </w:pPr>
      <w:rPr>
        <w:rFonts w:hint="default"/>
      </w:rPr>
    </w:lvl>
    <w:lvl w:ilvl="6" w:tplc="89864E0C">
      <w:start w:val="1"/>
      <w:numFmt w:val="bullet"/>
      <w:lvlText w:val="•"/>
      <w:lvlJc w:val="left"/>
      <w:pPr>
        <w:ind w:left="2210" w:hanging="286"/>
      </w:pPr>
      <w:rPr>
        <w:rFonts w:hint="default"/>
      </w:rPr>
    </w:lvl>
    <w:lvl w:ilvl="7" w:tplc="9738B9FA">
      <w:start w:val="1"/>
      <w:numFmt w:val="bullet"/>
      <w:lvlText w:val="•"/>
      <w:lvlJc w:val="left"/>
      <w:pPr>
        <w:ind w:left="2500" w:hanging="286"/>
      </w:pPr>
      <w:rPr>
        <w:rFonts w:hint="default"/>
      </w:rPr>
    </w:lvl>
    <w:lvl w:ilvl="8" w:tplc="3A3451F8">
      <w:start w:val="1"/>
      <w:numFmt w:val="bullet"/>
      <w:lvlText w:val="•"/>
      <w:lvlJc w:val="left"/>
      <w:pPr>
        <w:ind w:left="2790" w:hanging="286"/>
      </w:pPr>
      <w:rPr>
        <w:rFonts w:hint="default"/>
      </w:rPr>
    </w:lvl>
  </w:abstractNum>
  <w:abstractNum w:abstractNumId="13" w15:restartNumberingAfterBreak="0">
    <w:nsid w:val="40E02338"/>
    <w:multiLevelType w:val="multilevel"/>
    <w:tmpl w:val="4CA00694"/>
    <w:lvl w:ilvl="0">
      <w:start w:val="1"/>
      <w:numFmt w:val="decimal"/>
      <w:lvlText w:val="%1."/>
      <w:lvlJc w:val="left"/>
      <w:pPr>
        <w:ind w:left="400" w:hanging="248"/>
      </w:pPr>
      <w:rPr>
        <w:rFonts w:ascii="Arial" w:eastAsia="Arial" w:hAnsi="Arial" w:hint="default"/>
        <w:b/>
        <w:bCs/>
        <w:spacing w:val="-1"/>
        <w:sz w:val="22"/>
        <w:szCs w:val="22"/>
      </w:rPr>
    </w:lvl>
    <w:lvl w:ilvl="1">
      <w:start w:val="1"/>
      <w:numFmt w:val="decimal"/>
      <w:lvlText w:val="%1.%2."/>
      <w:lvlJc w:val="left"/>
      <w:pPr>
        <w:ind w:left="582" w:hanging="430"/>
      </w:pPr>
      <w:rPr>
        <w:rFonts w:ascii="Arial" w:eastAsia="Arial" w:hAnsi="Arial" w:hint="default"/>
        <w:b/>
        <w:bCs/>
        <w:i/>
        <w:spacing w:val="-1"/>
        <w:sz w:val="22"/>
        <w:szCs w:val="22"/>
      </w:rPr>
    </w:lvl>
    <w:lvl w:ilvl="2">
      <w:start w:val="1"/>
      <w:numFmt w:val="bullet"/>
      <w:lvlText w:val=""/>
      <w:lvlJc w:val="left"/>
      <w:pPr>
        <w:ind w:left="1153" w:hanging="408"/>
      </w:pPr>
      <w:rPr>
        <w:rFonts w:ascii="Symbol" w:eastAsia="Symbol" w:hAnsi="Symbol" w:hint="default"/>
        <w:sz w:val="22"/>
        <w:szCs w:val="22"/>
      </w:rPr>
    </w:lvl>
    <w:lvl w:ilvl="3">
      <w:start w:val="1"/>
      <w:numFmt w:val="bullet"/>
      <w:lvlText w:val=""/>
      <w:lvlJc w:val="left"/>
      <w:pPr>
        <w:ind w:left="1494" w:hanging="339"/>
      </w:pPr>
      <w:rPr>
        <w:rFonts w:ascii="Symbol" w:eastAsia="Symbol" w:hAnsi="Symbol" w:hint="default"/>
        <w:sz w:val="22"/>
        <w:szCs w:val="22"/>
      </w:rPr>
    </w:lvl>
    <w:lvl w:ilvl="4">
      <w:start w:val="1"/>
      <w:numFmt w:val="bullet"/>
      <w:lvlText w:val="•"/>
      <w:lvlJc w:val="left"/>
      <w:pPr>
        <w:ind w:left="2405" w:hanging="339"/>
      </w:pPr>
      <w:rPr>
        <w:rFonts w:hint="default"/>
      </w:rPr>
    </w:lvl>
    <w:lvl w:ilvl="5">
      <w:start w:val="1"/>
      <w:numFmt w:val="bullet"/>
      <w:lvlText w:val="•"/>
      <w:lvlJc w:val="left"/>
      <w:pPr>
        <w:ind w:left="3316" w:hanging="339"/>
      </w:pPr>
      <w:rPr>
        <w:rFonts w:hint="default"/>
      </w:rPr>
    </w:lvl>
    <w:lvl w:ilvl="6">
      <w:start w:val="1"/>
      <w:numFmt w:val="bullet"/>
      <w:lvlText w:val="•"/>
      <w:lvlJc w:val="left"/>
      <w:pPr>
        <w:ind w:left="4227" w:hanging="339"/>
      </w:pPr>
      <w:rPr>
        <w:rFonts w:hint="default"/>
      </w:rPr>
    </w:lvl>
    <w:lvl w:ilvl="7">
      <w:start w:val="1"/>
      <w:numFmt w:val="bullet"/>
      <w:lvlText w:val="•"/>
      <w:lvlJc w:val="left"/>
      <w:pPr>
        <w:ind w:left="5138" w:hanging="339"/>
      </w:pPr>
      <w:rPr>
        <w:rFonts w:hint="default"/>
      </w:rPr>
    </w:lvl>
    <w:lvl w:ilvl="8">
      <w:start w:val="1"/>
      <w:numFmt w:val="bullet"/>
      <w:lvlText w:val="•"/>
      <w:lvlJc w:val="left"/>
      <w:pPr>
        <w:ind w:left="6049" w:hanging="339"/>
      </w:pPr>
      <w:rPr>
        <w:rFonts w:hint="default"/>
      </w:rPr>
    </w:lvl>
  </w:abstractNum>
  <w:abstractNum w:abstractNumId="14" w15:restartNumberingAfterBreak="0">
    <w:nsid w:val="42DF16BB"/>
    <w:multiLevelType w:val="hybridMultilevel"/>
    <w:tmpl w:val="7DF6BD7A"/>
    <w:lvl w:ilvl="0" w:tplc="89109D14">
      <w:start w:val="1"/>
      <w:numFmt w:val="bullet"/>
      <w:lvlText w:val=""/>
      <w:lvlJc w:val="left"/>
      <w:pPr>
        <w:ind w:left="1002" w:hanging="408"/>
      </w:pPr>
      <w:rPr>
        <w:rFonts w:ascii="Symbol" w:eastAsia="Symbol" w:hAnsi="Symbol" w:hint="default"/>
        <w:sz w:val="22"/>
        <w:szCs w:val="22"/>
      </w:rPr>
    </w:lvl>
    <w:lvl w:ilvl="1" w:tplc="9FCA70D6">
      <w:start w:val="1"/>
      <w:numFmt w:val="bullet"/>
      <w:lvlText w:val="•"/>
      <w:lvlJc w:val="left"/>
      <w:pPr>
        <w:ind w:left="1641" w:hanging="408"/>
      </w:pPr>
      <w:rPr>
        <w:rFonts w:hint="default"/>
      </w:rPr>
    </w:lvl>
    <w:lvl w:ilvl="2" w:tplc="2376BFC6">
      <w:start w:val="1"/>
      <w:numFmt w:val="bullet"/>
      <w:lvlText w:val="•"/>
      <w:lvlJc w:val="left"/>
      <w:pPr>
        <w:ind w:left="2280" w:hanging="408"/>
      </w:pPr>
      <w:rPr>
        <w:rFonts w:hint="default"/>
      </w:rPr>
    </w:lvl>
    <w:lvl w:ilvl="3" w:tplc="BDE46C50">
      <w:start w:val="1"/>
      <w:numFmt w:val="bullet"/>
      <w:lvlText w:val="•"/>
      <w:lvlJc w:val="left"/>
      <w:pPr>
        <w:ind w:left="2919" w:hanging="408"/>
      </w:pPr>
      <w:rPr>
        <w:rFonts w:hint="default"/>
      </w:rPr>
    </w:lvl>
    <w:lvl w:ilvl="4" w:tplc="BC0A3F10">
      <w:start w:val="1"/>
      <w:numFmt w:val="bullet"/>
      <w:lvlText w:val="•"/>
      <w:lvlJc w:val="left"/>
      <w:pPr>
        <w:ind w:left="3558" w:hanging="408"/>
      </w:pPr>
      <w:rPr>
        <w:rFonts w:hint="default"/>
      </w:rPr>
    </w:lvl>
    <w:lvl w:ilvl="5" w:tplc="C6F89F06">
      <w:start w:val="1"/>
      <w:numFmt w:val="bullet"/>
      <w:lvlText w:val="•"/>
      <w:lvlJc w:val="left"/>
      <w:pPr>
        <w:ind w:left="4197" w:hanging="408"/>
      </w:pPr>
      <w:rPr>
        <w:rFonts w:hint="default"/>
      </w:rPr>
    </w:lvl>
    <w:lvl w:ilvl="6" w:tplc="3A8EA5B4">
      <w:start w:val="1"/>
      <w:numFmt w:val="bullet"/>
      <w:lvlText w:val="•"/>
      <w:lvlJc w:val="left"/>
      <w:pPr>
        <w:ind w:left="4836" w:hanging="408"/>
      </w:pPr>
      <w:rPr>
        <w:rFonts w:hint="default"/>
      </w:rPr>
    </w:lvl>
    <w:lvl w:ilvl="7" w:tplc="8550D9B2">
      <w:start w:val="1"/>
      <w:numFmt w:val="bullet"/>
      <w:lvlText w:val="•"/>
      <w:lvlJc w:val="left"/>
      <w:pPr>
        <w:ind w:left="5475" w:hanging="408"/>
      </w:pPr>
      <w:rPr>
        <w:rFonts w:hint="default"/>
      </w:rPr>
    </w:lvl>
    <w:lvl w:ilvl="8" w:tplc="287A1A08">
      <w:start w:val="1"/>
      <w:numFmt w:val="bullet"/>
      <w:lvlText w:val="•"/>
      <w:lvlJc w:val="left"/>
      <w:pPr>
        <w:ind w:left="6113" w:hanging="408"/>
      </w:pPr>
      <w:rPr>
        <w:rFonts w:hint="default"/>
      </w:rPr>
    </w:lvl>
  </w:abstractNum>
  <w:abstractNum w:abstractNumId="15" w15:restartNumberingAfterBreak="0">
    <w:nsid w:val="44506EE6"/>
    <w:multiLevelType w:val="hybridMultilevel"/>
    <w:tmpl w:val="9DD8D41A"/>
    <w:lvl w:ilvl="0" w:tplc="9BC69A34">
      <w:start w:val="1"/>
      <w:numFmt w:val="decimal"/>
      <w:lvlText w:val="%1."/>
      <w:lvlJc w:val="left"/>
      <w:pPr>
        <w:ind w:left="569" w:hanging="269"/>
      </w:pPr>
      <w:rPr>
        <w:rFonts w:ascii="Arial" w:eastAsia="Arial" w:hAnsi="Arial" w:hint="default"/>
        <w:sz w:val="24"/>
        <w:szCs w:val="24"/>
      </w:rPr>
    </w:lvl>
    <w:lvl w:ilvl="1" w:tplc="31EEDB70">
      <w:start w:val="1"/>
      <w:numFmt w:val="bullet"/>
      <w:lvlText w:val="•"/>
      <w:lvlJc w:val="left"/>
      <w:pPr>
        <w:ind w:left="1333" w:hanging="269"/>
      </w:pPr>
      <w:rPr>
        <w:rFonts w:hint="default"/>
      </w:rPr>
    </w:lvl>
    <w:lvl w:ilvl="2" w:tplc="F4645D76">
      <w:start w:val="1"/>
      <w:numFmt w:val="bullet"/>
      <w:lvlText w:val="•"/>
      <w:lvlJc w:val="left"/>
      <w:pPr>
        <w:ind w:left="2097" w:hanging="269"/>
      </w:pPr>
      <w:rPr>
        <w:rFonts w:hint="default"/>
      </w:rPr>
    </w:lvl>
    <w:lvl w:ilvl="3" w:tplc="0A5CC2A2">
      <w:start w:val="1"/>
      <w:numFmt w:val="bullet"/>
      <w:lvlText w:val="•"/>
      <w:lvlJc w:val="left"/>
      <w:pPr>
        <w:ind w:left="2861" w:hanging="269"/>
      </w:pPr>
      <w:rPr>
        <w:rFonts w:hint="default"/>
      </w:rPr>
    </w:lvl>
    <w:lvl w:ilvl="4" w:tplc="7D00E84C">
      <w:start w:val="1"/>
      <w:numFmt w:val="bullet"/>
      <w:lvlText w:val="•"/>
      <w:lvlJc w:val="left"/>
      <w:pPr>
        <w:ind w:left="3626" w:hanging="269"/>
      </w:pPr>
      <w:rPr>
        <w:rFonts w:hint="default"/>
      </w:rPr>
    </w:lvl>
    <w:lvl w:ilvl="5" w:tplc="5B94B79E">
      <w:start w:val="1"/>
      <w:numFmt w:val="bullet"/>
      <w:lvlText w:val="•"/>
      <w:lvlJc w:val="left"/>
      <w:pPr>
        <w:ind w:left="4390" w:hanging="269"/>
      </w:pPr>
      <w:rPr>
        <w:rFonts w:hint="default"/>
      </w:rPr>
    </w:lvl>
    <w:lvl w:ilvl="6" w:tplc="BF966D5A">
      <w:start w:val="1"/>
      <w:numFmt w:val="bullet"/>
      <w:lvlText w:val="•"/>
      <w:lvlJc w:val="left"/>
      <w:pPr>
        <w:ind w:left="5154" w:hanging="269"/>
      </w:pPr>
      <w:rPr>
        <w:rFonts w:hint="default"/>
      </w:rPr>
    </w:lvl>
    <w:lvl w:ilvl="7" w:tplc="873EB6FE">
      <w:start w:val="1"/>
      <w:numFmt w:val="bullet"/>
      <w:lvlText w:val="•"/>
      <w:lvlJc w:val="left"/>
      <w:pPr>
        <w:ind w:left="5918" w:hanging="269"/>
      </w:pPr>
      <w:rPr>
        <w:rFonts w:hint="default"/>
      </w:rPr>
    </w:lvl>
    <w:lvl w:ilvl="8" w:tplc="D0D631D4">
      <w:start w:val="1"/>
      <w:numFmt w:val="bullet"/>
      <w:lvlText w:val="•"/>
      <w:lvlJc w:val="left"/>
      <w:pPr>
        <w:ind w:left="6683" w:hanging="269"/>
      </w:pPr>
      <w:rPr>
        <w:rFonts w:hint="default"/>
      </w:rPr>
    </w:lvl>
  </w:abstractNum>
  <w:abstractNum w:abstractNumId="16" w15:restartNumberingAfterBreak="0">
    <w:nsid w:val="452010E8"/>
    <w:multiLevelType w:val="hybridMultilevel"/>
    <w:tmpl w:val="B09A8BD0"/>
    <w:lvl w:ilvl="0" w:tplc="134470E6">
      <w:start w:val="1"/>
      <w:numFmt w:val="bullet"/>
      <w:lvlText w:val="-"/>
      <w:lvlJc w:val="left"/>
      <w:pPr>
        <w:ind w:left="0" w:hanging="109"/>
      </w:pPr>
      <w:rPr>
        <w:rFonts w:ascii="Arial" w:eastAsia="Arial" w:hAnsi="Arial" w:hint="default"/>
        <w:w w:val="117"/>
        <w:sz w:val="16"/>
        <w:szCs w:val="16"/>
      </w:rPr>
    </w:lvl>
    <w:lvl w:ilvl="1" w:tplc="CB1A25B6">
      <w:start w:val="1"/>
      <w:numFmt w:val="bullet"/>
      <w:lvlText w:val="•"/>
      <w:lvlJc w:val="left"/>
      <w:pPr>
        <w:ind w:left="252" w:hanging="109"/>
      </w:pPr>
      <w:rPr>
        <w:rFonts w:hint="default"/>
      </w:rPr>
    </w:lvl>
    <w:lvl w:ilvl="2" w:tplc="3FF62C36">
      <w:start w:val="1"/>
      <w:numFmt w:val="bullet"/>
      <w:lvlText w:val="•"/>
      <w:lvlJc w:val="left"/>
      <w:pPr>
        <w:ind w:left="504" w:hanging="109"/>
      </w:pPr>
      <w:rPr>
        <w:rFonts w:hint="default"/>
      </w:rPr>
    </w:lvl>
    <w:lvl w:ilvl="3" w:tplc="84367584">
      <w:start w:val="1"/>
      <w:numFmt w:val="bullet"/>
      <w:lvlText w:val="•"/>
      <w:lvlJc w:val="left"/>
      <w:pPr>
        <w:ind w:left="755" w:hanging="109"/>
      </w:pPr>
      <w:rPr>
        <w:rFonts w:hint="default"/>
      </w:rPr>
    </w:lvl>
    <w:lvl w:ilvl="4" w:tplc="CF441CF2">
      <w:start w:val="1"/>
      <w:numFmt w:val="bullet"/>
      <w:lvlText w:val="•"/>
      <w:lvlJc w:val="left"/>
      <w:pPr>
        <w:ind w:left="1007" w:hanging="109"/>
      </w:pPr>
      <w:rPr>
        <w:rFonts w:hint="default"/>
      </w:rPr>
    </w:lvl>
    <w:lvl w:ilvl="5" w:tplc="DF127392">
      <w:start w:val="1"/>
      <w:numFmt w:val="bullet"/>
      <w:lvlText w:val="•"/>
      <w:lvlJc w:val="left"/>
      <w:pPr>
        <w:ind w:left="1259" w:hanging="109"/>
      </w:pPr>
      <w:rPr>
        <w:rFonts w:hint="default"/>
      </w:rPr>
    </w:lvl>
    <w:lvl w:ilvl="6" w:tplc="3CFAA9CE">
      <w:start w:val="1"/>
      <w:numFmt w:val="bullet"/>
      <w:lvlText w:val="•"/>
      <w:lvlJc w:val="left"/>
      <w:pPr>
        <w:ind w:left="1511" w:hanging="109"/>
      </w:pPr>
      <w:rPr>
        <w:rFonts w:hint="default"/>
      </w:rPr>
    </w:lvl>
    <w:lvl w:ilvl="7" w:tplc="BF70CB02">
      <w:start w:val="1"/>
      <w:numFmt w:val="bullet"/>
      <w:lvlText w:val="•"/>
      <w:lvlJc w:val="left"/>
      <w:pPr>
        <w:ind w:left="1763" w:hanging="109"/>
      </w:pPr>
      <w:rPr>
        <w:rFonts w:hint="default"/>
      </w:rPr>
    </w:lvl>
    <w:lvl w:ilvl="8" w:tplc="CB4247A6">
      <w:start w:val="1"/>
      <w:numFmt w:val="bullet"/>
      <w:lvlText w:val="•"/>
      <w:lvlJc w:val="left"/>
      <w:pPr>
        <w:ind w:left="2015" w:hanging="109"/>
      </w:pPr>
      <w:rPr>
        <w:rFonts w:hint="default"/>
      </w:rPr>
    </w:lvl>
  </w:abstractNum>
  <w:abstractNum w:abstractNumId="17" w15:restartNumberingAfterBreak="0">
    <w:nsid w:val="48A05CC1"/>
    <w:multiLevelType w:val="hybridMultilevel"/>
    <w:tmpl w:val="2BDC04D6"/>
    <w:lvl w:ilvl="0" w:tplc="F54CF59A">
      <w:start w:val="1"/>
      <w:numFmt w:val="bullet"/>
      <w:lvlText w:val=""/>
      <w:lvlJc w:val="left"/>
      <w:pPr>
        <w:ind w:left="470" w:hanging="286"/>
      </w:pPr>
      <w:rPr>
        <w:rFonts w:ascii="Symbol" w:eastAsia="Symbol" w:hAnsi="Symbol" w:hint="default"/>
        <w:sz w:val="18"/>
        <w:szCs w:val="18"/>
      </w:rPr>
    </w:lvl>
    <w:lvl w:ilvl="1" w:tplc="9F54C582">
      <w:start w:val="1"/>
      <w:numFmt w:val="bullet"/>
      <w:lvlText w:val="•"/>
      <w:lvlJc w:val="left"/>
      <w:pPr>
        <w:ind w:left="760" w:hanging="286"/>
      </w:pPr>
      <w:rPr>
        <w:rFonts w:hint="default"/>
      </w:rPr>
    </w:lvl>
    <w:lvl w:ilvl="2" w:tplc="97BC8C18">
      <w:start w:val="1"/>
      <w:numFmt w:val="bullet"/>
      <w:lvlText w:val="•"/>
      <w:lvlJc w:val="left"/>
      <w:pPr>
        <w:ind w:left="1050" w:hanging="286"/>
      </w:pPr>
      <w:rPr>
        <w:rFonts w:hint="default"/>
      </w:rPr>
    </w:lvl>
    <w:lvl w:ilvl="3" w:tplc="02060C02">
      <w:start w:val="1"/>
      <w:numFmt w:val="bullet"/>
      <w:lvlText w:val="•"/>
      <w:lvlJc w:val="left"/>
      <w:pPr>
        <w:ind w:left="1340" w:hanging="286"/>
      </w:pPr>
      <w:rPr>
        <w:rFonts w:hint="default"/>
      </w:rPr>
    </w:lvl>
    <w:lvl w:ilvl="4" w:tplc="02D8924C">
      <w:start w:val="1"/>
      <w:numFmt w:val="bullet"/>
      <w:lvlText w:val="•"/>
      <w:lvlJc w:val="left"/>
      <w:pPr>
        <w:ind w:left="1630" w:hanging="286"/>
      </w:pPr>
      <w:rPr>
        <w:rFonts w:hint="default"/>
      </w:rPr>
    </w:lvl>
    <w:lvl w:ilvl="5" w:tplc="D72A0A6E">
      <w:start w:val="1"/>
      <w:numFmt w:val="bullet"/>
      <w:lvlText w:val="•"/>
      <w:lvlJc w:val="left"/>
      <w:pPr>
        <w:ind w:left="1920" w:hanging="286"/>
      </w:pPr>
      <w:rPr>
        <w:rFonts w:hint="default"/>
      </w:rPr>
    </w:lvl>
    <w:lvl w:ilvl="6" w:tplc="6778CCE8">
      <w:start w:val="1"/>
      <w:numFmt w:val="bullet"/>
      <w:lvlText w:val="•"/>
      <w:lvlJc w:val="left"/>
      <w:pPr>
        <w:ind w:left="2210" w:hanging="286"/>
      </w:pPr>
      <w:rPr>
        <w:rFonts w:hint="default"/>
      </w:rPr>
    </w:lvl>
    <w:lvl w:ilvl="7" w:tplc="956A7426">
      <w:start w:val="1"/>
      <w:numFmt w:val="bullet"/>
      <w:lvlText w:val="•"/>
      <w:lvlJc w:val="left"/>
      <w:pPr>
        <w:ind w:left="2500" w:hanging="286"/>
      </w:pPr>
      <w:rPr>
        <w:rFonts w:hint="default"/>
      </w:rPr>
    </w:lvl>
    <w:lvl w:ilvl="8" w:tplc="4E0A6170">
      <w:start w:val="1"/>
      <w:numFmt w:val="bullet"/>
      <w:lvlText w:val="•"/>
      <w:lvlJc w:val="left"/>
      <w:pPr>
        <w:ind w:left="2790" w:hanging="286"/>
      </w:pPr>
      <w:rPr>
        <w:rFonts w:hint="default"/>
      </w:rPr>
    </w:lvl>
  </w:abstractNum>
  <w:abstractNum w:abstractNumId="18" w15:restartNumberingAfterBreak="0">
    <w:nsid w:val="496906D3"/>
    <w:multiLevelType w:val="hybridMultilevel"/>
    <w:tmpl w:val="11289902"/>
    <w:lvl w:ilvl="0" w:tplc="5C246E76">
      <w:start w:val="1"/>
      <w:numFmt w:val="bullet"/>
      <w:lvlText w:val=""/>
      <w:lvlJc w:val="left"/>
      <w:pPr>
        <w:ind w:left="543" w:hanging="284"/>
      </w:pPr>
      <w:rPr>
        <w:rFonts w:ascii="Symbol" w:eastAsia="Symbol" w:hAnsi="Symbol" w:hint="default"/>
        <w:sz w:val="18"/>
        <w:szCs w:val="18"/>
      </w:rPr>
    </w:lvl>
    <w:lvl w:ilvl="1" w:tplc="FC722A1C">
      <w:start w:val="1"/>
      <w:numFmt w:val="bullet"/>
      <w:lvlText w:val="•"/>
      <w:lvlJc w:val="left"/>
      <w:pPr>
        <w:ind w:left="799" w:hanging="284"/>
      </w:pPr>
      <w:rPr>
        <w:rFonts w:hint="default"/>
      </w:rPr>
    </w:lvl>
    <w:lvl w:ilvl="2" w:tplc="EC9E1460">
      <w:start w:val="1"/>
      <w:numFmt w:val="bullet"/>
      <w:lvlText w:val="•"/>
      <w:lvlJc w:val="left"/>
      <w:pPr>
        <w:ind w:left="1055" w:hanging="284"/>
      </w:pPr>
      <w:rPr>
        <w:rFonts w:hint="default"/>
      </w:rPr>
    </w:lvl>
    <w:lvl w:ilvl="3" w:tplc="F6663F16">
      <w:start w:val="1"/>
      <w:numFmt w:val="bullet"/>
      <w:lvlText w:val="•"/>
      <w:lvlJc w:val="left"/>
      <w:pPr>
        <w:ind w:left="1311" w:hanging="284"/>
      </w:pPr>
      <w:rPr>
        <w:rFonts w:hint="default"/>
      </w:rPr>
    </w:lvl>
    <w:lvl w:ilvl="4" w:tplc="B36CC2A4">
      <w:start w:val="1"/>
      <w:numFmt w:val="bullet"/>
      <w:lvlText w:val="•"/>
      <w:lvlJc w:val="left"/>
      <w:pPr>
        <w:ind w:left="1567" w:hanging="284"/>
      </w:pPr>
      <w:rPr>
        <w:rFonts w:hint="default"/>
      </w:rPr>
    </w:lvl>
    <w:lvl w:ilvl="5" w:tplc="AAA64010">
      <w:start w:val="1"/>
      <w:numFmt w:val="bullet"/>
      <w:lvlText w:val="•"/>
      <w:lvlJc w:val="left"/>
      <w:pPr>
        <w:ind w:left="1822" w:hanging="284"/>
      </w:pPr>
      <w:rPr>
        <w:rFonts w:hint="default"/>
      </w:rPr>
    </w:lvl>
    <w:lvl w:ilvl="6" w:tplc="21F0497E">
      <w:start w:val="1"/>
      <w:numFmt w:val="bullet"/>
      <w:lvlText w:val="•"/>
      <w:lvlJc w:val="left"/>
      <w:pPr>
        <w:ind w:left="2078" w:hanging="284"/>
      </w:pPr>
      <w:rPr>
        <w:rFonts w:hint="default"/>
      </w:rPr>
    </w:lvl>
    <w:lvl w:ilvl="7" w:tplc="DB62D13E">
      <w:start w:val="1"/>
      <w:numFmt w:val="bullet"/>
      <w:lvlText w:val="•"/>
      <w:lvlJc w:val="left"/>
      <w:pPr>
        <w:ind w:left="2334" w:hanging="284"/>
      </w:pPr>
      <w:rPr>
        <w:rFonts w:hint="default"/>
      </w:rPr>
    </w:lvl>
    <w:lvl w:ilvl="8" w:tplc="E7CAF27E">
      <w:start w:val="1"/>
      <w:numFmt w:val="bullet"/>
      <w:lvlText w:val="•"/>
      <w:lvlJc w:val="left"/>
      <w:pPr>
        <w:ind w:left="2590" w:hanging="284"/>
      </w:pPr>
      <w:rPr>
        <w:rFonts w:hint="default"/>
      </w:rPr>
    </w:lvl>
  </w:abstractNum>
  <w:abstractNum w:abstractNumId="19" w15:restartNumberingAfterBreak="0">
    <w:nsid w:val="4D881D34"/>
    <w:multiLevelType w:val="hybridMultilevel"/>
    <w:tmpl w:val="39D28CFE"/>
    <w:lvl w:ilvl="0" w:tplc="85FA538C">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06D1B11"/>
    <w:multiLevelType w:val="hybridMultilevel"/>
    <w:tmpl w:val="01243AA0"/>
    <w:lvl w:ilvl="0" w:tplc="6368F4D6">
      <w:start w:val="1"/>
      <w:numFmt w:val="bullet"/>
      <w:lvlText w:val=""/>
      <w:lvlJc w:val="left"/>
      <w:pPr>
        <w:ind w:left="959" w:hanging="408"/>
      </w:pPr>
      <w:rPr>
        <w:rFonts w:ascii="Symbol" w:eastAsia="Symbol" w:hAnsi="Symbol" w:hint="default"/>
        <w:sz w:val="22"/>
        <w:szCs w:val="22"/>
      </w:rPr>
    </w:lvl>
    <w:lvl w:ilvl="1" w:tplc="70B42FDA">
      <w:start w:val="1"/>
      <w:numFmt w:val="bullet"/>
      <w:lvlText w:val="•"/>
      <w:lvlJc w:val="left"/>
      <w:pPr>
        <w:ind w:left="1611" w:hanging="408"/>
      </w:pPr>
      <w:rPr>
        <w:rFonts w:hint="default"/>
      </w:rPr>
    </w:lvl>
    <w:lvl w:ilvl="2" w:tplc="34DE8AAA">
      <w:start w:val="1"/>
      <w:numFmt w:val="bullet"/>
      <w:lvlText w:val="•"/>
      <w:lvlJc w:val="left"/>
      <w:pPr>
        <w:ind w:left="2263" w:hanging="408"/>
      </w:pPr>
      <w:rPr>
        <w:rFonts w:hint="default"/>
      </w:rPr>
    </w:lvl>
    <w:lvl w:ilvl="3" w:tplc="16CC1258">
      <w:start w:val="1"/>
      <w:numFmt w:val="bullet"/>
      <w:lvlText w:val="•"/>
      <w:lvlJc w:val="left"/>
      <w:pPr>
        <w:ind w:left="2916" w:hanging="408"/>
      </w:pPr>
      <w:rPr>
        <w:rFonts w:hint="default"/>
      </w:rPr>
    </w:lvl>
    <w:lvl w:ilvl="4" w:tplc="F72A92F6">
      <w:start w:val="1"/>
      <w:numFmt w:val="bullet"/>
      <w:lvlText w:val="•"/>
      <w:lvlJc w:val="left"/>
      <w:pPr>
        <w:ind w:left="3568" w:hanging="408"/>
      </w:pPr>
      <w:rPr>
        <w:rFonts w:hint="default"/>
      </w:rPr>
    </w:lvl>
    <w:lvl w:ilvl="5" w:tplc="4A6A5634">
      <w:start w:val="1"/>
      <w:numFmt w:val="bullet"/>
      <w:lvlText w:val="•"/>
      <w:lvlJc w:val="left"/>
      <w:pPr>
        <w:ind w:left="4220" w:hanging="408"/>
      </w:pPr>
      <w:rPr>
        <w:rFonts w:hint="default"/>
      </w:rPr>
    </w:lvl>
    <w:lvl w:ilvl="6" w:tplc="70F4DA12">
      <w:start w:val="1"/>
      <w:numFmt w:val="bullet"/>
      <w:lvlText w:val="•"/>
      <w:lvlJc w:val="left"/>
      <w:pPr>
        <w:ind w:left="4873" w:hanging="408"/>
      </w:pPr>
      <w:rPr>
        <w:rFonts w:hint="default"/>
      </w:rPr>
    </w:lvl>
    <w:lvl w:ilvl="7" w:tplc="71F8912A">
      <w:start w:val="1"/>
      <w:numFmt w:val="bullet"/>
      <w:lvlText w:val="•"/>
      <w:lvlJc w:val="left"/>
      <w:pPr>
        <w:ind w:left="5525" w:hanging="408"/>
      </w:pPr>
      <w:rPr>
        <w:rFonts w:hint="default"/>
      </w:rPr>
    </w:lvl>
    <w:lvl w:ilvl="8" w:tplc="71BCD816">
      <w:start w:val="1"/>
      <w:numFmt w:val="bullet"/>
      <w:lvlText w:val="•"/>
      <w:lvlJc w:val="left"/>
      <w:pPr>
        <w:ind w:left="6177" w:hanging="408"/>
      </w:pPr>
      <w:rPr>
        <w:rFonts w:hint="default"/>
      </w:rPr>
    </w:lvl>
  </w:abstractNum>
  <w:abstractNum w:abstractNumId="21" w15:restartNumberingAfterBreak="0">
    <w:nsid w:val="50D953E1"/>
    <w:multiLevelType w:val="hybridMultilevel"/>
    <w:tmpl w:val="70CEEB36"/>
    <w:lvl w:ilvl="0" w:tplc="35600F92">
      <w:start w:val="1"/>
      <w:numFmt w:val="bullet"/>
      <w:lvlText w:val="—"/>
      <w:lvlJc w:val="left"/>
      <w:pPr>
        <w:ind w:left="720" w:hanging="360"/>
      </w:pPr>
      <w:rPr>
        <w:rFonts w:ascii="Calibri" w:eastAsia="Calibri" w:hAnsi="Calibri"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1750030"/>
    <w:multiLevelType w:val="hybridMultilevel"/>
    <w:tmpl w:val="B13E3D64"/>
    <w:lvl w:ilvl="0" w:tplc="71125CAE">
      <w:start w:val="1"/>
      <w:numFmt w:val="decimal"/>
      <w:lvlText w:val="%1."/>
      <w:lvlJc w:val="left"/>
      <w:pPr>
        <w:ind w:left="582" w:hanging="233"/>
      </w:pPr>
      <w:rPr>
        <w:rFonts w:ascii="Arial" w:eastAsia="Arial" w:hAnsi="Arial" w:hint="default"/>
        <w:sz w:val="21"/>
        <w:szCs w:val="21"/>
      </w:rPr>
    </w:lvl>
    <w:lvl w:ilvl="1" w:tplc="0E868396">
      <w:start w:val="1"/>
      <w:numFmt w:val="bullet"/>
      <w:lvlText w:val="•"/>
      <w:lvlJc w:val="left"/>
      <w:pPr>
        <w:ind w:left="1267" w:hanging="233"/>
      </w:pPr>
      <w:rPr>
        <w:rFonts w:hint="default"/>
      </w:rPr>
    </w:lvl>
    <w:lvl w:ilvl="2" w:tplc="AC6C1D98">
      <w:start w:val="1"/>
      <w:numFmt w:val="bullet"/>
      <w:lvlText w:val="•"/>
      <w:lvlJc w:val="left"/>
      <w:pPr>
        <w:ind w:left="1952" w:hanging="233"/>
      </w:pPr>
      <w:rPr>
        <w:rFonts w:hint="default"/>
      </w:rPr>
    </w:lvl>
    <w:lvl w:ilvl="3" w:tplc="CE2E356E">
      <w:start w:val="1"/>
      <w:numFmt w:val="bullet"/>
      <w:lvlText w:val="•"/>
      <w:lvlJc w:val="left"/>
      <w:pPr>
        <w:ind w:left="2637" w:hanging="233"/>
      </w:pPr>
      <w:rPr>
        <w:rFonts w:hint="default"/>
      </w:rPr>
    </w:lvl>
    <w:lvl w:ilvl="4" w:tplc="189A3030">
      <w:start w:val="1"/>
      <w:numFmt w:val="bullet"/>
      <w:lvlText w:val="•"/>
      <w:lvlJc w:val="left"/>
      <w:pPr>
        <w:ind w:left="3322" w:hanging="233"/>
      </w:pPr>
      <w:rPr>
        <w:rFonts w:hint="default"/>
      </w:rPr>
    </w:lvl>
    <w:lvl w:ilvl="5" w:tplc="2780E2E2">
      <w:start w:val="1"/>
      <w:numFmt w:val="bullet"/>
      <w:lvlText w:val="•"/>
      <w:lvlJc w:val="left"/>
      <w:pPr>
        <w:ind w:left="4007" w:hanging="233"/>
      </w:pPr>
      <w:rPr>
        <w:rFonts w:hint="default"/>
      </w:rPr>
    </w:lvl>
    <w:lvl w:ilvl="6" w:tplc="B876149E">
      <w:start w:val="1"/>
      <w:numFmt w:val="bullet"/>
      <w:lvlText w:val="•"/>
      <w:lvlJc w:val="left"/>
      <w:pPr>
        <w:ind w:left="4692" w:hanging="233"/>
      </w:pPr>
      <w:rPr>
        <w:rFonts w:hint="default"/>
      </w:rPr>
    </w:lvl>
    <w:lvl w:ilvl="7" w:tplc="7A1E6BB6">
      <w:start w:val="1"/>
      <w:numFmt w:val="bullet"/>
      <w:lvlText w:val="•"/>
      <w:lvlJc w:val="left"/>
      <w:pPr>
        <w:ind w:left="5377" w:hanging="233"/>
      </w:pPr>
      <w:rPr>
        <w:rFonts w:hint="default"/>
      </w:rPr>
    </w:lvl>
    <w:lvl w:ilvl="8" w:tplc="AD70346E">
      <w:start w:val="1"/>
      <w:numFmt w:val="bullet"/>
      <w:lvlText w:val="•"/>
      <w:lvlJc w:val="left"/>
      <w:pPr>
        <w:ind w:left="6061" w:hanging="233"/>
      </w:pPr>
      <w:rPr>
        <w:rFonts w:hint="default"/>
      </w:rPr>
    </w:lvl>
  </w:abstractNum>
  <w:abstractNum w:abstractNumId="23" w15:restartNumberingAfterBreak="0">
    <w:nsid w:val="62FF2B4F"/>
    <w:multiLevelType w:val="hybridMultilevel"/>
    <w:tmpl w:val="878ED7CC"/>
    <w:lvl w:ilvl="0" w:tplc="6BDE9BBA">
      <w:start w:val="1"/>
      <w:numFmt w:val="bullet"/>
      <w:lvlText w:val="-"/>
      <w:lvlJc w:val="left"/>
      <w:pPr>
        <w:ind w:left="205" w:hanging="120"/>
      </w:pPr>
      <w:rPr>
        <w:rFonts w:ascii="Arial" w:eastAsia="Arial" w:hAnsi="Arial" w:hint="default"/>
        <w:w w:val="116"/>
        <w:sz w:val="18"/>
        <w:szCs w:val="18"/>
      </w:rPr>
    </w:lvl>
    <w:lvl w:ilvl="1" w:tplc="CF92CAD6">
      <w:start w:val="1"/>
      <w:numFmt w:val="bullet"/>
      <w:lvlText w:val="•"/>
      <w:lvlJc w:val="left"/>
      <w:pPr>
        <w:ind w:left="579" w:hanging="120"/>
      </w:pPr>
      <w:rPr>
        <w:rFonts w:hint="default"/>
      </w:rPr>
    </w:lvl>
    <w:lvl w:ilvl="2" w:tplc="FA4CF096">
      <w:start w:val="1"/>
      <w:numFmt w:val="bullet"/>
      <w:lvlText w:val="•"/>
      <w:lvlJc w:val="left"/>
      <w:pPr>
        <w:ind w:left="954" w:hanging="120"/>
      </w:pPr>
      <w:rPr>
        <w:rFonts w:hint="default"/>
      </w:rPr>
    </w:lvl>
    <w:lvl w:ilvl="3" w:tplc="3C9221B8">
      <w:start w:val="1"/>
      <w:numFmt w:val="bullet"/>
      <w:lvlText w:val="•"/>
      <w:lvlJc w:val="left"/>
      <w:pPr>
        <w:ind w:left="1329" w:hanging="120"/>
      </w:pPr>
      <w:rPr>
        <w:rFonts w:hint="default"/>
      </w:rPr>
    </w:lvl>
    <w:lvl w:ilvl="4" w:tplc="F118C8BA">
      <w:start w:val="1"/>
      <w:numFmt w:val="bullet"/>
      <w:lvlText w:val="•"/>
      <w:lvlJc w:val="left"/>
      <w:pPr>
        <w:ind w:left="1703" w:hanging="120"/>
      </w:pPr>
      <w:rPr>
        <w:rFonts w:hint="default"/>
      </w:rPr>
    </w:lvl>
    <w:lvl w:ilvl="5" w:tplc="13449F58">
      <w:start w:val="1"/>
      <w:numFmt w:val="bullet"/>
      <w:lvlText w:val="•"/>
      <w:lvlJc w:val="left"/>
      <w:pPr>
        <w:ind w:left="2078" w:hanging="120"/>
      </w:pPr>
      <w:rPr>
        <w:rFonts w:hint="default"/>
      </w:rPr>
    </w:lvl>
    <w:lvl w:ilvl="6" w:tplc="779E4574">
      <w:start w:val="1"/>
      <w:numFmt w:val="bullet"/>
      <w:lvlText w:val="•"/>
      <w:lvlJc w:val="left"/>
      <w:pPr>
        <w:ind w:left="2452" w:hanging="120"/>
      </w:pPr>
      <w:rPr>
        <w:rFonts w:hint="default"/>
      </w:rPr>
    </w:lvl>
    <w:lvl w:ilvl="7" w:tplc="D5B4FDCE">
      <w:start w:val="1"/>
      <w:numFmt w:val="bullet"/>
      <w:lvlText w:val="•"/>
      <w:lvlJc w:val="left"/>
      <w:pPr>
        <w:ind w:left="2827" w:hanging="120"/>
      </w:pPr>
      <w:rPr>
        <w:rFonts w:hint="default"/>
      </w:rPr>
    </w:lvl>
    <w:lvl w:ilvl="8" w:tplc="5EF08766">
      <w:start w:val="1"/>
      <w:numFmt w:val="bullet"/>
      <w:lvlText w:val="•"/>
      <w:lvlJc w:val="left"/>
      <w:pPr>
        <w:ind w:left="3202" w:hanging="120"/>
      </w:pPr>
      <w:rPr>
        <w:rFonts w:hint="default"/>
      </w:rPr>
    </w:lvl>
  </w:abstractNum>
  <w:abstractNum w:abstractNumId="24" w15:restartNumberingAfterBreak="0">
    <w:nsid w:val="677B15ED"/>
    <w:multiLevelType w:val="multilevel"/>
    <w:tmpl w:val="9F26E2E8"/>
    <w:lvl w:ilvl="0">
      <w:start w:val="4"/>
      <w:numFmt w:val="decimal"/>
      <w:lvlText w:val="%1"/>
      <w:lvlJc w:val="left"/>
      <w:pPr>
        <w:ind w:left="1002" w:hanging="850"/>
      </w:pPr>
      <w:rPr>
        <w:rFonts w:hint="default"/>
      </w:rPr>
    </w:lvl>
    <w:lvl w:ilvl="1">
      <w:start w:val="4"/>
      <w:numFmt w:val="decimal"/>
      <w:lvlText w:val="%1.%2"/>
      <w:lvlJc w:val="left"/>
      <w:pPr>
        <w:ind w:left="1002" w:hanging="850"/>
      </w:pPr>
      <w:rPr>
        <w:rFonts w:hint="default"/>
      </w:rPr>
    </w:lvl>
    <w:lvl w:ilvl="2">
      <w:start w:val="3"/>
      <w:numFmt w:val="decimal"/>
      <w:lvlText w:val="%1.%2.%3"/>
      <w:lvlJc w:val="left"/>
      <w:pPr>
        <w:ind w:left="1002" w:hanging="850"/>
      </w:pPr>
      <w:rPr>
        <w:rFonts w:ascii="Arial" w:eastAsia="Arial" w:hAnsi="Arial" w:hint="default"/>
        <w:i/>
        <w:sz w:val="21"/>
        <w:szCs w:val="21"/>
      </w:rPr>
    </w:lvl>
    <w:lvl w:ilvl="3">
      <w:start w:val="1"/>
      <w:numFmt w:val="bullet"/>
      <w:lvlText w:val=""/>
      <w:lvlJc w:val="left"/>
      <w:pPr>
        <w:ind w:left="1002" w:hanging="408"/>
      </w:pPr>
      <w:rPr>
        <w:rFonts w:ascii="Symbol" w:eastAsia="Symbol" w:hAnsi="Symbol" w:hint="default"/>
        <w:sz w:val="22"/>
        <w:szCs w:val="22"/>
      </w:rPr>
    </w:lvl>
    <w:lvl w:ilvl="4">
      <w:start w:val="1"/>
      <w:numFmt w:val="bullet"/>
      <w:lvlText w:val="•"/>
      <w:lvlJc w:val="left"/>
      <w:pPr>
        <w:ind w:left="3132" w:hanging="408"/>
      </w:pPr>
      <w:rPr>
        <w:rFonts w:hint="default"/>
      </w:rPr>
    </w:lvl>
    <w:lvl w:ilvl="5">
      <w:start w:val="1"/>
      <w:numFmt w:val="bullet"/>
      <w:lvlText w:val="•"/>
      <w:lvlJc w:val="left"/>
      <w:pPr>
        <w:ind w:left="3842" w:hanging="408"/>
      </w:pPr>
      <w:rPr>
        <w:rFonts w:hint="default"/>
      </w:rPr>
    </w:lvl>
    <w:lvl w:ilvl="6">
      <w:start w:val="1"/>
      <w:numFmt w:val="bullet"/>
      <w:lvlText w:val="•"/>
      <w:lvlJc w:val="left"/>
      <w:pPr>
        <w:ind w:left="4552" w:hanging="408"/>
      </w:pPr>
      <w:rPr>
        <w:rFonts w:hint="default"/>
      </w:rPr>
    </w:lvl>
    <w:lvl w:ilvl="7">
      <w:start w:val="1"/>
      <w:numFmt w:val="bullet"/>
      <w:lvlText w:val="•"/>
      <w:lvlJc w:val="left"/>
      <w:pPr>
        <w:ind w:left="5262" w:hanging="408"/>
      </w:pPr>
      <w:rPr>
        <w:rFonts w:hint="default"/>
      </w:rPr>
    </w:lvl>
    <w:lvl w:ilvl="8">
      <w:start w:val="1"/>
      <w:numFmt w:val="bullet"/>
      <w:lvlText w:val="•"/>
      <w:lvlJc w:val="left"/>
      <w:pPr>
        <w:ind w:left="5971" w:hanging="408"/>
      </w:pPr>
      <w:rPr>
        <w:rFonts w:hint="default"/>
      </w:rPr>
    </w:lvl>
  </w:abstractNum>
  <w:abstractNum w:abstractNumId="25" w15:restartNumberingAfterBreak="0">
    <w:nsid w:val="68FF5548"/>
    <w:multiLevelType w:val="hybridMultilevel"/>
    <w:tmpl w:val="0B10BFAE"/>
    <w:lvl w:ilvl="0" w:tplc="E9BC500E">
      <w:start w:val="1"/>
      <w:numFmt w:val="decimal"/>
      <w:lvlText w:val="%1."/>
      <w:lvlJc w:val="left"/>
      <w:pPr>
        <w:ind w:left="557" w:hanging="245"/>
        <w:jc w:val="right"/>
      </w:pPr>
      <w:rPr>
        <w:rFonts w:ascii="Arial" w:eastAsia="Arial" w:hAnsi="Arial" w:hint="default"/>
        <w:b/>
        <w:bCs/>
        <w:spacing w:val="-1"/>
        <w:sz w:val="22"/>
        <w:szCs w:val="22"/>
      </w:rPr>
    </w:lvl>
    <w:lvl w:ilvl="1" w:tplc="B1E64712">
      <w:start w:val="1"/>
      <w:numFmt w:val="decimal"/>
      <w:lvlText w:val="%2."/>
      <w:lvlJc w:val="left"/>
      <w:pPr>
        <w:ind w:left="1162" w:hanging="409"/>
      </w:pPr>
      <w:rPr>
        <w:rFonts w:ascii="Arial" w:eastAsia="Arial" w:hAnsi="Arial" w:hint="default"/>
        <w:sz w:val="21"/>
        <w:szCs w:val="21"/>
      </w:rPr>
    </w:lvl>
    <w:lvl w:ilvl="2" w:tplc="C93A4F4A">
      <w:start w:val="1"/>
      <w:numFmt w:val="bullet"/>
      <w:lvlText w:val="•"/>
      <w:lvlJc w:val="left"/>
      <w:pPr>
        <w:ind w:left="1890" w:hanging="409"/>
      </w:pPr>
      <w:rPr>
        <w:rFonts w:hint="default"/>
      </w:rPr>
    </w:lvl>
    <w:lvl w:ilvl="3" w:tplc="364EAFA6">
      <w:start w:val="1"/>
      <w:numFmt w:val="bullet"/>
      <w:lvlText w:val="•"/>
      <w:lvlJc w:val="left"/>
      <w:pPr>
        <w:ind w:left="2618" w:hanging="409"/>
      </w:pPr>
      <w:rPr>
        <w:rFonts w:hint="default"/>
      </w:rPr>
    </w:lvl>
    <w:lvl w:ilvl="4" w:tplc="E66A10E2">
      <w:start w:val="1"/>
      <w:numFmt w:val="bullet"/>
      <w:lvlText w:val="•"/>
      <w:lvlJc w:val="left"/>
      <w:pPr>
        <w:ind w:left="3345" w:hanging="409"/>
      </w:pPr>
      <w:rPr>
        <w:rFonts w:hint="default"/>
      </w:rPr>
    </w:lvl>
    <w:lvl w:ilvl="5" w:tplc="17F8C38E">
      <w:start w:val="1"/>
      <w:numFmt w:val="bullet"/>
      <w:lvlText w:val="•"/>
      <w:lvlJc w:val="left"/>
      <w:pPr>
        <w:ind w:left="4073" w:hanging="409"/>
      </w:pPr>
      <w:rPr>
        <w:rFonts w:hint="default"/>
      </w:rPr>
    </w:lvl>
    <w:lvl w:ilvl="6" w:tplc="C6345808">
      <w:start w:val="1"/>
      <w:numFmt w:val="bullet"/>
      <w:lvlText w:val="•"/>
      <w:lvlJc w:val="left"/>
      <w:pPr>
        <w:ind w:left="4801" w:hanging="409"/>
      </w:pPr>
      <w:rPr>
        <w:rFonts w:hint="default"/>
      </w:rPr>
    </w:lvl>
    <w:lvl w:ilvl="7" w:tplc="9D74F73C">
      <w:start w:val="1"/>
      <w:numFmt w:val="bullet"/>
      <w:lvlText w:val="•"/>
      <w:lvlJc w:val="left"/>
      <w:pPr>
        <w:ind w:left="5528" w:hanging="409"/>
      </w:pPr>
      <w:rPr>
        <w:rFonts w:hint="default"/>
      </w:rPr>
    </w:lvl>
    <w:lvl w:ilvl="8" w:tplc="6DACFD92">
      <w:start w:val="1"/>
      <w:numFmt w:val="bullet"/>
      <w:lvlText w:val="•"/>
      <w:lvlJc w:val="left"/>
      <w:pPr>
        <w:ind w:left="6256" w:hanging="409"/>
      </w:pPr>
      <w:rPr>
        <w:rFonts w:hint="default"/>
      </w:rPr>
    </w:lvl>
  </w:abstractNum>
  <w:abstractNum w:abstractNumId="26" w15:restartNumberingAfterBreak="0">
    <w:nsid w:val="6AC8504E"/>
    <w:multiLevelType w:val="hybridMultilevel"/>
    <w:tmpl w:val="1A18651E"/>
    <w:lvl w:ilvl="0" w:tplc="89E45C1A">
      <w:start w:val="1"/>
      <w:numFmt w:val="bullet"/>
      <w:lvlText w:val="-"/>
      <w:lvlJc w:val="left"/>
      <w:pPr>
        <w:ind w:left="279" w:hanging="120"/>
      </w:pPr>
      <w:rPr>
        <w:rFonts w:ascii="Arial" w:eastAsia="Arial" w:hAnsi="Arial" w:hint="default"/>
        <w:w w:val="116"/>
        <w:sz w:val="18"/>
        <w:szCs w:val="18"/>
      </w:rPr>
    </w:lvl>
    <w:lvl w:ilvl="1" w:tplc="E16EC860">
      <w:start w:val="1"/>
      <w:numFmt w:val="bullet"/>
      <w:lvlText w:val="•"/>
      <w:lvlJc w:val="left"/>
      <w:pPr>
        <w:ind w:left="1022" w:hanging="120"/>
      </w:pPr>
      <w:rPr>
        <w:rFonts w:hint="default"/>
      </w:rPr>
    </w:lvl>
    <w:lvl w:ilvl="2" w:tplc="C9568548">
      <w:start w:val="1"/>
      <w:numFmt w:val="bullet"/>
      <w:lvlText w:val="•"/>
      <w:lvlJc w:val="left"/>
      <w:pPr>
        <w:ind w:left="1765" w:hanging="120"/>
      </w:pPr>
      <w:rPr>
        <w:rFonts w:hint="default"/>
      </w:rPr>
    </w:lvl>
    <w:lvl w:ilvl="3" w:tplc="B310E212">
      <w:start w:val="1"/>
      <w:numFmt w:val="bullet"/>
      <w:lvlText w:val="•"/>
      <w:lvlJc w:val="left"/>
      <w:pPr>
        <w:ind w:left="2509" w:hanging="120"/>
      </w:pPr>
      <w:rPr>
        <w:rFonts w:hint="default"/>
      </w:rPr>
    </w:lvl>
    <w:lvl w:ilvl="4" w:tplc="859295E4">
      <w:start w:val="1"/>
      <w:numFmt w:val="bullet"/>
      <w:lvlText w:val="•"/>
      <w:lvlJc w:val="left"/>
      <w:pPr>
        <w:ind w:left="3252" w:hanging="120"/>
      </w:pPr>
      <w:rPr>
        <w:rFonts w:hint="default"/>
      </w:rPr>
    </w:lvl>
    <w:lvl w:ilvl="5" w:tplc="B2227330">
      <w:start w:val="1"/>
      <w:numFmt w:val="bullet"/>
      <w:lvlText w:val="•"/>
      <w:lvlJc w:val="left"/>
      <w:pPr>
        <w:ind w:left="3995" w:hanging="120"/>
      </w:pPr>
      <w:rPr>
        <w:rFonts w:hint="default"/>
      </w:rPr>
    </w:lvl>
    <w:lvl w:ilvl="6" w:tplc="5B7AB122">
      <w:start w:val="1"/>
      <w:numFmt w:val="bullet"/>
      <w:lvlText w:val="•"/>
      <w:lvlJc w:val="left"/>
      <w:pPr>
        <w:ind w:left="4738" w:hanging="120"/>
      </w:pPr>
      <w:rPr>
        <w:rFonts w:hint="default"/>
      </w:rPr>
    </w:lvl>
    <w:lvl w:ilvl="7" w:tplc="D5B418E2">
      <w:start w:val="1"/>
      <w:numFmt w:val="bullet"/>
      <w:lvlText w:val="•"/>
      <w:lvlJc w:val="left"/>
      <w:pPr>
        <w:ind w:left="5482" w:hanging="120"/>
      </w:pPr>
      <w:rPr>
        <w:rFonts w:hint="default"/>
      </w:rPr>
    </w:lvl>
    <w:lvl w:ilvl="8" w:tplc="D798993E">
      <w:start w:val="1"/>
      <w:numFmt w:val="bullet"/>
      <w:lvlText w:val="•"/>
      <w:lvlJc w:val="left"/>
      <w:pPr>
        <w:ind w:left="6225" w:hanging="120"/>
      </w:pPr>
      <w:rPr>
        <w:rFonts w:hint="default"/>
      </w:rPr>
    </w:lvl>
  </w:abstractNum>
  <w:abstractNum w:abstractNumId="27" w15:restartNumberingAfterBreak="0">
    <w:nsid w:val="6C856A7F"/>
    <w:multiLevelType w:val="hybridMultilevel"/>
    <w:tmpl w:val="D556E5DE"/>
    <w:lvl w:ilvl="0" w:tplc="F1F62964">
      <w:start w:val="1"/>
      <w:numFmt w:val="decimal"/>
      <w:lvlText w:val="%1."/>
      <w:lvlJc w:val="left"/>
      <w:pPr>
        <w:ind w:left="569" w:hanging="269"/>
      </w:pPr>
      <w:rPr>
        <w:rFonts w:ascii="Arial" w:eastAsia="Arial" w:hAnsi="Arial" w:hint="default"/>
        <w:sz w:val="24"/>
        <w:szCs w:val="24"/>
      </w:rPr>
    </w:lvl>
    <w:lvl w:ilvl="1" w:tplc="51F806EA">
      <w:start w:val="1"/>
      <w:numFmt w:val="bullet"/>
      <w:lvlText w:val="•"/>
      <w:lvlJc w:val="left"/>
      <w:pPr>
        <w:ind w:left="1333" w:hanging="269"/>
      </w:pPr>
      <w:rPr>
        <w:rFonts w:hint="default"/>
      </w:rPr>
    </w:lvl>
    <w:lvl w:ilvl="2" w:tplc="83084E5A">
      <w:start w:val="1"/>
      <w:numFmt w:val="bullet"/>
      <w:lvlText w:val="•"/>
      <w:lvlJc w:val="left"/>
      <w:pPr>
        <w:ind w:left="2097" w:hanging="269"/>
      </w:pPr>
      <w:rPr>
        <w:rFonts w:hint="default"/>
      </w:rPr>
    </w:lvl>
    <w:lvl w:ilvl="3" w:tplc="38E288FA">
      <w:start w:val="1"/>
      <w:numFmt w:val="bullet"/>
      <w:lvlText w:val="•"/>
      <w:lvlJc w:val="left"/>
      <w:pPr>
        <w:ind w:left="2861" w:hanging="269"/>
      </w:pPr>
      <w:rPr>
        <w:rFonts w:hint="default"/>
      </w:rPr>
    </w:lvl>
    <w:lvl w:ilvl="4" w:tplc="4BBA7472">
      <w:start w:val="1"/>
      <w:numFmt w:val="bullet"/>
      <w:lvlText w:val="•"/>
      <w:lvlJc w:val="left"/>
      <w:pPr>
        <w:ind w:left="3626" w:hanging="269"/>
      </w:pPr>
      <w:rPr>
        <w:rFonts w:hint="default"/>
      </w:rPr>
    </w:lvl>
    <w:lvl w:ilvl="5" w:tplc="BF5EEE0A">
      <w:start w:val="1"/>
      <w:numFmt w:val="bullet"/>
      <w:lvlText w:val="•"/>
      <w:lvlJc w:val="left"/>
      <w:pPr>
        <w:ind w:left="4390" w:hanging="269"/>
      </w:pPr>
      <w:rPr>
        <w:rFonts w:hint="default"/>
      </w:rPr>
    </w:lvl>
    <w:lvl w:ilvl="6" w:tplc="A2CE60DA">
      <w:start w:val="1"/>
      <w:numFmt w:val="bullet"/>
      <w:lvlText w:val="•"/>
      <w:lvlJc w:val="left"/>
      <w:pPr>
        <w:ind w:left="5154" w:hanging="269"/>
      </w:pPr>
      <w:rPr>
        <w:rFonts w:hint="default"/>
      </w:rPr>
    </w:lvl>
    <w:lvl w:ilvl="7" w:tplc="F39C6382">
      <w:start w:val="1"/>
      <w:numFmt w:val="bullet"/>
      <w:lvlText w:val="•"/>
      <w:lvlJc w:val="left"/>
      <w:pPr>
        <w:ind w:left="5918" w:hanging="269"/>
      </w:pPr>
      <w:rPr>
        <w:rFonts w:hint="default"/>
      </w:rPr>
    </w:lvl>
    <w:lvl w:ilvl="8" w:tplc="E73207AE">
      <w:start w:val="1"/>
      <w:numFmt w:val="bullet"/>
      <w:lvlText w:val="•"/>
      <w:lvlJc w:val="left"/>
      <w:pPr>
        <w:ind w:left="6683" w:hanging="269"/>
      </w:pPr>
      <w:rPr>
        <w:rFonts w:hint="default"/>
      </w:rPr>
    </w:lvl>
  </w:abstractNum>
  <w:abstractNum w:abstractNumId="28" w15:restartNumberingAfterBreak="0">
    <w:nsid w:val="6CB10C7E"/>
    <w:multiLevelType w:val="multilevel"/>
    <w:tmpl w:val="6D724F20"/>
    <w:lvl w:ilvl="0">
      <w:start w:val="6"/>
      <w:numFmt w:val="decimal"/>
      <w:lvlText w:val="%1"/>
      <w:lvlJc w:val="left"/>
      <w:pPr>
        <w:ind w:left="153" w:hanging="490"/>
      </w:pPr>
      <w:rPr>
        <w:rFonts w:hint="default"/>
      </w:rPr>
    </w:lvl>
    <w:lvl w:ilvl="1">
      <w:start w:val="1"/>
      <w:numFmt w:val="decimal"/>
      <w:lvlText w:val="%1.%2."/>
      <w:lvlJc w:val="left"/>
      <w:pPr>
        <w:ind w:left="153" w:hanging="490"/>
      </w:pPr>
      <w:rPr>
        <w:rFonts w:ascii="Arial" w:eastAsia="Arial" w:hAnsi="Arial" w:hint="default"/>
        <w:b/>
        <w:bCs/>
        <w:i/>
        <w:spacing w:val="-1"/>
        <w:sz w:val="22"/>
        <w:szCs w:val="22"/>
      </w:rPr>
    </w:lvl>
    <w:lvl w:ilvl="2">
      <w:start w:val="1"/>
      <w:numFmt w:val="decimal"/>
      <w:lvlText w:val="%3."/>
      <w:lvlJc w:val="left"/>
      <w:pPr>
        <w:ind w:left="1084" w:hanging="409"/>
      </w:pPr>
      <w:rPr>
        <w:rFonts w:ascii="Arial" w:eastAsia="Arial" w:hAnsi="Arial" w:hint="default"/>
        <w:b/>
        <w:bCs/>
        <w:sz w:val="18"/>
        <w:szCs w:val="18"/>
      </w:rPr>
    </w:lvl>
    <w:lvl w:ilvl="3">
      <w:start w:val="1"/>
      <w:numFmt w:val="bullet"/>
      <w:lvlText w:val="•"/>
      <w:lvlJc w:val="left"/>
      <w:pPr>
        <w:ind w:left="2561" w:hanging="409"/>
      </w:pPr>
      <w:rPr>
        <w:rFonts w:hint="default"/>
      </w:rPr>
    </w:lvl>
    <w:lvl w:ilvl="4">
      <w:start w:val="1"/>
      <w:numFmt w:val="bullet"/>
      <w:lvlText w:val="•"/>
      <w:lvlJc w:val="left"/>
      <w:pPr>
        <w:ind w:left="3300" w:hanging="409"/>
      </w:pPr>
      <w:rPr>
        <w:rFonts w:hint="default"/>
      </w:rPr>
    </w:lvl>
    <w:lvl w:ilvl="5">
      <w:start w:val="1"/>
      <w:numFmt w:val="bullet"/>
      <w:lvlText w:val="•"/>
      <w:lvlJc w:val="left"/>
      <w:pPr>
        <w:ind w:left="4038" w:hanging="409"/>
      </w:pPr>
      <w:rPr>
        <w:rFonts w:hint="default"/>
      </w:rPr>
    </w:lvl>
    <w:lvl w:ilvl="6">
      <w:start w:val="1"/>
      <w:numFmt w:val="bullet"/>
      <w:lvlText w:val="•"/>
      <w:lvlJc w:val="left"/>
      <w:pPr>
        <w:ind w:left="4777" w:hanging="409"/>
      </w:pPr>
      <w:rPr>
        <w:rFonts w:hint="default"/>
      </w:rPr>
    </w:lvl>
    <w:lvl w:ilvl="7">
      <w:start w:val="1"/>
      <w:numFmt w:val="bullet"/>
      <w:lvlText w:val="•"/>
      <w:lvlJc w:val="left"/>
      <w:pPr>
        <w:ind w:left="5515" w:hanging="409"/>
      </w:pPr>
      <w:rPr>
        <w:rFonts w:hint="default"/>
      </w:rPr>
    </w:lvl>
    <w:lvl w:ilvl="8">
      <w:start w:val="1"/>
      <w:numFmt w:val="bullet"/>
      <w:lvlText w:val="•"/>
      <w:lvlJc w:val="left"/>
      <w:pPr>
        <w:ind w:left="6254" w:hanging="409"/>
      </w:pPr>
      <w:rPr>
        <w:rFonts w:hint="default"/>
      </w:rPr>
    </w:lvl>
  </w:abstractNum>
  <w:abstractNum w:abstractNumId="29" w15:restartNumberingAfterBreak="0">
    <w:nsid w:val="6D772A54"/>
    <w:multiLevelType w:val="hybridMultilevel"/>
    <w:tmpl w:val="14F45A46"/>
    <w:lvl w:ilvl="0" w:tplc="813C829C">
      <w:start w:val="1"/>
      <w:numFmt w:val="decimal"/>
      <w:lvlText w:val="%1."/>
      <w:lvlJc w:val="left"/>
      <w:pPr>
        <w:ind w:left="153" w:hanging="248"/>
      </w:pPr>
      <w:rPr>
        <w:rFonts w:ascii="Arial" w:eastAsia="Arial" w:hAnsi="Arial" w:hint="default"/>
        <w:b/>
        <w:bCs/>
        <w:spacing w:val="-1"/>
        <w:sz w:val="22"/>
        <w:szCs w:val="22"/>
      </w:rPr>
    </w:lvl>
    <w:lvl w:ilvl="1" w:tplc="17C43F3E">
      <w:start w:val="1"/>
      <w:numFmt w:val="bullet"/>
      <w:lvlText w:val="•"/>
      <w:lvlJc w:val="left"/>
      <w:pPr>
        <w:ind w:left="153" w:hanging="409"/>
      </w:pPr>
      <w:rPr>
        <w:rFonts w:ascii="Arial" w:eastAsia="Arial" w:hAnsi="Arial" w:hint="default"/>
        <w:w w:val="143"/>
        <w:sz w:val="21"/>
        <w:szCs w:val="21"/>
      </w:rPr>
    </w:lvl>
    <w:lvl w:ilvl="2" w:tplc="9AAC64F0">
      <w:start w:val="1"/>
      <w:numFmt w:val="bullet"/>
      <w:lvlText w:val="•"/>
      <w:lvlJc w:val="left"/>
      <w:pPr>
        <w:ind w:left="991" w:hanging="409"/>
      </w:pPr>
      <w:rPr>
        <w:rFonts w:hint="default"/>
      </w:rPr>
    </w:lvl>
    <w:lvl w:ilvl="3" w:tplc="E7E2782C">
      <w:start w:val="1"/>
      <w:numFmt w:val="bullet"/>
      <w:lvlText w:val="•"/>
      <w:lvlJc w:val="left"/>
      <w:pPr>
        <w:ind w:left="1828" w:hanging="409"/>
      </w:pPr>
      <w:rPr>
        <w:rFonts w:hint="default"/>
      </w:rPr>
    </w:lvl>
    <w:lvl w:ilvl="4" w:tplc="95BA9EA2">
      <w:start w:val="1"/>
      <w:numFmt w:val="bullet"/>
      <w:lvlText w:val="•"/>
      <w:lvlJc w:val="left"/>
      <w:pPr>
        <w:ind w:left="2666" w:hanging="409"/>
      </w:pPr>
      <w:rPr>
        <w:rFonts w:hint="default"/>
      </w:rPr>
    </w:lvl>
    <w:lvl w:ilvl="5" w:tplc="3B8A73DE">
      <w:start w:val="1"/>
      <w:numFmt w:val="bullet"/>
      <w:lvlText w:val="•"/>
      <w:lvlJc w:val="left"/>
      <w:pPr>
        <w:ind w:left="3503" w:hanging="409"/>
      </w:pPr>
      <w:rPr>
        <w:rFonts w:hint="default"/>
      </w:rPr>
    </w:lvl>
    <w:lvl w:ilvl="6" w:tplc="6D50F478">
      <w:start w:val="1"/>
      <w:numFmt w:val="bullet"/>
      <w:lvlText w:val="•"/>
      <w:lvlJc w:val="left"/>
      <w:pPr>
        <w:ind w:left="4341" w:hanging="409"/>
      </w:pPr>
      <w:rPr>
        <w:rFonts w:hint="default"/>
      </w:rPr>
    </w:lvl>
    <w:lvl w:ilvl="7" w:tplc="26BA0A6C">
      <w:start w:val="1"/>
      <w:numFmt w:val="bullet"/>
      <w:lvlText w:val="•"/>
      <w:lvlJc w:val="left"/>
      <w:pPr>
        <w:ind w:left="5179" w:hanging="409"/>
      </w:pPr>
      <w:rPr>
        <w:rFonts w:hint="default"/>
      </w:rPr>
    </w:lvl>
    <w:lvl w:ilvl="8" w:tplc="5198A448">
      <w:start w:val="1"/>
      <w:numFmt w:val="bullet"/>
      <w:lvlText w:val="•"/>
      <w:lvlJc w:val="left"/>
      <w:pPr>
        <w:ind w:left="6016" w:hanging="409"/>
      </w:pPr>
      <w:rPr>
        <w:rFonts w:hint="default"/>
      </w:rPr>
    </w:lvl>
  </w:abstractNum>
  <w:abstractNum w:abstractNumId="30" w15:restartNumberingAfterBreak="0">
    <w:nsid w:val="72817FAC"/>
    <w:multiLevelType w:val="hybridMultilevel"/>
    <w:tmpl w:val="7120390C"/>
    <w:lvl w:ilvl="0" w:tplc="D4926730">
      <w:start w:val="1"/>
      <w:numFmt w:val="decimal"/>
      <w:lvlText w:val="%1."/>
      <w:lvlJc w:val="left"/>
      <w:pPr>
        <w:ind w:left="609" w:hanging="269"/>
      </w:pPr>
      <w:rPr>
        <w:rFonts w:ascii="Arial" w:eastAsia="Arial" w:hAnsi="Arial" w:hint="default"/>
        <w:sz w:val="24"/>
        <w:szCs w:val="24"/>
      </w:rPr>
    </w:lvl>
    <w:lvl w:ilvl="1" w:tplc="3004996E">
      <w:start w:val="1"/>
      <w:numFmt w:val="bullet"/>
      <w:lvlText w:val="•"/>
      <w:lvlJc w:val="left"/>
      <w:pPr>
        <w:ind w:left="1291" w:hanging="269"/>
      </w:pPr>
      <w:rPr>
        <w:rFonts w:hint="default"/>
      </w:rPr>
    </w:lvl>
    <w:lvl w:ilvl="2" w:tplc="A1BE76C0">
      <w:start w:val="1"/>
      <w:numFmt w:val="bullet"/>
      <w:lvlText w:val="•"/>
      <w:lvlJc w:val="left"/>
      <w:pPr>
        <w:ind w:left="1973" w:hanging="269"/>
      </w:pPr>
      <w:rPr>
        <w:rFonts w:hint="default"/>
      </w:rPr>
    </w:lvl>
    <w:lvl w:ilvl="3" w:tplc="347CF1A2">
      <w:start w:val="1"/>
      <w:numFmt w:val="bullet"/>
      <w:lvlText w:val="•"/>
      <w:lvlJc w:val="left"/>
      <w:pPr>
        <w:ind w:left="2655" w:hanging="269"/>
      </w:pPr>
      <w:rPr>
        <w:rFonts w:hint="default"/>
      </w:rPr>
    </w:lvl>
    <w:lvl w:ilvl="4" w:tplc="7AC415B6">
      <w:start w:val="1"/>
      <w:numFmt w:val="bullet"/>
      <w:lvlText w:val="•"/>
      <w:lvlJc w:val="left"/>
      <w:pPr>
        <w:ind w:left="3338" w:hanging="269"/>
      </w:pPr>
      <w:rPr>
        <w:rFonts w:hint="default"/>
      </w:rPr>
    </w:lvl>
    <w:lvl w:ilvl="5" w:tplc="491057B6">
      <w:start w:val="1"/>
      <w:numFmt w:val="bullet"/>
      <w:lvlText w:val="•"/>
      <w:lvlJc w:val="left"/>
      <w:pPr>
        <w:ind w:left="4020" w:hanging="269"/>
      </w:pPr>
      <w:rPr>
        <w:rFonts w:hint="default"/>
      </w:rPr>
    </w:lvl>
    <w:lvl w:ilvl="6" w:tplc="74C4E96C">
      <w:start w:val="1"/>
      <w:numFmt w:val="bullet"/>
      <w:lvlText w:val="•"/>
      <w:lvlJc w:val="left"/>
      <w:pPr>
        <w:ind w:left="4702" w:hanging="269"/>
      </w:pPr>
      <w:rPr>
        <w:rFonts w:hint="default"/>
      </w:rPr>
    </w:lvl>
    <w:lvl w:ilvl="7" w:tplc="70F0224E">
      <w:start w:val="1"/>
      <w:numFmt w:val="bullet"/>
      <w:lvlText w:val="•"/>
      <w:lvlJc w:val="left"/>
      <w:pPr>
        <w:ind w:left="5384" w:hanging="269"/>
      </w:pPr>
      <w:rPr>
        <w:rFonts w:hint="default"/>
      </w:rPr>
    </w:lvl>
    <w:lvl w:ilvl="8" w:tplc="4EF8D086">
      <w:start w:val="1"/>
      <w:numFmt w:val="bullet"/>
      <w:lvlText w:val="•"/>
      <w:lvlJc w:val="left"/>
      <w:pPr>
        <w:ind w:left="6067" w:hanging="269"/>
      </w:pPr>
      <w:rPr>
        <w:rFonts w:hint="default"/>
      </w:rPr>
    </w:lvl>
  </w:abstractNum>
  <w:abstractNum w:abstractNumId="31" w15:restartNumberingAfterBreak="0">
    <w:nsid w:val="744371F8"/>
    <w:multiLevelType w:val="hybridMultilevel"/>
    <w:tmpl w:val="0A108596"/>
    <w:lvl w:ilvl="0" w:tplc="5E6817C6">
      <w:start w:val="4"/>
      <w:numFmt w:val="upperLetter"/>
      <w:lvlText w:val="%1."/>
      <w:lvlJc w:val="left"/>
      <w:pPr>
        <w:ind w:left="200" w:hanging="209"/>
      </w:pPr>
      <w:rPr>
        <w:rFonts w:ascii="Arial" w:eastAsia="Arial" w:hAnsi="Arial" w:hint="default"/>
        <w:spacing w:val="-3"/>
        <w:w w:val="98"/>
        <w:sz w:val="17"/>
        <w:szCs w:val="17"/>
      </w:rPr>
    </w:lvl>
    <w:lvl w:ilvl="1" w:tplc="7B40D37C">
      <w:start w:val="1"/>
      <w:numFmt w:val="decimal"/>
      <w:lvlText w:val="%2."/>
      <w:lvlJc w:val="left"/>
      <w:pPr>
        <w:ind w:left="400" w:hanging="248"/>
      </w:pPr>
      <w:rPr>
        <w:rFonts w:ascii="Arial" w:eastAsia="Arial" w:hAnsi="Arial" w:hint="default"/>
        <w:b/>
        <w:bCs/>
        <w:spacing w:val="-1"/>
        <w:sz w:val="22"/>
        <w:szCs w:val="22"/>
      </w:rPr>
    </w:lvl>
    <w:lvl w:ilvl="2" w:tplc="E174E1DE">
      <w:start w:val="1"/>
      <w:numFmt w:val="bullet"/>
      <w:lvlText w:val=""/>
      <w:lvlJc w:val="left"/>
      <w:pPr>
        <w:ind w:left="1002" w:hanging="408"/>
      </w:pPr>
      <w:rPr>
        <w:rFonts w:ascii="Symbol" w:eastAsia="Symbol" w:hAnsi="Symbol" w:hint="default"/>
        <w:sz w:val="22"/>
        <w:szCs w:val="22"/>
      </w:rPr>
    </w:lvl>
    <w:lvl w:ilvl="3" w:tplc="B01E1748">
      <w:start w:val="1"/>
      <w:numFmt w:val="bullet"/>
      <w:lvlText w:val=""/>
      <w:lvlJc w:val="left"/>
      <w:pPr>
        <w:ind w:left="1073" w:hanging="408"/>
      </w:pPr>
      <w:rPr>
        <w:rFonts w:ascii="Symbol" w:eastAsia="Symbol" w:hAnsi="Symbol" w:hint="default"/>
        <w:sz w:val="22"/>
        <w:szCs w:val="22"/>
      </w:rPr>
    </w:lvl>
    <w:lvl w:ilvl="4" w:tplc="8BC6BA2A">
      <w:start w:val="1"/>
      <w:numFmt w:val="bullet"/>
      <w:lvlText w:val="•"/>
      <w:lvlJc w:val="left"/>
      <w:pPr>
        <w:ind w:left="1057" w:hanging="408"/>
      </w:pPr>
      <w:rPr>
        <w:rFonts w:hint="default"/>
      </w:rPr>
    </w:lvl>
    <w:lvl w:ilvl="5" w:tplc="773A5A9C">
      <w:start w:val="1"/>
      <w:numFmt w:val="bullet"/>
      <w:lvlText w:val="•"/>
      <w:lvlJc w:val="left"/>
      <w:pPr>
        <w:ind w:left="1040" w:hanging="408"/>
      </w:pPr>
      <w:rPr>
        <w:rFonts w:hint="default"/>
      </w:rPr>
    </w:lvl>
    <w:lvl w:ilvl="6" w:tplc="87B0CFA0">
      <w:start w:val="1"/>
      <w:numFmt w:val="bullet"/>
      <w:lvlText w:val="•"/>
      <w:lvlJc w:val="left"/>
      <w:pPr>
        <w:ind w:left="1023" w:hanging="408"/>
      </w:pPr>
      <w:rPr>
        <w:rFonts w:hint="default"/>
      </w:rPr>
    </w:lvl>
    <w:lvl w:ilvl="7" w:tplc="E970026C">
      <w:start w:val="1"/>
      <w:numFmt w:val="bullet"/>
      <w:lvlText w:val="•"/>
      <w:lvlJc w:val="left"/>
      <w:pPr>
        <w:ind w:left="1006" w:hanging="408"/>
      </w:pPr>
      <w:rPr>
        <w:rFonts w:hint="default"/>
      </w:rPr>
    </w:lvl>
    <w:lvl w:ilvl="8" w:tplc="6AF0D05C">
      <w:start w:val="1"/>
      <w:numFmt w:val="bullet"/>
      <w:lvlText w:val="•"/>
      <w:lvlJc w:val="left"/>
      <w:pPr>
        <w:ind w:left="989" w:hanging="408"/>
      </w:pPr>
      <w:rPr>
        <w:rFonts w:hint="default"/>
      </w:rPr>
    </w:lvl>
  </w:abstractNum>
  <w:abstractNum w:abstractNumId="32" w15:restartNumberingAfterBreak="0">
    <w:nsid w:val="74C87A41"/>
    <w:multiLevelType w:val="hybridMultilevel"/>
    <w:tmpl w:val="C27CACD0"/>
    <w:lvl w:ilvl="0" w:tplc="85FA538C">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88B4735"/>
    <w:multiLevelType w:val="hybridMultilevel"/>
    <w:tmpl w:val="0A688AD0"/>
    <w:lvl w:ilvl="0" w:tplc="D1AEB2C0">
      <w:start w:val="1"/>
      <w:numFmt w:val="bullet"/>
      <w:lvlText w:val=""/>
      <w:lvlJc w:val="left"/>
      <w:pPr>
        <w:ind w:left="953" w:hanging="408"/>
      </w:pPr>
      <w:rPr>
        <w:rFonts w:ascii="Symbol" w:eastAsia="Symbol" w:hAnsi="Symbol" w:hint="default"/>
        <w:sz w:val="22"/>
        <w:szCs w:val="22"/>
      </w:rPr>
    </w:lvl>
    <w:lvl w:ilvl="1" w:tplc="079C5282">
      <w:start w:val="1"/>
      <w:numFmt w:val="bullet"/>
      <w:lvlText w:val="•"/>
      <w:lvlJc w:val="left"/>
      <w:pPr>
        <w:ind w:left="1678" w:hanging="408"/>
      </w:pPr>
      <w:rPr>
        <w:rFonts w:hint="default"/>
      </w:rPr>
    </w:lvl>
    <w:lvl w:ilvl="2" w:tplc="D28E3C0C">
      <w:start w:val="1"/>
      <w:numFmt w:val="bullet"/>
      <w:lvlText w:val="•"/>
      <w:lvlJc w:val="left"/>
      <w:pPr>
        <w:ind w:left="2404" w:hanging="408"/>
      </w:pPr>
      <w:rPr>
        <w:rFonts w:hint="default"/>
      </w:rPr>
    </w:lvl>
    <w:lvl w:ilvl="3" w:tplc="1BC22CA8">
      <w:start w:val="1"/>
      <w:numFmt w:val="bullet"/>
      <w:lvlText w:val="•"/>
      <w:lvlJc w:val="left"/>
      <w:pPr>
        <w:ind w:left="3130" w:hanging="408"/>
      </w:pPr>
      <w:rPr>
        <w:rFonts w:hint="default"/>
      </w:rPr>
    </w:lvl>
    <w:lvl w:ilvl="4" w:tplc="904E7B32">
      <w:start w:val="1"/>
      <w:numFmt w:val="bullet"/>
      <w:lvlText w:val="•"/>
      <w:lvlJc w:val="left"/>
      <w:pPr>
        <w:ind w:left="3856" w:hanging="408"/>
      </w:pPr>
      <w:rPr>
        <w:rFonts w:hint="default"/>
      </w:rPr>
    </w:lvl>
    <w:lvl w:ilvl="5" w:tplc="A86CDC5C">
      <w:start w:val="1"/>
      <w:numFmt w:val="bullet"/>
      <w:lvlText w:val="•"/>
      <w:lvlJc w:val="left"/>
      <w:pPr>
        <w:ind w:left="4582" w:hanging="408"/>
      </w:pPr>
      <w:rPr>
        <w:rFonts w:hint="default"/>
      </w:rPr>
    </w:lvl>
    <w:lvl w:ilvl="6" w:tplc="66A0A5B8">
      <w:start w:val="1"/>
      <w:numFmt w:val="bullet"/>
      <w:lvlText w:val="•"/>
      <w:lvlJc w:val="left"/>
      <w:pPr>
        <w:ind w:left="5308" w:hanging="408"/>
      </w:pPr>
      <w:rPr>
        <w:rFonts w:hint="default"/>
      </w:rPr>
    </w:lvl>
    <w:lvl w:ilvl="7" w:tplc="2F1245E8">
      <w:start w:val="1"/>
      <w:numFmt w:val="bullet"/>
      <w:lvlText w:val="•"/>
      <w:lvlJc w:val="left"/>
      <w:pPr>
        <w:ind w:left="6034" w:hanging="408"/>
      </w:pPr>
      <w:rPr>
        <w:rFonts w:hint="default"/>
      </w:rPr>
    </w:lvl>
    <w:lvl w:ilvl="8" w:tplc="40BAAA28">
      <w:start w:val="1"/>
      <w:numFmt w:val="bullet"/>
      <w:lvlText w:val="•"/>
      <w:lvlJc w:val="left"/>
      <w:pPr>
        <w:ind w:left="6760" w:hanging="408"/>
      </w:pPr>
      <w:rPr>
        <w:rFonts w:hint="default"/>
      </w:rPr>
    </w:lvl>
  </w:abstractNum>
  <w:abstractNum w:abstractNumId="34" w15:restartNumberingAfterBreak="0">
    <w:nsid w:val="7AA279AD"/>
    <w:multiLevelType w:val="hybridMultilevel"/>
    <w:tmpl w:val="57CECE42"/>
    <w:lvl w:ilvl="0" w:tplc="65669A76">
      <w:start w:val="1"/>
      <w:numFmt w:val="decimal"/>
      <w:lvlText w:val="%1."/>
      <w:lvlJc w:val="left"/>
      <w:pPr>
        <w:ind w:left="569" w:hanging="269"/>
      </w:pPr>
      <w:rPr>
        <w:rFonts w:ascii="Arial" w:eastAsia="Arial" w:hAnsi="Arial" w:hint="default"/>
        <w:sz w:val="24"/>
        <w:szCs w:val="24"/>
      </w:rPr>
    </w:lvl>
    <w:lvl w:ilvl="1" w:tplc="4FC6E3D0">
      <w:start w:val="1"/>
      <w:numFmt w:val="bullet"/>
      <w:lvlText w:val="•"/>
      <w:lvlJc w:val="left"/>
      <w:pPr>
        <w:ind w:left="1333" w:hanging="269"/>
      </w:pPr>
      <w:rPr>
        <w:rFonts w:hint="default"/>
      </w:rPr>
    </w:lvl>
    <w:lvl w:ilvl="2" w:tplc="30E4DF9A">
      <w:start w:val="1"/>
      <w:numFmt w:val="bullet"/>
      <w:lvlText w:val="•"/>
      <w:lvlJc w:val="left"/>
      <w:pPr>
        <w:ind w:left="2097" w:hanging="269"/>
      </w:pPr>
      <w:rPr>
        <w:rFonts w:hint="default"/>
      </w:rPr>
    </w:lvl>
    <w:lvl w:ilvl="3" w:tplc="D2C686F6">
      <w:start w:val="1"/>
      <w:numFmt w:val="bullet"/>
      <w:lvlText w:val="•"/>
      <w:lvlJc w:val="left"/>
      <w:pPr>
        <w:ind w:left="2861" w:hanging="269"/>
      </w:pPr>
      <w:rPr>
        <w:rFonts w:hint="default"/>
      </w:rPr>
    </w:lvl>
    <w:lvl w:ilvl="4" w:tplc="2794D83A">
      <w:start w:val="1"/>
      <w:numFmt w:val="bullet"/>
      <w:lvlText w:val="•"/>
      <w:lvlJc w:val="left"/>
      <w:pPr>
        <w:ind w:left="3626" w:hanging="269"/>
      </w:pPr>
      <w:rPr>
        <w:rFonts w:hint="default"/>
      </w:rPr>
    </w:lvl>
    <w:lvl w:ilvl="5" w:tplc="C51A1D9C">
      <w:start w:val="1"/>
      <w:numFmt w:val="bullet"/>
      <w:lvlText w:val="•"/>
      <w:lvlJc w:val="left"/>
      <w:pPr>
        <w:ind w:left="4390" w:hanging="269"/>
      </w:pPr>
      <w:rPr>
        <w:rFonts w:hint="default"/>
      </w:rPr>
    </w:lvl>
    <w:lvl w:ilvl="6" w:tplc="638E99CE">
      <w:start w:val="1"/>
      <w:numFmt w:val="bullet"/>
      <w:lvlText w:val="•"/>
      <w:lvlJc w:val="left"/>
      <w:pPr>
        <w:ind w:left="5154" w:hanging="269"/>
      </w:pPr>
      <w:rPr>
        <w:rFonts w:hint="default"/>
      </w:rPr>
    </w:lvl>
    <w:lvl w:ilvl="7" w:tplc="DD243172">
      <w:start w:val="1"/>
      <w:numFmt w:val="bullet"/>
      <w:lvlText w:val="•"/>
      <w:lvlJc w:val="left"/>
      <w:pPr>
        <w:ind w:left="5918" w:hanging="269"/>
      </w:pPr>
      <w:rPr>
        <w:rFonts w:hint="default"/>
      </w:rPr>
    </w:lvl>
    <w:lvl w:ilvl="8" w:tplc="6B16BA3A">
      <w:start w:val="1"/>
      <w:numFmt w:val="bullet"/>
      <w:lvlText w:val="•"/>
      <w:lvlJc w:val="left"/>
      <w:pPr>
        <w:ind w:left="6683" w:hanging="269"/>
      </w:pPr>
      <w:rPr>
        <w:rFonts w:hint="default"/>
      </w:rPr>
    </w:lvl>
  </w:abstractNum>
  <w:abstractNum w:abstractNumId="35" w15:restartNumberingAfterBreak="0">
    <w:nsid w:val="7DED49A5"/>
    <w:multiLevelType w:val="hybridMultilevel"/>
    <w:tmpl w:val="E514D912"/>
    <w:lvl w:ilvl="0" w:tplc="142C36C2">
      <w:start w:val="1"/>
      <w:numFmt w:val="upperLetter"/>
      <w:lvlText w:val="%1."/>
      <w:lvlJc w:val="left"/>
      <w:pPr>
        <w:ind w:left="200" w:hanging="207"/>
      </w:pPr>
      <w:rPr>
        <w:rFonts w:ascii="Arial" w:eastAsia="Arial" w:hAnsi="Arial" w:hint="default"/>
        <w:w w:val="98"/>
        <w:sz w:val="17"/>
        <w:szCs w:val="17"/>
      </w:rPr>
    </w:lvl>
    <w:lvl w:ilvl="1" w:tplc="19866AE2">
      <w:start w:val="1"/>
      <w:numFmt w:val="bullet"/>
      <w:lvlText w:val="•"/>
      <w:lvlJc w:val="left"/>
      <w:pPr>
        <w:ind w:left="294" w:hanging="207"/>
      </w:pPr>
      <w:rPr>
        <w:rFonts w:hint="default"/>
      </w:rPr>
    </w:lvl>
    <w:lvl w:ilvl="2" w:tplc="F7D404EE">
      <w:start w:val="1"/>
      <w:numFmt w:val="bullet"/>
      <w:lvlText w:val="•"/>
      <w:lvlJc w:val="left"/>
      <w:pPr>
        <w:ind w:left="389" w:hanging="207"/>
      </w:pPr>
      <w:rPr>
        <w:rFonts w:hint="default"/>
      </w:rPr>
    </w:lvl>
    <w:lvl w:ilvl="3" w:tplc="88882DCA">
      <w:start w:val="1"/>
      <w:numFmt w:val="bullet"/>
      <w:lvlText w:val="•"/>
      <w:lvlJc w:val="left"/>
      <w:pPr>
        <w:ind w:left="483" w:hanging="207"/>
      </w:pPr>
      <w:rPr>
        <w:rFonts w:hint="default"/>
      </w:rPr>
    </w:lvl>
    <w:lvl w:ilvl="4" w:tplc="0E16D086">
      <w:start w:val="1"/>
      <w:numFmt w:val="bullet"/>
      <w:lvlText w:val="•"/>
      <w:lvlJc w:val="left"/>
      <w:pPr>
        <w:ind w:left="578" w:hanging="207"/>
      </w:pPr>
      <w:rPr>
        <w:rFonts w:hint="default"/>
      </w:rPr>
    </w:lvl>
    <w:lvl w:ilvl="5" w:tplc="4A647366">
      <w:start w:val="1"/>
      <w:numFmt w:val="bullet"/>
      <w:lvlText w:val="•"/>
      <w:lvlJc w:val="left"/>
      <w:pPr>
        <w:ind w:left="672" w:hanging="207"/>
      </w:pPr>
      <w:rPr>
        <w:rFonts w:hint="default"/>
      </w:rPr>
    </w:lvl>
    <w:lvl w:ilvl="6" w:tplc="6EFE9BE4">
      <w:start w:val="1"/>
      <w:numFmt w:val="bullet"/>
      <w:lvlText w:val="•"/>
      <w:lvlJc w:val="left"/>
      <w:pPr>
        <w:ind w:left="767" w:hanging="207"/>
      </w:pPr>
      <w:rPr>
        <w:rFonts w:hint="default"/>
      </w:rPr>
    </w:lvl>
    <w:lvl w:ilvl="7" w:tplc="01600A12">
      <w:start w:val="1"/>
      <w:numFmt w:val="bullet"/>
      <w:lvlText w:val="•"/>
      <w:lvlJc w:val="left"/>
      <w:pPr>
        <w:ind w:left="861" w:hanging="207"/>
      </w:pPr>
      <w:rPr>
        <w:rFonts w:hint="default"/>
      </w:rPr>
    </w:lvl>
    <w:lvl w:ilvl="8" w:tplc="C6D448EE">
      <w:start w:val="1"/>
      <w:numFmt w:val="bullet"/>
      <w:lvlText w:val="•"/>
      <w:lvlJc w:val="left"/>
      <w:pPr>
        <w:ind w:left="956" w:hanging="207"/>
      </w:pPr>
      <w:rPr>
        <w:rFonts w:hint="default"/>
      </w:rPr>
    </w:lvl>
  </w:abstractNum>
  <w:abstractNum w:abstractNumId="36" w15:restartNumberingAfterBreak="0">
    <w:nsid w:val="7F5402D0"/>
    <w:multiLevelType w:val="hybridMultilevel"/>
    <w:tmpl w:val="26587E72"/>
    <w:lvl w:ilvl="0" w:tplc="838297F4">
      <w:start w:val="1"/>
      <w:numFmt w:val="decimal"/>
      <w:lvlText w:val="%1."/>
      <w:lvlJc w:val="left"/>
      <w:pPr>
        <w:ind w:left="397" w:hanging="245"/>
        <w:jc w:val="right"/>
      </w:pPr>
      <w:rPr>
        <w:rFonts w:ascii="Arial" w:eastAsia="Arial" w:hAnsi="Arial" w:hint="default"/>
        <w:b/>
        <w:bCs/>
        <w:spacing w:val="-1"/>
        <w:sz w:val="22"/>
        <w:szCs w:val="22"/>
      </w:rPr>
    </w:lvl>
    <w:lvl w:ilvl="1" w:tplc="EA8829D0">
      <w:start w:val="1"/>
      <w:numFmt w:val="bullet"/>
      <w:lvlText w:val=""/>
      <w:lvlJc w:val="left"/>
      <w:pPr>
        <w:ind w:left="1002" w:hanging="408"/>
      </w:pPr>
      <w:rPr>
        <w:rFonts w:ascii="Symbol" w:eastAsia="Symbol" w:hAnsi="Symbol" w:hint="default"/>
        <w:sz w:val="22"/>
        <w:szCs w:val="22"/>
      </w:rPr>
    </w:lvl>
    <w:lvl w:ilvl="2" w:tplc="9E5EEE22">
      <w:start w:val="1"/>
      <w:numFmt w:val="bullet"/>
      <w:lvlText w:val="•"/>
      <w:lvlJc w:val="left"/>
      <w:pPr>
        <w:ind w:left="1073" w:hanging="408"/>
      </w:pPr>
      <w:rPr>
        <w:rFonts w:hint="default"/>
      </w:rPr>
    </w:lvl>
    <w:lvl w:ilvl="3" w:tplc="4A1C953A">
      <w:start w:val="1"/>
      <w:numFmt w:val="bullet"/>
      <w:lvlText w:val="•"/>
      <w:lvlJc w:val="left"/>
      <w:pPr>
        <w:ind w:left="1883" w:hanging="408"/>
      </w:pPr>
      <w:rPr>
        <w:rFonts w:hint="default"/>
      </w:rPr>
    </w:lvl>
    <w:lvl w:ilvl="4" w:tplc="4950EDBC">
      <w:start w:val="1"/>
      <w:numFmt w:val="bullet"/>
      <w:lvlText w:val="•"/>
      <w:lvlJc w:val="left"/>
      <w:pPr>
        <w:ind w:left="2693" w:hanging="408"/>
      </w:pPr>
      <w:rPr>
        <w:rFonts w:hint="default"/>
      </w:rPr>
    </w:lvl>
    <w:lvl w:ilvl="5" w:tplc="E962FCE8">
      <w:start w:val="1"/>
      <w:numFmt w:val="bullet"/>
      <w:lvlText w:val="•"/>
      <w:lvlJc w:val="left"/>
      <w:pPr>
        <w:ind w:left="3503" w:hanging="408"/>
      </w:pPr>
      <w:rPr>
        <w:rFonts w:hint="default"/>
      </w:rPr>
    </w:lvl>
    <w:lvl w:ilvl="6" w:tplc="01B00570">
      <w:start w:val="1"/>
      <w:numFmt w:val="bullet"/>
      <w:lvlText w:val="•"/>
      <w:lvlJc w:val="left"/>
      <w:pPr>
        <w:ind w:left="4312" w:hanging="408"/>
      </w:pPr>
      <w:rPr>
        <w:rFonts w:hint="default"/>
      </w:rPr>
    </w:lvl>
    <w:lvl w:ilvl="7" w:tplc="E7F6660A">
      <w:start w:val="1"/>
      <w:numFmt w:val="bullet"/>
      <w:lvlText w:val="•"/>
      <w:lvlJc w:val="left"/>
      <w:pPr>
        <w:ind w:left="5122" w:hanging="408"/>
      </w:pPr>
      <w:rPr>
        <w:rFonts w:hint="default"/>
      </w:rPr>
    </w:lvl>
    <w:lvl w:ilvl="8" w:tplc="FB3854E0">
      <w:start w:val="1"/>
      <w:numFmt w:val="bullet"/>
      <w:lvlText w:val="•"/>
      <w:lvlJc w:val="left"/>
      <w:pPr>
        <w:ind w:left="5932" w:hanging="408"/>
      </w:pPr>
      <w:rPr>
        <w:rFonts w:hint="default"/>
      </w:rPr>
    </w:lvl>
  </w:abstractNum>
  <w:num w:numId="1">
    <w:abstractNumId w:val="6"/>
  </w:num>
  <w:num w:numId="2">
    <w:abstractNumId w:val="25"/>
  </w:num>
  <w:num w:numId="3">
    <w:abstractNumId w:val="9"/>
  </w:num>
  <w:num w:numId="4">
    <w:abstractNumId w:val="3"/>
  </w:num>
  <w:num w:numId="5">
    <w:abstractNumId w:val="24"/>
  </w:num>
  <w:num w:numId="6">
    <w:abstractNumId w:val="20"/>
  </w:num>
  <w:num w:numId="7">
    <w:abstractNumId w:val="11"/>
  </w:num>
  <w:num w:numId="8">
    <w:abstractNumId w:val="1"/>
  </w:num>
  <w:num w:numId="9">
    <w:abstractNumId w:val="23"/>
  </w:num>
  <w:num w:numId="10">
    <w:abstractNumId w:val="26"/>
  </w:num>
  <w:num w:numId="11">
    <w:abstractNumId w:val="14"/>
  </w:num>
  <w:num w:numId="12">
    <w:abstractNumId w:val="0"/>
  </w:num>
  <w:num w:numId="13">
    <w:abstractNumId w:val="17"/>
  </w:num>
  <w:num w:numId="14">
    <w:abstractNumId w:val="18"/>
  </w:num>
  <w:num w:numId="15">
    <w:abstractNumId w:val="12"/>
  </w:num>
  <w:num w:numId="16">
    <w:abstractNumId w:val="5"/>
  </w:num>
  <w:num w:numId="17">
    <w:abstractNumId w:val="28"/>
  </w:num>
  <w:num w:numId="18">
    <w:abstractNumId w:val="29"/>
  </w:num>
  <w:num w:numId="19">
    <w:abstractNumId w:val="31"/>
  </w:num>
  <w:num w:numId="20">
    <w:abstractNumId w:val="35"/>
  </w:num>
  <w:num w:numId="21">
    <w:abstractNumId w:val="2"/>
  </w:num>
  <w:num w:numId="22">
    <w:abstractNumId w:val="16"/>
  </w:num>
  <w:num w:numId="23">
    <w:abstractNumId w:val="4"/>
  </w:num>
  <w:num w:numId="24">
    <w:abstractNumId w:val="36"/>
  </w:num>
  <w:num w:numId="25">
    <w:abstractNumId w:val="13"/>
  </w:num>
  <w:num w:numId="26">
    <w:abstractNumId w:val="8"/>
  </w:num>
  <w:num w:numId="27">
    <w:abstractNumId w:val="22"/>
  </w:num>
  <w:num w:numId="28">
    <w:abstractNumId w:val="30"/>
  </w:num>
  <w:num w:numId="29">
    <w:abstractNumId w:val="10"/>
  </w:num>
  <w:num w:numId="30">
    <w:abstractNumId w:val="7"/>
  </w:num>
  <w:num w:numId="31">
    <w:abstractNumId w:val="15"/>
  </w:num>
  <w:num w:numId="32">
    <w:abstractNumId w:val="27"/>
  </w:num>
  <w:num w:numId="33">
    <w:abstractNumId w:val="34"/>
  </w:num>
  <w:num w:numId="34">
    <w:abstractNumId w:val="33"/>
  </w:num>
  <w:num w:numId="35">
    <w:abstractNumId w:val="21"/>
  </w:num>
  <w:num w:numId="36">
    <w:abstractNumId w:val="19"/>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96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4D"/>
    <w:rsid w:val="0001248D"/>
    <w:rsid w:val="00051DD6"/>
    <w:rsid w:val="000A6469"/>
    <w:rsid w:val="000F3534"/>
    <w:rsid w:val="001215CF"/>
    <w:rsid w:val="00121F0E"/>
    <w:rsid w:val="001A796E"/>
    <w:rsid w:val="001B172E"/>
    <w:rsid w:val="001B5B55"/>
    <w:rsid w:val="0020563D"/>
    <w:rsid w:val="002140DA"/>
    <w:rsid w:val="00280527"/>
    <w:rsid w:val="002849D6"/>
    <w:rsid w:val="002A4A8B"/>
    <w:rsid w:val="002A74F4"/>
    <w:rsid w:val="002D6E99"/>
    <w:rsid w:val="002E74BF"/>
    <w:rsid w:val="002F6CD5"/>
    <w:rsid w:val="003141DC"/>
    <w:rsid w:val="00364F4C"/>
    <w:rsid w:val="003A21DD"/>
    <w:rsid w:val="004230C7"/>
    <w:rsid w:val="00463916"/>
    <w:rsid w:val="00486953"/>
    <w:rsid w:val="004915B3"/>
    <w:rsid w:val="004D11C9"/>
    <w:rsid w:val="004D7318"/>
    <w:rsid w:val="004E2512"/>
    <w:rsid w:val="0051040C"/>
    <w:rsid w:val="00536E84"/>
    <w:rsid w:val="005411E0"/>
    <w:rsid w:val="0056161C"/>
    <w:rsid w:val="00582CEC"/>
    <w:rsid w:val="005932ED"/>
    <w:rsid w:val="00593F7A"/>
    <w:rsid w:val="00612B4B"/>
    <w:rsid w:val="00631B9A"/>
    <w:rsid w:val="00640060"/>
    <w:rsid w:val="0066762C"/>
    <w:rsid w:val="00672C6F"/>
    <w:rsid w:val="00702F42"/>
    <w:rsid w:val="0072624B"/>
    <w:rsid w:val="007348EE"/>
    <w:rsid w:val="007B2CEE"/>
    <w:rsid w:val="007D2347"/>
    <w:rsid w:val="007E3D44"/>
    <w:rsid w:val="00801FAA"/>
    <w:rsid w:val="008324B1"/>
    <w:rsid w:val="00867DDD"/>
    <w:rsid w:val="00887892"/>
    <w:rsid w:val="00897A38"/>
    <w:rsid w:val="008A5E23"/>
    <w:rsid w:val="008B0B53"/>
    <w:rsid w:val="009224D0"/>
    <w:rsid w:val="00922A96"/>
    <w:rsid w:val="00933004"/>
    <w:rsid w:val="00946605"/>
    <w:rsid w:val="009846D8"/>
    <w:rsid w:val="009B66A1"/>
    <w:rsid w:val="009C133D"/>
    <w:rsid w:val="009C39FB"/>
    <w:rsid w:val="009C7D03"/>
    <w:rsid w:val="009D678F"/>
    <w:rsid w:val="00A0283B"/>
    <w:rsid w:val="00A766E8"/>
    <w:rsid w:val="00A901B1"/>
    <w:rsid w:val="00B75F48"/>
    <w:rsid w:val="00BF0474"/>
    <w:rsid w:val="00C37DCB"/>
    <w:rsid w:val="00C407BB"/>
    <w:rsid w:val="00C70757"/>
    <w:rsid w:val="00CB57D4"/>
    <w:rsid w:val="00CC1B8C"/>
    <w:rsid w:val="00CC3E5E"/>
    <w:rsid w:val="00D532D3"/>
    <w:rsid w:val="00DD1FBA"/>
    <w:rsid w:val="00DD4785"/>
    <w:rsid w:val="00DE43DA"/>
    <w:rsid w:val="00E00463"/>
    <w:rsid w:val="00E02979"/>
    <w:rsid w:val="00E92E44"/>
    <w:rsid w:val="00ED134D"/>
    <w:rsid w:val="00EF2A1F"/>
    <w:rsid w:val="00F1566E"/>
    <w:rsid w:val="00F4401E"/>
    <w:rsid w:val="00F66808"/>
    <w:rsid w:val="00F82D09"/>
    <w:rsid w:val="00FC2D81"/>
    <w:rsid w:val="00FD3F1E"/>
    <w:rsid w:val="00FD7C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143B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38"/>
      <w:ind w:left="113"/>
      <w:outlineLvl w:val="0"/>
    </w:pPr>
    <w:rPr>
      <w:rFonts w:ascii="Arial" w:eastAsia="Arial" w:hAnsi="Arial"/>
      <w:b/>
      <w:bCs/>
      <w:sz w:val="52"/>
      <w:szCs w:val="52"/>
    </w:rPr>
  </w:style>
  <w:style w:type="paragraph" w:styleId="Heading2">
    <w:name w:val="heading 2"/>
    <w:basedOn w:val="Normal"/>
    <w:uiPriority w:val="9"/>
    <w:unhideWhenUsed/>
    <w:qFormat/>
    <w:pPr>
      <w:spacing w:before="17"/>
      <w:ind w:left="113"/>
      <w:outlineLvl w:val="1"/>
    </w:pPr>
    <w:rPr>
      <w:rFonts w:ascii="Arial" w:eastAsia="Arial" w:hAnsi="Arial"/>
      <w:b/>
      <w:bCs/>
      <w:sz w:val="36"/>
      <w:szCs w:val="36"/>
    </w:rPr>
  </w:style>
  <w:style w:type="paragraph" w:styleId="Heading3">
    <w:name w:val="heading 3"/>
    <w:basedOn w:val="Normal"/>
    <w:uiPriority w:val="9"/>
    <w:unhideWhenUsed/>
    <w:qFormat/>
    <w:pPr>
      <w:ind w:left="40"/>
      <w:outlineLvl w:val="2"/>
    </w:pPr>
    <w:rPr>
      <w:rFonts w:ascii="Arial" w:eastAsia="Arial" w:hAnsi="Arial"/>
      <w:b/>
      <w:bCs/>
    </w:rPr>
  </w:style>
  <w:style w:type="paragraph" w:styleId="Heading4">
    <w:name w:val="heading 4"/>
    <w:basedOn w:val="Normal"/>
    <w:uiPriority w:val="9"/>
    <w:unhideWhenUsed/>
    <w:qFormat/>
    <w:pPr>
      <w:ind w:left="1220"/>
      <w:outlineLvl w:val="3"/>
    </w:pPr>
    <w:rPr>
      <w:rFonts w:ascii="Arial" w:eastAsia="Arial" w:hAnsi="Arial"/>
      <w:b/>
      <w:bCs/>
      <w:i/>
    </w:rPr>
  </w:style>
  <w:style w:type="paragraph" w:styleId="Heading5">
    <w:name w:val="heading 5"/>
    <w:basedOn w:val="Normal"/>
    <w:uiPriority w:val="9"/>
    <w:unhideWhenUsed/>
    <w:qFormat/>
    <w:pPr>
      <w:ind w:left="724"/>
      <w:outlineLvl w:val="4"/>
    </w:pPr>
    <w:rPr>
      <w:rFonts w:ascii="Arial" w:eastAsia="Arial" w:hAnsi="Arial"/>
    </w:rPr>
  </w:style>
  <w:style w:type="paragraph" w:styleId="Heading6">
    <w:name w:val="heading 6"/>
    <w:basedOn w:val="Normal"/>
    <w:uiPriority w:val="9"/>
    <w:unhideWhenUsed/>
    <w:qFormat/>
    <w:pPr>
      <w:ind w:left="153"/>
      <w:outlineLvl w:val="5"/>
    </w:pPr>
    <w:rPr>
      <w:rFonts w:ascii="Arial" w:eastAsia="Arial" w:hAnsi="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7"/>
      <w:ind w:left="2"/>
    </w:pPr>
    <w:rPr>
      <w:rFonts w:ascii="Arial" w:eastAsia="Arial" w:hAnsi="Arial"/>
      <w:sz w:val="24"/>
      <w:szCs w:val="24"/>
    </w:rPr>
  </w:style>
  <w:style w:type="paragraph" w:styleId="TOC2">
    <w:name w:val="toc 2"/>
    <w:basedOn w:val="Normal"/>
    <w:uiPriority w:val="39"/>
    <w:qFormat/>
    <w:pPr>
      <w:spacing w:before="129"/>
      <w:ind w:left="2"/>
    </w:pPr>
    <w:rPr>
      <w:rFonts w:ascii="Arial" w:eastAsia="Arial" w:hAnsi="Arial"/>
      <w:b/>
      <w:bCs/>
      <w:i/>
    </w:rPr>
  </w:style>
  <w:style w:type="paragraph" w:styleId="TOC3">
    <w:name w:val="toc 3"/>
    <w:basedOn w:val="Normal"/>
    <w:uiPriority w:val="39"/>
    <w:qFormat/>
    <w:pPr>
      <w:spacing w:before="131"/>
      <w:ind w:left="143"/>
    </w:pPr>
    <w:rPr>
      <w:rFonts w:ascii="Arial" w:eastAsia="Arial" w:hAnsi="Arial"/>
      <w:b/>
      <w:bCs/>
      <w:sz w:val="32"/>
      <w:szCs w:val="32"/>
    </w:rPr>
  </w:style>
  <w:style w:type="paragraph" w:styleId="TOC4">
    <w:name w:val="toc 4"/>
    <w:basedOn w:val="Normal"/>
    <w:uiPriority w:val="1"/>
    <w:qFormat/>
    <w:pPr>
      <w:spacing w:before="7"/>
      <w:ind w:left="143"/>
    </w:pPr>
    <w:rPr>
      <w:rFonts w:ascii="Arial" w:eastAsia="Arial" w:hAnsi="Arial"/>
      <w:sz w:val="24"/>
      <w:szCs w:val="24"/>
    </w:rPr>
  </w:style>
  <w:style w:type="paragraph" w:styleId="TOC5">
    <w:name w:val="toc 5"/>
    <w:basedOn w:val="Normal"/>
    <w:uiPriority w:val="1"/>
    <w:qFormat/>
    <w:pPr>
      <w:spacing w:before="5"/>
      <w:ind w:left="609" w:hanging="269"/>
    </w:pPr>
    <w:rPr>
      <w:rFonts w:ascii="Arial" w:eastAsia="Arial" w:hAnsi="Arial"/>
      <w:sz w:val="24"/>
      <w:szCs w:val="24"/>
    </w:rPr>
  </w:style>
  <w:style w:type="paragraph" w:styleId="BodyText">
    <w:name w:val="Body Text"/>
    <w:basedOn w:val="Normal"/>
    <w:uiPriority w:val="1"/>
    <w:qFormat/>
    <w:pPr>
      <w:ind w:left="153" w:firstLine="441"/>
    </w:pPr>
    <w:rPr>
      <w:rFonts w:ascii="Arial" w:eastAsia="Arial" w:hAnsi="Arial"/>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0A6469"/>
    <w:pPr>
      <w:tabs>
        <w:tab w:val="center" w:pos="4513"/>
        <w:tab w:val="right" w:pos="9026"/>
      </w:tabs>
    </w:pPr>
  </w:style>
  <w:style w:type="character" w:customStyle="1" w:styleId="HeaderChar">
    <w:name w:val="Header Char"/>
    <w:basedOn w:val="DefaultParagraphFont"/>
    <w:link w:val="Header"/>
    <w:uiPriority w:val="99"/>
    <w:rsid w:val="000A6469"/>
  </w:style>
  <w:style w:type="paragraph" w:styleId="Footer">
    <w:name w:val="footer"/>
    <w:basedOn w:val="Normal"/>
    <w:link w:val="FooterChar"/>
    <w:unhideWhenUsed/>
    <w:rsid w:val="000A6469"/>
    <w:pPr>
      <w:tabs>
        <w:tab w:val="center" w:pos="4513"/>
        <w:tab w:val="right" w:pos="9026"/>
      </w:tabs>
    </w:pPr>
  </w:style>
  <w:style w:type="character" w:customStyle="1" w:styleId="FooterChar">
    <w:name w:val="Footer Char"/>
    <w:basedOn w:val="DefaultParagraphFont"/>
    <w:link w:val="Footer"/>
    <w:uiPriority w:val="99"/>
    <w:rsid w:val="000A6469"/>
  </w:style>
  <w:style w:type="table" w:styleId="TableGrid">
    <w:name w:val="Table Grid"/>
    <w:basedOn w:val="TableNormal"/>
    <w:uiPriority w:val="39"/>
    <w:rsid w:val="004D1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B172E"/>
    <w:rPr>
      <w:sz w:val="20"/>
      <w:szCs w:val="20"/>
    </w:rPr>
  </w:style>
  <w:style w:type="character" w:customStyle="1" w:styleId="FootnoteTextChar">
    <w:name w:val="Footnote Text Char"/>
    <w:basedOn w:val="DefaultParagraphFont"/>
    <w:link w:val="FootnoteText"/>
    <w:uiPriority w:val="99"/>
    <w:semiHidden/>
    <w:rsid w:val="001B172E"/>
    <w:rPr>
      <w:sz w:val="20"/>
      <w:szCs w:val="20"/>
    </w:rPr>
  </w:style>
  <w:style w:type="character" w:styleId="FootnoteReference">
    <w:name w:val="footnote reference"/>
    <w:basedOn w:val="DefaultParagraphFont"/>
    <w:uiPriority w:val="99"/>
    <w:semiHidden/>
    <w:unhideWhenUsed/>
    <w:rsid w:val="001B172E"/>
    <w:rPr>
      <w:vertAlign w:val="superscript"/>
    </w:rPr>
  </w:style>
  <w:style w:type="character" w:styleId="Hyperlink">
    <w:name w:val="Hyperlink"/>
    <w:basedOn w:val="DefaultParagraphFont"/>
    <w:uiPriority w:val="99"/>
    <w:unhideWhenUsed/>
    <w:rsid w:val="002D6E99"/>
    <w:rPr>
      <w:color w:val="0000FF" w:themeColor="hyperlink"/>
      <w:u w:val="single"/>
    </w:rPr>
  </w:style>
  <w:style w:type="character" w:styleId="UnresolvedMention">
    <w:name w:val="Unresolved Mention"/>
    <w:basedOn w:val="DefaultParagraphFont"/>
    <w:uiPriority w:val="99"/>
    <w:semiHidden/>
    <w:unhideWhenUsed/>
    <w:rsid w:val="002D6E99"/>
    <w:rPr>
      <w:color w:val="605E5C"/>
      <w:shd w:val="clear" w:color="auto" w:fill="E1DFDD"/>
    </w:rPr>
  </w:style>
  <w:style w:type="character" w:styleId="PageNumber">
    <w:name w:val="page number"/>
    <w:basedOn w:val="DefaultParagraphFont"/>
    <w:semiHidden/>
    <w:rsid w:val="00F4401E"/>
  </w:style>
  <w:style w:type="paragraph" w:styleId="TOCHeading">
    <w:name w:val="TOC Heading"/>
    <w:basedOn w:val="Heading1"/>
    <w:next w:val="Normal"/>
    <w:uiPriority w:val="39"/>
    <w:unhideWhenUsed/>
    <w:qFormat/>
    <w:rsid w:val="00F4401E"/>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5.emf"/><Relationship Id="rId39" Type="http://schemas.openxmlformats.org/officeDocument/2006/relationships/header" Target="header2.xml"/><Relationship Id="rId21" Type="http://schemas.openxmlformats.org/officeDocument/2006/relationships/hyperlink" Target="https://one.oecd.org/document/DAF/COMP/WP2(2014)6/en/pdf" TargetMode="External"/><Relationship Id="rId34" Type="http://schemas.openxmlformats.org/officeDocument/2006/relationships/image" Target="media/image23.emf"/><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e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emf"/><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20.e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header" Target="header1.xml"/><Relationship Id="rId20" Type="http://schemas.openxmlformats.org/officeDocument/2006/relationships/image" Target="media/image10.emf"/><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4" ma:contentTypeDescription="Izveidot jaunu dokumentu." ma:contentTypeScope="" ma:versionID="dfb4b1a185c95c70208d6cdffb51d4d6">
  <xsd:schema xmlns:xsd="http://www.w3.org/2001/XMLSchema" xmlns:xs="http://www.w3.org/2001/XMLSchema" xmlns:p="http://schemas.microsoft.com/office/2006/metadata/properties" xmlns:ns2="1d57a815-79e8-498e-8f04-9c2e9221b678" targetNamespace="http://schemas.microsoft.com/office/2006/metadata/properties" ma:root="true" ma:fieldsID="16ae2a2f2cc2697d580df486339427f8"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CC1F5A-1034-44F2-A161-0669E3C2BDB9}">
  <ds:schemaRefs>
    <ds:schemaRef ds:uri="http://schemas.openxmlformats.org/officeDocument/2006/bibliography"/>
  </ds:schemaRefs>
</ds:datastoreItem>
</file>

<file path=customXml/itemProps2.xml><?xml version="1.0" encoding="utf-8"?>
<ds:datastoreItem xmlns:ds="http://schemas.openxmlformats.org/officeDocument/2006/customXml" ds:itemID="{644DBC7A-8A71-43F9-94DF-7E54115864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766246-3E42-4348-82EC-5F22C2A8E589}">
  <ds:schemaRefs>
    <ds:schemaRef ds:uri="http://schemas.microsoft.com/sharepoint/v3/contenttype/forms"/>
  </ds:schemaRefs>
</ds:datastoreItem>
</file>

<file path=customXml/itemProps4.xml><?xml version="1.0" encoding="utf-8"?>
<ds:datastoreItem xmlns:ds="http://schemas.openxmlformats.org/officeDocument/2006/customXml" ds:itemID="{AFB3C8DD-4275-487D-950E-863846201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117</Pages>
  <Words>192581</Words>
  <Characters>109772</Characters>
  <Application>Microsoft Office Word</Application>
  <DocSecurity>0</DocSecurity>
  <Lines>914</Lines>
  <Paragraphs>603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2020-05-29T06:03:00Z</dcterms:created>
  <dcterms:modified xsi:type="dcterms:W3CDTF">2021-04-15T14:14:00Z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Order">
    <vt:r8>151800</vt:r8>
  </property>
</Properties>
</file>