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6"/>
        </w:rPr>
      </w:pPr>
    </w:p>
    <w:p w:rsidR="00F6768D" w:rsidRPr="005F4796" w:rsidRDefault="00F6768D" w:rsidP="005F4796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4C212F5F" wp14:editId="30231CD7">
            <wp:extent cx="5009692" cy="8538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692" cy="85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F6768D" w:rsidRPr="005F4796" w:rsidRDefault="005F4796" w:rsidP="005F4796">
      <w:pPr>
        <w:jc w:val="center"/>
        <w:rPr>
          <w:rFonts w:ascii="Times New Roman" w:eastAsia="Times New Roman" w:hAnsi="Times New Roman" w:cs="Times New Roman"/>
          <w:noProof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PASTA ADRESE: </w:t>
      </w:r>
      <w:r>
        <w:rPr>
          <w:rFonts w:ascii="Times New Roman" w:hAnsi="Times New Roman"/>
          <w:i/>
          <w:iCs/>
          <w:sz w:val="20"/>
          <w:szCs w:val="16"/>
        </w:rPr>
        <w:t>UNITED NATIONS, N. Y.</w:t>
      </w:r>
      <w:r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i/>
          <w:iCs/>
          <w:sz w:val="20"/>
          <w:szCs w:val="16"/>
        </w:rPr>
        <w:t>10017</w:t>
      </w:r>
    </w:p>
    <w:p w:rsidR="005F4796" w:rsidRPr="005F4796" w:rsidRDefault="005F4796" w:rsidP="005F4796">
      <w:pPr>
        <w:jc w:val="center"/>
        <w:rPr>
          <w:rFonts w:ascii="Times New Roman" w:eastAsia="Times New Roman" w:hAnsi="Times New Roman" w:cs="Times New Roman"/>
          <w:noProof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TELEGRĀFA ADRESE: </w:t>
      </w:r>
      <w:r>
        <w:rPr>
          <w:rFonts w:ascii="Times New Roman" w:hAnsi="Times New Roman"/>
          <w:i/>
          <w:iCs/>
          <w:sz w:val="20"/>
          <w:szCs w:val="16"/>
        </w:rPr>
        <w:t>UNATIONS NEWYORK</w:t>
      </w:r>
    </w:p>
    <w:p w:rsidR="005F4796" w:rsidRPr="005F4796" w:rsidRDefault="005F4796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F6768D" w:rsidRPr="005F4796" w:rsidRDefault="00F6768D" w:rsidP="005F4796">
      <w:pPr>
        <w:pStyle w:val="Pamatteksts"/>
        <w:ind w:left="0" w:firstLine="0"/>
        <w:jc w:val="both"/>
        <w:rPr>
          <w:noProof/>
          <w:sz w:val="24"/>
        </w:rPr>
      </w:pPr>
      <w:r>
        <w:rPr>
          <w:sz w:val="24"/>
        </w:rPr>
        <w:t xml:space="preserve">Atsauce: </w:t>
      </w:r>
      <w:r>
        <w:rPr>
          <w:i/>
          <w:iCs/>
          <w:sz w:val="24"/>
        </w:rPr>
        <w:t>C.N.70.2018.TREATIES-XI.B.22</w:t>
      </w:r>
      <w:r>
        <w:rPr>
          <w:sz w:val="24"/>
        </w:rPr>
        <w:t xml:space="preserve"> (Depozitāra paziņojums)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F6768D" w:rsidRPr="005F4796" w:rsidRDefault="00F6768D" w:rsidP="005F4796">
      <w:pPr>
        <w:pStyle w:val="Pamatteksts"/>
        <w:ind w:left="0" w:firstLine="0"/>
        <w:jc w:val="center"/>
        <w:rPr>
          <w:noProof/>
          <w:sz w:val="24"/>
        </w:rPr>
      </w:pPr>
      <w:r>
        <w:rPr>
          <w:sz w:val="24"/>
        </w:rPr>
        <w:t>NOLĪGUMS PAR ĀTRI BOJĀJOŠOS PĀRTIKAS PRODUKTU STARPTAUTISKAJIEM PĀRVADĀJUMIEM UN PAR SPECIĀLĀM IEK</w:t>
      </w:r>
      <w:bookmarkStart w:id="0" w:name="_GoBack"/>
      <w:bookmarkEnd w:id="0"/>
      <w:r>
        <w:rPr>
          <w:sz w:val="24"/>
        </w:rPr>
        <w:t>ĀRTĀM, KAS IZMANTOJAMAS ŠAJOS PĀRVADĀJUMOS (</w:t>
      </w:r>
      <w:r>
        <w:rPr>
          <w:i/>
          <w:iCs/>
          <w:sz w:val="24"/>
        </w:rPr>
        <w:t>ATP</w:t>
      </w:r>
      <w:r>
        <w:rPr>
          <w:sz w:val="24"/>
        </w:rPr>
        <w:t>)</w:t>
      </w:r>
    </w:p>
    <w:p w:rsidR="005F4796" w:rsidRDefault="00F6768D" w:rsidP="005F4796">
      <w:pPr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ŽENĒVA, 1970. GADA 1. SEPTEMBRIS</w:t>
      </w:r>
    </w:p>
    <w:p w:rsidR="005F4796" w:rsidRDefault="005F4796" w:rsidP="005F4796">
      <w:pPr>
        <w:jc w:val="center"/>
        <w:rPr>
          <w:rFonts w:ascii="Times New Roman" w:hAnsi="Times New Roman"/>
          <w:noProof/>
          <w:sz w:val="24"/>
        </w:rPr>
      </w:pPr>
    </w:p>
    <w:p w:rsidR="00F6768D" w:rsidRPr="005F4796" w:rsidRDefault="00F6768D" w:rsidP="005F4796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sz w:val="24"/>
        </w:rPr>
        <w:t>PRIEKŠLIKUMS 1. PIELIKUMA 2. PAPILDINĀJUMA LABOJUMIEM</w:t>
      </w:r>
    </w:p>
    <w:p w:rsidR="00F6768D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5F4796" w:rsidRPr="005F4796" w:rsidRDefault="005F4796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F6768D" w:rsidRPr="005F4796" w:rsidRDefault="00F6768D" w:rsidP="005F4796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>Apvienoto Nāciju Organizācijas ģenerālsekretārs, kas veic depozitāra funkcijas, sniedz šādu paziņojumu:</w:t>
      </w:r>
    </w:p>
    <w:p w:rsidR="00F6768D" w:rsidRPr="005F4796" w:rsidRDefault="00F6768D" w:rsidP="005F4796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F6768D" w:rsidRPr="005F4796" w:rsidRDefault="00F6768D" w:rsidP="005F4796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>Apvienoto Nāciju Organizācijas Eiropas Ekonomikas komisijas Darba grupa par ātri bojājošos pārtikas produktu pārvadājumiem (</w:t>
      </w:r>
      <w:r>
        <w:rPr>
          <w:i/>
          <w:iCs/>
          <w:sz w:val="24"/>
        </w:rPr>
        <w:t>WP.11</w:t>
      </w:r>
      <w:r>
        <w:rPr>
          <w:sz w:val="24"/>
        </w:rPr>
        <w:t xml:space="preserve">) ir vērsusi ģenerālsekretāra uzmanību uz dažām kļūdām </w:t>
      </w:r>
      <w:r>
        <w:rPr>
          <w:i/>
          <w:iCs/>
          <w:sz w:val="24"/>
        </w:rPr>
        <w:t>ATP</w:t>
      </w:r>
      <w:r>
        <w:rPr>
          <w:sz w:val="24"/>
        </w:rPr>
        <w:t xml:space="preserve"> 1. pielikuma 2. papildinājuma tekstā un ir lūgusi labojumus nosūtīt Līgumslēdzējām pusēm akceptēšanai.</w:t>
      </w:r>
    </w:p>
    <w:p w:rsidR="00F6768D" w:rsidRPr="005F4796" w:rsidRDefault="00F6768D" w:rsidP="005F4796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F6768D" w:rsidRPr="005F4796" w:rsidRDefault="00F6768D" w:rsidP="005F4796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 xml:space="preserve">Ierosināto labojumu teksts ietverts </w:t>
      </w:r>
      <w:r>
        <w:rPr>
          <w:i/>
          <w:iCs/>
          <w:sz w:val="24"/>
        </w:rPr>
        <w:t>WP.11</w:t>
      </w:r>
      <w:r>
        <w:rPr>
          <w:sz w:val="24"/>
        </w:rPr>
        <w:t xml:space="preserve"> septiņdesmit trešās sesijas (2017. gada 10. līdz 13. oktobrī) ziņojuma II pielikumā (</w:t>
      </w:r>
      <w:r>
        <w:rPr>
          <w:i/>
          <w:iCs/>
          <w:sz w:val="24"/>
        </w:rPr>
        <w:t>ECE/TRANS/WP.11/237</w:t>
      </w:r>
      <w:r>
        <w:rPr>
          <w:sz w:val="24"/>
        </w:rPr>
        <w:t>).</w:t>
      </w:r>
    </w:p>
    <w:p w:rsidR="00F6768D" w:rsidRPr="005F4796" w:rsidRDefault="00F6768D" w:rsidP="005F4796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</w:rPr>
      </w:pPr>
    </w:p>
    <w:p w:rsidR="00F6768D" w:rsidRPr="005F4796" w:rsidRDefault="00F6768D" w:rsidP="005F4796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 xml:space="preserve">Dokuments </w:t>
      </w:r>
      <w:r>
        <w:rPr>
          <w:i/>
          <w:iCs/>
          <w:sz w:val="24"/>
        </w:rPr>
        <w:t>ECE/TRANS/WP.11/237</w:t>
      </w:r>
      <w:r>
        <w:rPr>
          <w:sz w:val="24"/>
        </w:rPr>
        <w:t xml:space="preserve"> ir pieejams šādā Apvienoto Nāciju Organizācijas Eiropas Ekonomikas komisijas Ilgtspējīga transporta nodaļas interneta vietnes adresē: </w:t>
      </w:r>
      <w:r>
        <w:rPr>
          <w:sz w:val="24"/>
          <w:u w:val="single"/>
        </w:rPr>
        <w:t>http://unece.org/trans/main/wp11/wp11rep.html</w:t>
      </w:r>
    </w:p>
    <w:p w:rsidR="00F6768D" w:rsidRPr="005F4796" w:rsidRDefault="00F6768D" w:rsidP="005F4796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F6768D" w:rsidRPr="005F4796" w:rsidRDefault="00F6768D" w:rsidP="005F4796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>Ierosināto labojumu teksts ir arī ievietots turpmāk šajā paziņojumā.</w:t>
      </w:r>
    </w:p>
    <w:p w:rsidR="00F6768D" w:rsidRPr="005F4796" w:rsidRDefault="00F6768D" w:rsidP="005F4796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F6768D" w:rsidRPr="005F4796" w:rsidRDefault="00F6768D" w:rsidP="005F4796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>Ģenerālsekretārs ierosina šajā tekstā veikt attiecīgus labojumus, ja vien ieinteresētās dalībvalstis nav cēlušas iebildumus.</w:t>
      </w:r>
    </w:p>
    <w:p w:rsidR="00F6768D" w:rsidRPr="005F4796" w:rsidRDefault="00F6768D" w:rsidP="005F4796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F6768D" w:rsidRPr="005F4796" w:rsidRDefault="00F6768D" w:rsidP="005F4796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>Saskaņā ar iedibināto praksi par iebildumiem ir jāpaziņo ģenerālsekretāram 90 dienu laikā no šā paziņojuma iesniegšanas dienas – ne vēlāk kā 2018. gada 7. maijā.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F6768D" w:rsidRPr="005F4796" w:rsidRDefault="00F6768D" w:rsidP="005F4796">
      <w:pPr>
        <w:pStyle w:val="Pamatteksts"/>
        <w:ind w:left="0" w:firstLine="0"/>
        <w:jc w:val="right"/>
        <w:rPr>
          <w:noProof/>
          <w:sz w:val="24"/>
        </w:rPr>
      </w:pPr>
      <w:r>
        <w:rPr>
          <w:sz w:val="24"/>
        </w:rPr>
        <w:t>2018. gada 6. februārī</w:t>
      </w:r>
    </w:p>
    <w:p w:rsidR="00F6768D" w:rsidRPr="005F4796" w:rsidRDefault="00F6768D" w:rsidP="005F4796">
      <w:pPr>
        <w:jc w:val="right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4E1628F7" wp14:editId="432E62CC">
            <wp:extent cx="1063316" cy="6705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316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F6768D" w:rsidRPr="005F4796" w:rsidRDefault="00F6768D" w:rsidP="005F4796">
      <w:pPr>
        <w:pStyle w:val="Pamatteksts"/>
        <w:ind w:left="0" w:firstLine="0"/>
        <w:jc w:val="both"/>
        <w:rPr>
          <w:noProof/>
          <w:sz w:val="24"/>
        </w:rPr>
      </w:pPr>
      <w:r>
        <w:rPr>
          <w:sz w:val="24"/>
        </w:rPr>
        <w:t xml:space="preserve">Kam: Ārlietu ministriju un attiecīgo starptautisko organizāciju struktūrvienībām, kuras ir </w:t>
      </w:r>
      <w:r>
        <w:rPr>
          <w:sz w:val="24"/>
        </w:rPr>
        <w:lastRenderedPageBreak/>
        <w:t xml:space="preserve">atbildīgas par līgumiem. Depozitāra paziņojumi tiek izdoti vienīgi elektroniskā veidā. Depozitāra paziņojumi tiek darīti pieejami pastāvīgajām pārstāvniecībām Apvienoto Nāciju Organizācijā, ievietojot tos Apvienoto Nāciju Organizācijas līgumu apkopojumā interneta vietnē https://treaties.un.org, sadaļā </w:t>
      </w:r>
      <w:r>
        <w:rPr>
          <w:i/>
          <w:iCs/>
          <w:sz w:val="24"/>
        </w:rPr>
        <w:t>Depositary Notifications</w:t>
      </w:r>
      <w:r>
        <w:rPr>
          <w:sz w:val="24"/>
        </w:rPr>
        <w:t xml:space="preserve"> (</w:t>
      </w:r>
      <w:r>
        <w:rPr>
          <w:i/>
          <w:iCs/>
          <w:sz w:val="24"/>
        </w:rPr>
        <w:t>CNs</w:t>
      </w:r>
      <w:r>
        <w:rPr>
          <w:sz w:val="24"/>
        </w:rPr>
        <w:t>) (Depozitāra paziņojumi (</w:t>
      </w:r>
      <w:r>
        <w:rPr>
          <w:i/>
          <w:iCs/>
          <w:sz w:val="24"/>
        </w:rPr>
        <w:t>CNs</w:t>
      </w:r>
      <w:r>
        <w:rPr>
          <w:sz w:val="24"/>
        </w:rPr>
        <w:t xml:space="preserve">)). Turklāt pastāvīgās pārstāvniecības, kā arī citas ieinteresētās personas var pieteikties depozitāra paziņojumu saņemšanai e-pastā, izmantojot līgumu sadaļas </w:t>
      </w:r>
      <w:r>
        <w:rPr>
          <w:i/>
          <w:iCs/>
          <w:sz w:val="24"/>
        </w:rPr>
        <w:t>Automated Subscription Services</w:t>
      </w:r>
      <w:r>
        <w:rPr>
          <w:sz w:val="24"/>
        </w:rPr>
        <w:t xml:space="preserve"> (Pieteikšanās jaunumu saņemšanai), kas ir pieejami arī interneta vietnē https://treaties.un.org/Pages/Login.aspx?lang=_en.</w:t>
      </w:r>
    </w:p>
    <w:p w:rsidR="005F4796" w:rsidRDefault="005F4796" w:rsidP="005F4796">
      <w:pPr>
        <w:jc w:val="both"/>
        <w:rPr>
          <w:rFonts w:ascii="Times New Roman" w:hAnsi="Times New Roman"/>
          <w:noProof/>
          <w:sz w:val="24"/>
        </w:rPr>
      </w:pPr>
    </w:p>
    <w:p w:rsidR="005F4796" w:rsidRPr="005F4796" w:rsidRDefault="005F4796" w:rsidP="005F4796">
      <w:pPr>
        <w:jc w:val="both"/>
        <w:rPr>
          <w:rFonts w:ascii="Times New Roman" w:hAnsi="Times New Roman"/>
          <w:noProof/>
          <w:sz w:val="24"/>
        </w:rPr>
      </w:pPr>
    </w:p>
    <w:p w:rsidR="00F6768D" w:rsidRPr="005F4796" w:rsidRDefault="00F6768D" w:rsidP="005F4796">
      <w:pPr>
        <w:pStyle w:val="Virsraksts1"/>
        <w:spacing w:before="0"/>
        <w:ind w:left="0"/>
        <w:jc w:val="center"/>
        <w:rPr>
          <w:noProof/>
          <w:u w:val="thick" w:color="231F20"/>
        </w:rPr>
      </w:pPr>
      <w:r>
        <w:rPr>
          <w:u w:val="thick" w:color="231F20"/>
        </w:rPr>
        <w:t>Pielikums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</w:rPr>
      </w:pP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16"/>
        </w:rPr>
      </w:pPr>
    </w:p>
    <w:p w:rsidR="00F6768D" w:rsidRPr="005F4796" w:rsidRDefault="00F6768D" w:rsidP="005F4796">
      <w:pPr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i/>
          <w:iCs/>
          <w:sz w:val="24"/>
        </w:rPr>
        <w:t>ATP</w:t>
      </w:r>
      <w:r>
        <w:rPr>
          <w:rFonts w:ascii="Times New Roman" w:hAnsi="Times New Roman"/>
          <w:b/>
          <w:sz w:val="24"/>
        </w:rPr>
        <w:t xml:space="preserve"> labojumi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30"/>
        </w:rPr>
      </w:pPr>
    </w:p>
    <w:p w:rsidR="00F6768D" w:rsidRPr="005F4796" w:rsidRDefault="005F4796" w:rsidP="005F4796">
      <w:pPr>
        <w:tabs>
          <w:tab w:val="left" w:pos="1756"/>
        </w:tabs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1. 1. pielikuma 2. papildinājuma 1.2. punkts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8"/>
        </w:rPr>
      </w:pPr>
      <w:r>
        <w:rPr>
          <w:rFonts w:ascii="Times New Roman" w:hAnsi="Times New Roman"/>
          <w:i/>
          <w:iCs/>
          <w:sz w:val="24"/>
        </w:rPr>
        <w:t>ATP</w:t>
      </w:r>
      <w:r>
        <w:rPr>
          <w:rFonts w:ascii="Times New Roman" w:hAnsi="Times New Roman"/>
          <w:sz w:val="24"/>
        </w:rPr>
        <w:t xml:space="preserve"> tekstā krievu valodā</w:t>
      </w:r>
      <w:r>
        <w:rPr>
          <w:rFonts w:ascii="Times New Roman" w:hAnsi="Times New Roman"/>
          <w:sz w:val="24"/>
          <w:szCs w:val="24"/>
        </w:rPr>
        <w:t xml:space="preserve"> ““</w:t>
      </w:r>
      <w:r>
        <w:rPr>
          <w:rFonts w:ascii="Times New Roman" w:hAnsi="Times New Roman"/>
          <w:b/>
          <w:bCs/>
          <w:sz w:val="24"/>
          <w:szCs w:val="24"/>
        </w:rPr>
        <w:t>набколенные буги</w:t>
      </w:r>
      <w:r>
        <w:rPr>
          <w:rFonts w:ascii="Times New Roman" w:hAnsi="Times New Roman"/>
          <w:sz w:val="24"/>
          <w:szCs w:val="24"/>
        </w:rPr>
        <w:t>” (</w:t>
      </w:r>
      <w:r>
        <w:rPr>
          <w:rFonts w:ascii="Times New Roman" w:hAnsi="Times New Roman"/>
          <w:i/>
          <w:sz w:val="24"/>
          <w:szCs w:val="24"/>
        </w:rPr>
        <w:t>nadkolyennye dugy</w:t>
      </w:r>
      <w:r>
        <w:rPr>
          <w:rFonts w:ascii="Times New Roman" w:hAnsi="Times New Roman"/>
          <w:sz w:val="24"/>
          <w:szCs w:val="24"/>
        </w:rPr>
        <w:t>)”</w:t>
      </w:r>
      <w:r>
        <w:rPr>
          <w:rFonts w:ascii="Times New Roman" w:hAnsi="Times New Roman"/>
          <w:sz w:val="24"/>
        </w:rPr>
        <w:t xml:space="preserve"> aizstāts ar “</w:t>
      </w:r>
      <w:r>
        <w:rPr>
          <w:rFonts w:ascii="Times New Roman" w:hAnsi="Times New Roman"/>
          <w:b/>
          <w:bCs/>
          <w:sz w:val="24"/>
        </w:rPr>
        <w:t>колесные арки</w:t>
      </w:r>
      <w:r>
        <w:rPr>
          <w:rFonts w:ascii="Times New Roman" w:hAnsi="Times New Roman"/>
          <w:sz w:val="24"/>
        </w:rPr>
        <w:t>” (</w:t>
      </w:r>
      <w:r>
        <w:rPr>
          <w:rFonts w:ascii="Times New Roman" w:hAnsi="Times New Roman"/>
          <w:i/>
          <w:sz w:val="24"/>
        </w:rPr>
        <w:t>kolyesnye arki</w:t>
      </w:r>
      <w:r>
        <w:rPr>
          <w:rFonts w:ascii="Times New Roman" w:hAnsi="Times New Roman"/>
          <w:sz w:val="24"/>
        </w:rPr>
        <w:t>)”.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Šis labojums neattiecas uz tekstu angļu un franču valodā.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8"/>
        </w:rPr>
      </w:pPr>
    </w:p>
    <w:p w:rsidR="00F6768D" w:rsidRPr="005F4796" w:rsidRDefault="005F4796" w:rsidP="005F4796">
      <w:pPr>
        <w:tabs>
          <w:tab w:val="left" w:pos="1756"/>
        </w:tabs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2. 1. pielikuma 2. papildinājuma 2.3.1. punkts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8"/>
        </w:rPr>
      </w:pPr>
      <w:r>
        <w:rPr>
          <w:rFonts w:ascii="Times New Roman" w:hAnsi="Times New Roman"/>
          <w:i/>
          <w:iCs/>
          <w:sz w:val="24"/>
          <w:szCs w:val="18"/>
        </w:rPr>
        <w:t>ATP</w:t>
      </w:r>
      <w:r>
        <w:rPr>
          <w:rFonts w:ascii="Times New Roman" w:hAnsi="Times New Roman"/>
          <w:sz w:val="24"/>
          <w:szCs w:val="18"/>
        </w:rPr>
        <w:t xml:space="preserve"> tekstā krievu valodā “nav zemāks” aizstāts ar “ir zemāks”. Šis labojums neattiecas uz tekstu angļu un franču valodā.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4"/>
        </w:rPr>
      </w:pPr>
    </w:p>
    <w:p w:rsidR="00F6768D" w:rsidRPr="005F4796" w:rsidRDefault="005F4796" w:rsidP="005F4796">
      <w:pPr>
        <w:tabs>
          <w:tab w:val="left" w:pos="1756"/>
        </w:tabs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3. 1. pielikuma 2. papildinājuma 2.1.4. punkts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25 °C ± 2 K </w:t>
      </w:r>
      <w:r>
        <w:rPr>
          <w:rFonts w:ascii="Times New Roman" w:hAnsi="Times New Roman"/>
          <w:i/>
          <w:sz w:val="24"/>
          <w:szCs w:val="18"/>
        </w:rPr>
        <w:t xml:space="preserve">lasāms kā </w:t>
      </w:r>
      <w:r>
        <w:rPr>
          <w:rFonts w:ascii="Times New Roman" w:hAnsi="Times New Roman"/>
          <w:sz w:val="24"/>
          <w:szCs w:val="18"/>
        </w:rPr>
        <w:t>25 °C ± 2 °C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6"/>
        </w:rPr>
      </w:pPr>
    </w:p>
    <w:p w:rsidR="00F6768D" w:rsidRPr="005F4796" w:rsidRDefault="005F4796" w:rsidP="005F4796">
      <w:pPr>
        <w:tabs>
          <w:tab w:val="left" w:pos="1755"/>
        </w:tabs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4. 1. pielikuma 2. papildinājuma 2.1.4. punkts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+ 20 °C ± 0,5 K </w:t>
      </w:r>
      <w:r>
        <w:rPr>
          <w:rFonts w:ascii="Times New Roman" w:hAnsi="Times New Roman"/>
          <w:i/>
          <w:sz w:val="24"/>
          <w:szCs w:val="18"/>
        </w:rPr>
        <w:t xml:space="preserve">lasāms kā + </w:t>
      </w:r>
      <w:r>
        <w:rPr>
          <w:rFonts w:ascii="Times New Roman" w:hAnsi="Times New Roman"/>
          <w:sz w:val="24"/>
          <w:szCs w:val="18"/>
        </w:rPr>
        <w:t>20 °C ± 0,5 °C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6"/>
        </w:rPr>
      </w:pPr>
    </w:p>
    <w:p w:rsidR="00F6768D" w:rsidRPr="005F4796" w:rsidRDefault="005F4796" w:rsidP="005F4796">
      <w:pPr>
        <w:tabs>
          <w:tab w:val="left" w:pos="1755"/>
        </w:tabs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5. 1. pielikuma 2. papildinājuma 2.2.5. punkts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25 °C ± 2 K </w:t>
      </w:r>
      <w:r>
        <w:rPr>
          <w:rFonts w:ascii="Times New Roman" w:hAnsi="Times New Roman"/>
          <w:i/>
          <w:sz w:val="24"/>
          <w:szCs w:val="18"/>
        </w:rPr>
        <w:t xml:space="preserve">lasāms kā </w:t>
      </w:r>
      <w:r>
        <w:rPr>
          <w:rFonts w:ascii="Times New Roman" w:hAnsi="Times New Roman"/>
          <w:sz w:val="24"/>
          <w:szCs w:val="18"/>
        </w:rPr>
        <w:t>25 °C ± 2 °C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6"/>
        </w:rPr>
      </w:pPr>
    </w:p>
    <w:p w:rsidR="00F6768D" w:rsidRPr="005F4796" w:rsidRDefault="005F4796" w:rsidP="005F4796">
      <w:pPr>
        <w:tabs>
          <w:tab w:val="left" w:pos="1755"/>
        </w:tabs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6. 1. pielikuma 2. papildinājuma 2.2.5. punkts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20 °C ± 0,5 K </w:t>
      </w:r>
      <w:r>
        <w:rPr>
          <w:rFonts w:ascii="Times New Roman" w:hAnsi="Times New Roman"/>
          <w:i/>
          <w:sz w:val="24"/>
          <w:szCs w:val="18"/>
        </w:rPr>
        <w:t xml:space="preserve">lasāms kā </w:t>
      </w:r>
      <w:r>
        <w:rPr>
          <w:rFonts w:ascii="Times New Roman" w:hAnsi="Times New Roman"/>
          <w:sz w:val="24"/>
          <w:szCs w:val="18"/>
        </w:rPr>
        <w:t>20 °C ± 0,5 °C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6"/>
        </w:rPr>
      </w:pPr>
    </w:p>
    <w:p w:rsidR="00F6768D" w:rsidRPr="005F4796" w:rsidRDefault="005F4796" w:rsidP="005F4796">
      <w:pPr>
        <w:tabs>
          <w:tab w:val="left" w:pos="1755"/>
        </w:tabs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7. 1. pielikuma 2. papildinājuma 3.1.1. punkts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± 0,5 K, ja ir + 30 °C </w:t>
      </w:r>
      <w:r>
        <w:rPr>
          <w:rFonts w:ascii="Times New Roman" w:hAnsi="Times New Roman"/>
          <w:i/>
          <w:sz w:val="24"/>
          <w:szCs w:val="18"/>
        </w:rPr>
        <w:t>lasāms kā ± </w:t>
      </w:r>
      <w:r>
        <w:rPr>
          <w:rFonts w:ascii="Times New Roman" w:hAnsi="Times New Roman"/>
          <w:sz w:val="24"/>
          <w:szCs w:val="18"/>
        </w:rPr>
        <w:t>0,5 °C, ja ir + 30 °C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6"/>
        </w:rPr>
      </w:pPr>
    </w:p>
    <w:p w:rsidR="00F6768D" w:rsidRPr="005F4796" w:rsidRDefault="005F4796" w:rsidP="005F4796">
      <w:pPr>
        <w:tabs>
          <w:tab w:val="left" w:pos="1754"/>
        </w:tabs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8. 1. pielikuma 2. papildinājuma 4.2.3. punkta i) apakšpunkts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30 °C ± 0,5 K </w:t>
      </w:r>
      <w:r>
        <w:rPr>
          <w:rFonts w:ascii="Times New Roman" w:hAnsi="Times New Roman"/>
          <w:i/>
          <w:sz w:val="24"/>
          <w:szCs w:val="18"/>
        </w:rPr>
        <w:t xml:space="preserve">lasāms kā </w:t>
      </w:r>
      <w:r>
        <w:rPr>
          <w:rFonts w:ascii="Times New Roman" w:hAnsi="Times New Roman"/>
          <w:sz w:val="24"/>
          <w:szCs w:val="18"/>
        </w:rPr>
        <w:t>30 °C ± 0,5 °C</w:t>
      </w:r>
    </w:p>
    <w:p w:rsidR="00F6768D" w:rsidRPr="005F4796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6"/>
        </w:rPr>
      </w:pPr>
    </w:p>
    <w:p w:rsidR="00F6768D" w:rsidRPr="005F4796" w:rsidRDefault="005F4796" w:rsidP="005F4796">
      <w:pPr>
        <w:tabs>
          <w:tab w:val="left" w:pos="1754"/>
        </w:tabs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9. 1. pielikuma 2. papildinājuma 4.3.1. punkta a) apakšpunkts</w:t>
      </w:r>
    </w:p>
    <w:p w:rsidR="00F6768D" w:rsidRPr="00452B33" w:rsidRDefault="00F6768D" w:rsidP="005F4796">
      <w:pPr>
        <w:jc w:val="both"/>
        <w:rPr>
          <w:rFonts w:ascii="Times New Roman" w:eastAsia="Times New Roman" w:hAnsi="Times New Roman" w:cs="Times New Roman"/>
          <w:noProof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30 °C ± 3 K </w:t>
      </w:r>
      <w:r>
        <w:rPr>
          <w:rFonts w:ascii="Times New Roman" w:hAnsi="Times New Roman"/>
          <w:i/>
          <w:sz w:val="24"/>
          <w:szCs w:val="18"/>
        </w:rPr>
        <w:t xml:space="preserve">lasāms kā </w:t>
      </w:r>
      <w:r>
        <w:rPr>
          <w:rFonts w:ascii="Times New Roman" w:hAnsi="Times New Roman"/>
          <w:sz w:val="24"/>
          <w:szCs w:val="18"/>
        </w:rPr>
        <w:t>30 °C ± 3 °C</w:t>
      </w:r>
    </w:p>
    <w:sectPr w:rsidR="00F6768D" w:rsidRPr="00452B33" w:rsidSect="005F479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68D" w:rsidRPr="00F6768D" w:rsidRDefault="00F6768D" w:rsidP="00F6768D">
      <w:pPr>
        <w:rPr>
          <w:noProof/>
        </w:rPr>
      </w:pPr>
      <w:r w:rsidRPr="00F6768D">
        <w:rPr>
          <w:noProof/>
        </w:rPr>
        <w:separator/>
      </w:r>
    </w:p>
  </w:endnote>
  <w:endnote w:type="continuationSeparator" w:id="0">
    <w:p w:rsidR="00F6768D" w:rsidRPr="00F6768D" w:rsidRDefault="00F6768D" w:rsidP="00F6768D">
      <w:pPr>
        <w:rPr>
          <w:noProof/>
        </w:rPr>
      </w:pPr>
      <w:r w:rsidRPr="00F6768D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A1" w:rsidRPr="00215DA1" w:rsidRDefault="00215DA1" w:rsidP="00215DA1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18"/>
      </w:rPr>
    </w:pPr>
  </w:p>
  <w:p w:rsidR="00215DA1" w:rsidRPr="00215DA1" w:rsidRDefault="00215DA1" w:rsidP="00215DA1">
    <w:pPr>
      <w:pStyle w:val="Galvene"/>
      <w:tabs>
        <w:tab w:val="clear" w:pos="4153"/>
        <w:tab w:val="clear" w:pos="8306"/>
        <w:tab w:val="right" w:leader="underscore" w:pos="9072"/>
      </w:tabs>
      <w:rPr>
        <w:rStyle w:val="Lappusesnumurs"/>
        <w:rFonts w:ascii="Times New Roman" w:hAnsi="Times New Roman" w:cs="Times New Roman"/>
        <w:sz w:val="20"/>
        <w:szCs w:val="18"/>
      </w:rPr>
    </w:pPr>
    <w:r w:rsidRPr="00215DA1">
      <w:rPr>
        <w:rStyle w:val="Lappusesnumurs"/>
        <w:rFonts w:ascii="Times New Roman" w:hAnsi="Times New Roman" w:cs="Times New Roman"/>
        <w:sz w:val="20"/>
        <w:szCs w:val="18"/>
      </w:rPr>
      <w:tab/>
    </w:r>
  </w:p>
  <w:p w:rsidR="00215DA1" w:rsidRPr="00215DA1" w:rsidRDefault="00215DA1" w:rsidP="00215DA1">
    <w:pPr>
      <w:pStyle w:val="Galvene"/>
      <w:tabs>
        <w:tab w:val="clear" w:pos="4153"/>
        <w:tab w:val="clear" w:pos="8306"/>
        <w:tab w:val="right" w:pos="9072"/>
      </w:tabs>
      <w:rPr>
        <w:rStyle w:val="Lappusesnumurs"/>
        <w:rFonts w:ascii="Times New Roman" w:hAnsi="Times New Roman" w:cs="Times New Roman"/>
        <w:sz w:val="20"/>
        <w:szCs w:val="18"/>
      </w:rPr>
    </w:pPr>
  </w:p>
  <w:p w:rsidR="00215DA1" w:rsidRPr="00215DA1" w:rsidRDefault="00215DA1" w:rsidP="00215DA1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 w:cs="Times New Roman"/>
        <w:sz w:val="20"/>
        <w:szCs w:val="18"/>
      </w:rPr>
    </w:pPr>
    <w:r w:rsidRPr="00215DA1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215DA1">
      <w:rPr>
        <w:rFonts w:ascii="Times New Roman" w:hAnsi="Times New Roman" w:cs="Times New Roman"/>
        <w:noProof/>
        <w:sz w:val="20"/>
        <w:szCs w:val="18"/>
      </w:rPr>
      <w:fldChar w:fldCharType="begin"/>
    </w:r>
    <w:r w:rsidRPr="00215DA1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215DA1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215DA1">
      <w:rPr>
        <w:rFonts w:ascii="Times New Roman" w:hAnsi="Times New Roman" w:cs="Times New Roman"/>
        <w:noProof/>
        <w:sz w:val="20"/>
        <w:szCs w:val="18"/>
      </w:rPr>
      <w:t>Ó</w:t>
    </w:r>
    <w:r w:rsidRPr="00215DA1">
      <w:rPr>
        <w:rFonts w:ascii="Times New Roman" w:hAnsi="Times New Roman" w:cs="Times New Roman"/>
        <w:noProof/>
        <w:sz w:val="20"/>
        <w:szCs w:val="18"/>
      </w:rPr>
      <w:fldChar w:fldCharType="end"/>
    </w:r>
    <w:r w:rsidRPr="00215DA1">
      <w:rPr>
        <w:rFonts w:ascii="Times New Roman" w:hAnsi="Times New Roman" w:cs="Times New Roman"/>
        <w:noProof/>
        <w:sz w:val="20"/>
        <w:szCs w:val="18"/>
      </w:rPr>
      <w:t xml:space="preserve"> Valsts valodas centrs, 2019</w:t>
    </w:r>
    <w:r w:rsidRPr="00215DA1">
      <w:rPr>
        <w:rFonts w:ascii="Times New Roman" w:hAnsi="Times New Roman" w:cs="Times New Roman"/>
        <w:sz w:val="20"/>
        <w:szCs w:val="18"/>
      </w:rPr>
      <w:tab/>
    </w:r>
    <w:r w:rsidRPr="00215DA1">
      <w:rPr>
        <w:rStyle w:val="Lappusesnumurs"/>
        <w:rFonts w:ascii="Times New Roman" w:hAnsi="Times New Roman" w:cs="Times New Roman"/>
        <w:sz w:val="20"/>
        <w:szCs w:val="18"/>
      </w:rPr>
      <w:fldChar w:fldCharType="begin"/>
    </w:r>
    <w:r w:rsidRPr="00215DA1">
      <w:rPr>
        <w:rStyle w:val="Lappusesnumurs"/>
        <w:rFonts w:ascii="Times New Roman" w:hAnsi="Times New Roman" w:cs="Times New Roman"/>
        <w:sz w:val="20"/>
        <w:szCs w:val="18"/>
      </w:rPr>
      <w:instrText xml:space="preserve">page </w:instrText>
    </w:r>
    <w:r w:rsidRPr="00215DA1">
      <w:rPr>
        <w:rStyle w:val="Lappusesnumurs"/>
        <w:rFonts w:ascii="Times New Roman" w:hAnsi="Times New Roman" w:cs="Times New Roman"/>
        <w:sz w:val="20"/>
        <w:szCs w:val="18"/>
      </w:rPr>
      <w:fldChar w:fldCharType="separate"/>
    </w:r>
    <w:r w:rsidRPr="00215DA1">
      <w:rPr>
        <w:rStyle w:val="Lappusesnumurs"/>
        <w:rFonts w:ascii="Times New Roman" w:hAnsi="Times New Roman" w:cs="Times New Roman"/>
        <w:sz w:val="20"/>
        <w:szCs w:val="18"/>
      </w:rPr>
      <w:t>2</w:t>
    </w:r>
    <w:r w:rsidRPr="00215DA1">
      <w:rPr>
        <w:rStyle w:val="Lappusesnumurs"/>
        <w:rFonts w:ascii="Times New Roman" w:hAnsi="Times New Roman" w:cs="Times New Roman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A1" w:rsidRPr="00215DA1" w:rsidRDefault="00215DA1" w:rsidP="00215DA1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18"/>
      </w:rPr>
    </w:pPr>
    <w:bookmarkStart w:id="11" w:name="_Hlk496261764"/>
    <w:bookmarkStart w:id="12" w:name="_Hlk496261765"/>
    <w:bookmarkStart w:id="13" w:name="_Hlk496261766"/>
  </w:p>
  <w:p w:rsidR="00215DA1" w:rsidRPr="00215DA1" w:rsidRDefault="00215DA1" w:rsidP="00215DA1">
    <w:pPr>
      <w:pStyle w:val="Galvene"/>
      <w:tabs>
        <w:tab w:val="clear" w:pos="4153"/>
        <w:tab w:val="clear" w:pos="8306"/>
        <w:tab w:val="left" w:leader="underscore" w:pos="9072"/>
      </w:tabs>
      <w:rPr>
        <w:rStyle w:val="Lappusesnumurs"/>
        <w:rFonts w:ascii="Times New Roman" w:hAnsi="Times New Roman" w:cs="Times New Roman"/>
        <w:sz w:val="20"/>
        <w:szCs w:val="18"/>
      </w:rPr>
    </w:pPr>
    <w:r w:rsidRPr="00215DA1">
      <w:rPr>
        <w:rStyle w:val="Lappusesnumurs"/>
        <w:rFonts w:ascii="Times New Roman" w:hAnsi="Times New Roman" w:cs="Times New Roman"/>
        <w:sz w:val="20"/>
        <w:szCs w:val="18"/>
      </w:rPr>
      <w:tab/>
    </w:r>
  </w:p>
  <w:p w:rsidR="00215DA1" w:rsidRPr="00215DA1" w:rsidRDefault="00215DA1" w:rsidP="00215DA1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18"/>
      </w:rPr>
    </w:pPr>
  </w:p>
  <w:p w:rsidR="00215DA1" w:rsidRPr="00215DA1" w:rsidRDefault="00215DA1" w:rsidP="00215DA1">
    <w:pPr>
      <w:pStyle w:val="Kjene"/>
      <w:rPr>
        <w:rFonts w:ascii="Times New Roman" w:hAnsi="Times New Roman" w:cs="Times New Roman"/>
        <w:sz w:val="20"/>
        <w:szCs w:val="18"/>
      </w:rPr>
    </w:pPr>
    <w:r w:rsidRPr="00215DA1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215DA1">
      <w:rPr>
        <w:rFonts w:ascii="Times New Roman" w:hAnsi="Times New Roman" w:cs="Times New Roman"/>
        <w:noProof/>
        <w:sz w:val="20"/>
        <w:szCs w:val="18"/>
      </w:rPr>
      <w:fldChar w:fldCharType="begin"/>
    </w:r>
    <w:r w:rsidRPr="00215DA1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215DA1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215DA1">
      <w:rPr>
        <w:rFonts w:ascii="Times New Roman" w:hAnsi="Times New Roman" w:cs="Times New Roman"/>
        <w:noProof/>
        <w:sz w:val="20"/>
        <w:szCs w:val="18"/>
      </w:rPr>
      <w:t>Ó</w:t>
    </w:r>
    <w:r w:rsidRPr="00215DA1">
      <w:rPr>
        <w:rFonts w:ascii="Times New Roman" w:hAnsi="Times New Roman" w:cs="Times New Roman"/>
        <w:noProof/>
        <w:sz w:val="20"/>
        <w:szCs w:val="18"/>
      </w:rPr>
      <w:fldChar w:fldCharType="end"/>
    </w:r>
    <w:r w:rsidRPr="00215DA1">
      <w:rPr>
        <w:rFonts w:ascii="Times New Roman" w:hAnsi="Times New Roman" w:cs="Times New Roman"/>
        <w:noProof/>
        <w:sz w:val="20"/>
        <w:szCs w:val="18"/>
      </w:rPr>
      <w:t xml:space="preserve"> Valsts valodas centrs, 201</w:t>
    </w:r>
    <w:bookmarkEnd w:id="11"/>
    <w:bookmarkEnd w:id="12"/>
    <w:bookmarkEnd w:id="13"/>
    <w:r w:rsidRPr="00215DA1">
      <w:rPr>
        <w:rFonts w:ascii="Times New Roman" w:hAnsi="Times New Roman" w:cs="Times New Roman"/>
        <w:noProof/>
        <w:sz w:val="20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68D" w:rsidRPr="00F6768D" w:rsidRDefault="00F6768D" w:rsidP="00F6768D">
      <w:pPr>
        <w:rPr>
          <w:noProof/>
        </w:rPr>
      </w:pPr>
      <w:r w:rsidRPr="00F6768D">
        <w:rPr>
          <w:noProof/>
        </w:rPr>
        <w:separator/>
      </w:r>
    </w:p>
  </w:footnote>
  <w:footnote w:type="continuationSeparator" w:id="0">
    <w:p w:rsidR="00F6768D" w:rsidRPr="00F6768D" w:rsidRDefault="00F6768D" w:rsidP="00F6768D">
      <w:pPr>
        <w:rPr>
          <w:noProof/>
        </w:rPr>
      </w:pPr>
      <w:r w:rsidRPr="00F6768D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A1" w:rsidRPr="00215DA1" w:rsidRDefault="00215DA1" w:rsidP="00215DA1">
    <w:pPr>
      <w:pStyle w:val="Galvene"/>
      <w:tabs>
        <w:tab w:val="clear" w:pos="4153"/>
        <w:tab w:val="clear" w:pos="8306"/>
      </w:tabs>
      <w:rPr>
        <w:rStyle w:val="Lappusesnumurs"/>
        <w:rFonts w:ascii="Times New Roman" w:hAnsi="Times New Roman" w:cs="Times New Roman"/>
        <w:sz w:val="20"/>
        <w:szCs w:val="20"/>
      </w:rPr>
    </w:pPr>
    <w:bookmarkStart w:id="1" w:name="_Hlk496261784"/>
    <w:bookmarkStart w:id="2" w:name="_Hlk496261785"/>
    <w:bookmarkStart w:id="3" w:name="_Hlk496261786"/>
    <w:bookmarkStart w:id="4" w:name="_Hlk502757728"/>
    <w:bookmarkStart w:id="5" w:name="_Hlk502757729"/>
    <w:bookmarkStart w:id="6" w:name="_Hlk502757738"/>
    <w:bookmarkStart w:id="7" w:name="_Hlk502757739"/>
  </w:p>
  <w:p w:rsidR="00215DA1" w:rsidRPr="00215DA1" w:rsidRDefault="00215DA1" w:rsidP="00215DA1">
    <w:pPr>
      <w:pStyle w:val="Galvene"/>
      <w:tabs>
        <w:tab w:val="clear" w:pos="4153"/>
        <w:tab w:val="clear" w:pos="8306"/>
        <w:tab w:val="right" w:leader="underscore" w:pos="9072"/>
      </w:tabs>
      <w:rPr>
        <w:rStyle w:val="Lappusesnumurs"/>
        <w:rFonts w:ascii="Times New Roman" w:hAnsi="Times New Roman" w:cs="Times New Roman"/>
        <w:sz w:val="20"/>
        <w:szCs w:val="20"/>
      </w:rPr>
    </w:pPr>
    <w:r w:rsidRPr="00215DA1">
      <w:rPr>
        <w:rStyle w:val="Lappusesnumurs"/>
        <w:rFonts w:ascii="Times New Roman" w:hAnsi="Times New Roman" w:cs="Times New Roman"/>
        <w:sz w:val="20"/>
        <w:szCs w:val="20"/>
      </w:rPr>
      <w:tab/>
    </w:r>
  </w:p>
  <w:bookmarkEnd w:id="1"/>
  <w:bookmarkEnd w:id="2"/>
  <w:bookmarkEnd w:id="3"/>
  <w:bookmarkEnd w:id="4"/>
  <w:bookmarkEnd w:id="5"/>
  <w:bookmarkEnd w:id="6"/>
  <w:bookmarkEnd w:id="7"/>
  <w:p w:rsidR="00215DA1" w:rsidRPr="00215DA1" w:rsidRDefault="00215DA1" w:rsidP="00215DA1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A1" w:rsidRPr="00215DA1" w:rsidRDefault="00215DA1" w:rsidP="00215DA1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8" w:name="_Hlk496261745"/>
    <w:bookmarkStart w:id="9" w:name="_Hlk496261746"/>
    <w:bookmarkStart w:id="10" w:name="_Hlk496261747"/>
  </w:p>
  <w:bookmarkEnd w:id="8"/>
  <w:bookmarkEnd w:id="9"/>
  <w:bookmarkEnd w:id="10"/>
  <w:p w:rsidR="00215DA1" w:rsidRPr="00215DA1" w:rsidRDefault="00215DA1" w:rsidP="00215DA1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A21FB"/>
    <w:multiLevelType w:val="hybridMultilevel"/>
    <w:tmpl w:val="9C5E3378"/>
    <w:lvl w:ilvl="0" w:tplc="F0326FDE">
      <w:start w:val="1"/>
      <w:numFmt w:val="decimal"/>
      <w:lvlText w:val="%1."/>
      <w:lvlJc w:val="left"/>
      <w:pPr>
        <w:ind w:left="1755" w:hanging="287"/>
      </w:pPr>
      <w:rPr>
        <w:rFonts w:ascii="Times New Roman" w:eastAsia="Times New Roman" w:hAnsi="Times New Roman" w:hint="default"/>
        <w:b/>
        <w:bCs/>
        <w:color w:val="231F20"/>
        <w:spacing w:val="1"/>
        <w:w w:val="104"/>
        <w:sz w:val="18"/>
        <w:szCs w:val="18"/>
      </w:rPr>
    </w:lvl>
    <w:lvl w:ilvl="1" w:tplc="242E83DA">
      <w:start w:val="1"/>
      <w:numFmt w:val="bullet"/>
      <w:lvlText w:val="•"/>
      <w:lvlJc w:val="left"/>
      <w:pPr>
        <w:ind w:left="2459" w:hanging="287"/>
      </w:pPr>
      <w:rPr>
        <w:rFonts w:hint="default"/>
      </w:rPr>
    </w:lvl>
    <w:lvl w:ilvl="2" w:tplc="B2E0CE60">
      <w:start w:val="1"/>
      <w:numFmt w:val="bullet"/>
      <w:lvlText w:val="•"/>
      <w:lvlJc w:val="left"/>
      <w:pPr>
        <w:ind w:left="3164" w:hanging="287"/>
      </w:pPr>
      <w:rPr>
        <w:rFonts w:hint="default"/>
      </w:rPr>
    </w:lvl>
    <w:lvl w:ilvl="3" w:tplc="E2D22DC6">
      <w:start w:val="1"/>
      <w:numFmt w:val="bullet"/>
      <w:lvlText w:val="•"/>
      <w:lvlJc w:val="left"/>
      <w:pPr>
        <w:ind w:left="3868" w:hanging="287"/>
      </w:pPr>
      <w:rPr>
        <w:rFonts w:hint="default"/>
      </w:rPr>
    </w:lvl>
    <w:lvl w:ilvl="4" w:tplc="6332124C">
      <w:start w:val="1"/>
      <w:numFmt w:val="bullet"/>
      <w:lvlText w:val="•"/>
      <w:lvlJc w:val="left"/>
      <w:pPr>
        <w:ind w:left="4573" w:hanging="287"/>
      </w:pPr>
      <w:rPr>
        <w:rFonts w:hint="default"/>
      </w:rPr>
    </w:lvl>
    <w:lvl w:ilvl="5" w:tplc="6CD490A0">
      <w:start w:val="1"/>
      <w:numFmt w:val="bullet"/>
      <w:lvlText w:val="•"/>
      <w:lvlJc w:val="left"/>
      <w:pPr>
        <w:ind w:left="5277" w:hanging="287"/>
      </w:pPr>
      <w:rPr>
        <w:rFonts w:hint="default"/>
      </w:rPr>
    </w:lvl>
    <w:lvl w:ilvl="6" w:tplc="BA76BFCE">
      <w:start w:val="1"/>
      <w:numFmt w:val="bullet"/>
      <w:lvlText w:val="•"/>
      <w:lvlJc w:val="left"/>
      <w:pPr>
        <w:ind w:left="5982" w:hanging="287"/>
      </w:pPr>
      <w:rPr>
        <w:rFonts w:hint="default"/>
      </w:rPr>
    </w:lvl>
    <w:lvl w:ilvl="7" w:tplc="BD60C608">
      <w:start w:val="1"/>
      <w:numFmt w:val="bullet"/>
      <w:lvlText w:val="•"/>
      <w:lvlJc w:val="left"/>
      <w:pPr>
        <w:ind w:left="6686" w:hanging="287"/>
      </w:pPr>
      <w:rPr>
        <w:rFonts w:hint="default"/>
      </w:rPr>
    </w:lvl>
    <w:lvl w:ilvl="8" w:tplc="B694C23C">
      <w:start w:val="1"/>
      <w:numFmt w:val="bullet"/>
      <w:lvlText w:val="•"/>
      <w:lvlJc w:val="left"/>
      <w:pPr>
        <w:ind w:left="7391" w:hanging="2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0C6"/>
    <w:rsid w:val="00215DA1"/>
    <w:rsid w:val="00452B33"/>
    <w:rsid w:val="00523609"/>
    <w:rsid w:val="005F4796"/>
    <w:rsid w:val="00C340C6"/>
    <w:rsid w:val="00F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uiPriority w:val="9"/>
    <w:qFormat/>
    <w:pPr>
      <w:spacing w:before="51"/>
      <w:ind w:left="79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748" w:firstLine="720"/>
    </w:pPr>
    <w:rPr>
      <w:rFonts w:ascii="Times New Roman" w:eastAsia="Times New Roman" w:hAnsi="Times New Roman"/>
      <w:sz w:val="20"/>
      <w:szCs w:val="20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paragraph" w:styleId="Galvene">
    <w:name w:val="header"/>
    <w:basedOn w:val="Parasts"/>
    <w:link w:val="GalveneRakstz"/>
    <w:unhideWhenUsed/>
    <w:rsid w:val="00F6768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6768D"/>
  </w:style>
  <w:style w:type="paragraph" w:styleId="Kjene">
    <w:name w:val="footer"/>
    <w:basedOn w:val="Parasts"/>
    <w:link w:val="KjeneRakstz"/>
    <w:unhideWhenUsed/>
    <w:rsid w:val="00F6768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6768D"/>
  </w:style>
  <w:style w:type="character" w:styleId="Lappusesnumurs">
    <w:name w:val="page number"/>
    <w:basedOn w:val="Noklusjumarindkopasfonts"/>
    <w:semiHidden/>
    <w:rsid w:val="0021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2019-09-10T13:06:00Z</dcterms:created>
  <dcterms:modified xsi:type="dcterms:W3CDTF">2019-11-26T15:21:00Z</dcterms:modified>
</cp:coreProperties>
</file>