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FBBFD1" w14:textId="77777777" w:rsidR="00ED16B1" w:rsidRPr="003C0DF0" w:rsidRDefault="00ED16B1" w:rsidP="006E539B">
      <w:pPr>
        <w:spacing w:after="0" w:line="240" w:lineRule="auto"/>
        <w:jc w:val="both"/>
        <w:rPr>
          <w:rFonts w:ascii="Times New Roman" w:hAnsi="Times New Roman"/>
          <w:b/>
          <w:noProof/>
          <w:sz w:val="24"/>
          <w:szCs w:val="26"/>
        </w:rPr>
      </w:pPr>
    </w:p>
    <w:p w14:paraId="0A4731A2" w14:textId="77777777" w:rsidR="003C0DF0" w:rsidRPr="003C0DF0" w:rsidRDefault="003C0DF0" w:rsidP="006E539B">
      <w:pPr>
        <w:spacing w:after="0" w:line="240" w:lineRule="auto"/>
        <w:jc w:val="both"/>
        <w:rPr>
          <w:rFonts w:ascii="Times New Roman" w:hAnsi="Times New Roman"/>
          <w:b/>
          <w:noProof/>
          <w:sz w:val="24"/>
          <w:szCs w:val="26"/>
        </w:rPr>
      </w:pPr>
    </w:p>
    <w:p w14:paraId="6847BBF0" w14:textId="77777777" w:rsidR="003C0DF0" w:rsidRPr="003C0DF0" w:rsidRDefault="003C0DF0" w:rsidP="006E539B">
      <w:pPr>
        <w:spacing w:after="0" w:line="240" w:lineRule="auto"/>
        <w:jc w:val="both"/>
        <w:rPr>
          <w:rFonts w:ascii="Times New Roman" w:hAnsi="Times New Roman"/>
          <w:b/>
          <w:noProof/>
          <w:sz w:val="24"/>
          <w:szCs w:val="26"/>
        </w:rPr>
      </w:pPr>
    </w:p>
    <w:p w14:paraId="2301C6D9" w14:textId="77777777" w:rsidR="003C0DF0" w:rsidRPr="003C0DF0" w:rsidRDefault="003C0DF0" w:rsidP="006E539B">
      <w:pPr>
        <w:spacing w:after="0" w:line="240" w:lineRule="auto"/>
        <w:jc w:val="both"/>
        <w:rPr>
          <w:rFonts w:ascii="Times New Roman" w:hAnsi="Times New Roman"/>
          <w:b/>
          <w:noProof/>
          <w:sz w:val="24"/>
          <w:szCs w:val="26"/>
        </w:rPr>
      </w:pPr>
    </w:p>
    <w:p w14:paraId="16363273" w14:textId="77777777" w:rsidR="003C0DF0" w:rsidRPr="003C0DF0" w:rsidRDefault="003C0DF0" w:rsidP="006E539B">
      <w:pPr>
        <w:spacing w:after="0" w:line="240" w:lineRule="auto"/>
        <w:jc w:val="both"/>
        <w:rPr>
          <w:rFonts w:ascii="Times New Roman" w:hAnsi="Times New Roman"/>
          <w:b/>
          <w:noProof/>
          <w:sz w:val="24"/>
          <w:szCs w:val="26"/>
        </w:rPr>
      </w:pPr>
    </w:p>
    <w:p w14:paraId="383A216C" w14:textId="77777777" w:rsidR="003C0DF0" w:rsidRPr="003C0DF0" w:rsidRDefault="003C0DF0" w:rsidP="006E539B">
      <w:pPr>
        <w:spacing w:after="0" w:line="240" w:lineRule="auto"/>
        <w:jc w:val="both"/>
        <w:rPr>
          <w:rFonts w:ascii="Times New Roman" w:hAnsi="Times New Roman"/>
          <w:b/>
          <w:noProof/>
          <w:sz w:val="24"/>
          <w:szCs w:val="26"/>
        </w:rPr>
      </w:pPr>
    </w:p>
    <w:p w14:paraId="2920F631" w14:textId="77777777" w:rsidR="003C0DF0" w:rsidRPr="003C0DF0" w:rsidRDefault="003C0DF0" w:rsidP="006E539B">
      <w:pPr>
        <w:spacing w:after="0" w:line="240" w:lineRule="auto"/>
        <w:jc w:val="both"/>
        <w:rPr>
          <w:rFonts w:ascii="Times New Roman" w:hAnsi="Times New Roman"/>
          <w:b/>
          <w:noProof/>
          <w:sz w:val="24"/>
          <w:szCs w:val="26"/>
        </w:rPr>
      </w:pPr>
    </w:p>
    <w:p w14:paraId="709173FD" w14:textId="77777777" w:rsidR="003C0DF0" w:rsidRPr="003C0DF0" w:rsidRDefault="003C0DF0" w:rsidP="006E539B">
      <w:pPr>
        <w:spacing w:after="0" w:line="240" w:lineRule="auto"/>
        <w:jc w:val="both"/>
        <w:rPr>
          <w:rFonts w:ascii="Times New Roman" w:hAnsi="Times New Roman"/>
          <w:b/>
          <w:noProof/>
          <w:sz w:val="24"/>
          <w:szCs w:val="26"/>
        </w:rPr>
      </w:pPr>
    </w:p>
    <w:p w14:paraId="171BA7F9" w14:textId="77777777" w:rsidR="003C0DF0" w:rsidRPr="003C0DF0" w:rsidRDefault="003C0DF0" w:rsidP="006E539B">
      <w:pPr>
        <w:spacing w:after="0" w:line="240" w:lineRule="auto"/>
        <w:jc w:val="both"/>
        <w:rPr>
          <w:rFonts w:ascii="Times New Roman" w:hAnsi="Times New Roman"/>
          <w:b/>
          <w:noProof/>
          <w:sz w:val="24"/>
          <w:szCs w:val="26"/>
        </w:rPr>
      </w:pPr>
    </w:p>
    <w:p w14:paraId="1B07C710" w14:textId="77777777" w:rsidR="003C0DF0" w:rsidRPr="003C0DF0" w:rsidRDefault="003C0DF0" w:rsidP="006E539B">
      <w:pPr>
        <w:spacing w:after="0" w:line="240" w:lineRule="auto"/>
        <w:jc w:val="both"/>
        <w:rPr>
          <w:rFonts w:ascii="Times New Roman" w:hAnsi="Times New Roman"/>
          <w:b/>
          <w:noProof/>
          <w:sz w:val="24"/>
          <w:szCs w:val="26"/>
        </w:rPr>
      </w:pPr>
    </w:p>
    <w:p w14:paraId="146C6EDB" w14:textId="77777777" w:rsidR="003C0DF0" w:rsidRPr="003C0DF0" w:rsidRDefault="003C0DF0" w:rsidP="006E539B">
      <w:pPr>
        <w:spacing w:after="0" w:line="240" w:lineRule="auto"/>
        <w:jc w:val="both"/>
        <w:rPr>
          <w:rFonts w:ascii="Times New Roman" w:hAnsi="Times New Roman"/>
          <w:b/>
          <w:noProof/>
          <w:sz w:val="24"/>
          <w:szCs w:val="26"/>
        </w:rPr>
      </w:pPr>
    </w:p>
    <w:p w14:paraId="1EE58A52" w14:textId="77777777" w:rsidR="003C0DF0" w:rsidRPr="003C0DF0" w:rsidRDefault="003C0DF0" w:rsidP="006E539B">
      <w:pPr>
        <w:spacing w:after="0" w:line="240" w:lineRule="auto"/>
        <w:jc w:val="both"/>
        <w:rPr>
          <w:rFonts w:ascii="Times New Roman" w:hAnsi="Times New Roman"/>
          <w:b/>
          <w:noProof/>
          <w:sz w:val="24"/>
          <w:szCs w:val="26"/>
        </w:rPr>
      </w:pPr>
    </w:p>
    <w:p w14:paraId="29FAAD30" w14:textId="77777777" w:rsidR="00ED16B1" w:rsidRPr="003C0DF0" w:rsidRDefault="00ED16B1" w:rsidP="00EE17B5">
      <w:pPr>
        <w:spacing w:after="0" w:line="240" w:lineRule="auto"/>
        <w:jc w:val="center"/>
        <w:rPr>
          <w:rFonts w:ascii="Times New Roman" w:hAnsi="Times New Roman"/>
          <w:b/>
          <w:noProof/>
          <w:sz w:val="24"/>
          <w:szCs w:val="26"/>
        </w:rPr>
      </w:pPr>
      <w:r w:rsidRPr="003C0DF0">
        <w:rPr>
          <w:rFonts w:ascii="Times New Roman" w:hAnsi="Times New Roman"/>
          <w:b/>
          <w:noProof/>
          <w:sz w:val="24"/>
        </w:rPr>
        <w:t>Implementation of a New Higher Education Financing Model in Latvia</w:t>
      </w:r>
    </w:p>
    <w:p w14:paraId="10D2D25F" w14:textId="77777777" w:rsidR="00ED16B1" w:rsidRPr="003C0DF0" w:rsidRDefault="00ED16B1" w:rsidP="00EE17B5">
      <w:pPr>
        <w:spacing w:after="0" w:line="240" w:lineRule="auto"/>
        <w:jc w:val="center"/>
        <w:rPr>
          <w:rFonts w:ascii="Times New Roman" w:hAnsi="Times New Roman"/>
          <w:b/>
          <w:noProof/>
          <w:sz w:val="24"/>
          <w:szCs w:val="26"/>
        </w:rPr>
      </w:pPr>
      <w:r w:rsidRPr="003C0DF0">
        <w:rPr>
          <w:rFonts w:ascii="Times New Roman" w:hAnsi="Times New Roman"/>
          <w:b/>
          <w:noProof/>
          <w:sz w:val="24"/>
        </w:rPr>
        <w:t>CONCEPTUAL REPORT</w:t>
      </w:r>
    </w:p>
    <w:p w14:paraId="02DD4861" w14:textId="77777777" w:rsidR="00ED16B1" w:rsidRPr="003C0DF0" w:rsidRDefault="00ED16B1" w:rsidP="006E539B">
      <w:pPr>
        <w:spacing w:after="0" w:line="240" w:lineRule="auto"/>
        <w:jc w:val="both"/>
        <w:rPr>
          <w:rFonts w:ascii="Times New Roman" w:hAnsi="Times New Roman"/>
          <w:b/>
          <w:noProof/>
          <w:sz w:val="24"/>
          <w:szCs w:val="26"/>
        </w:rPr>
      </w:pPr>
    </w:p>
    <w:p w14:paraId="7E2E57BF" w14:textId="77777777" w:rsidR="00ED16B1" w:rsidRPr="003C0DF0" w:rsidRDefault="00ED16B1" w:rsidP="006E539B">
      <w:pPr>
        <w:spacing w:after="0" w:line="240" w:lineRule="auto"/>
        <w:jc w:val="both"/>
        <w:rPr>
          <w:rFonts w:ascii="Times New Roman" w:hAnsi="Times New Roman"/>
          <w:b/>
          <w:noProof/>
          <w:sz w:val="24"/>
          <w:szCs w:val="26"/>
        </w:rPr>
      </w:pPr>
    </w:p>
    <w:p w14:paraId="52E94887" w14:textId="3CE766CE" w:rsidR="00EE17B5" w:rsidRPr="003C0DF0" w:rsidRDefault="00EE17B5">
      <w:pPr>
        <w:spacing w:after="0" w:line="240" w:lineRule="auto"/>
        <w:rPr>
          <w:rFonts w:ascii="Times New Roman" w:hAnsi="Times New Roman"/>
          <w:b/>
          <w:noProof/>
          <w:sz w:val="24"/>
          <w:szCs w:val="26"/>
        </w:rPr>
      </w:pPr>
      <w:r w:rsidRPr="003C0DF0">
        <w:rPr>
          <w:rFonts w:ascii="Times New Roman" w:hAnsi="Times New Roman"/>
        </w:rPr>
        <w:br w:type="page"/>
      </w:r>
    </w:p>
    <w:p w14:paraId="3F317C8F" w14:textId="77777777" w:rsidR="00ED16B1" w:rsidRPr="003C0DF0" w:rsidRDefault="00ED16B1" w:rsidP="003C0DF0">
      <w:pPr>
        <w:spacing w:after="0" w:line="240" w:lineRule="auto"/>
        <w:jc w:val="center"/>
        <w:rPr>
          <w:rFonts w:ascii="Times New Roman" w:hAnsi="Times New Roman"/>
          <w:b/>
          <w:noProof/>
          <w:sz w:val="24"/>
          <w:szCs w:val="24"/>
        </w:rPr>
      </w:pPr>
      <w:r w:rsidRPr="003C0DF0">
        <w:rPr>
          <w:rFonts w:ascii="Times New Roman" w:hAnsi="Times New Roman"/>
          <w:b/>
          <w:noProof/>
          <w:sz w:val="24"/>
        </w:rPr>
        <w:lastRenderedPageBreak/>
        <w:t>Table of Contents</w:t>
      </w:r>
    </w:p>
    <w:sdt>
      <w:sdtPr>
        <w:rPr>
          <w:rFonts w:ascii="Calibri" w:eastAsia="Calibri" w:hAnsi="Calibri"/>
          <w:noProof w:val="0"/>
          <w:color w:val="auto"/>
          <w:sz w:val="24"/>
          <w:szCs w:val="22"/>
        </w:rPr>
        <w:id w:val="2043932725"/>
        <w:docPartObj>
          <w:docPartGallery w:val="Table of Contents"/>
          <w:docPartUnique/>
        </w:docPartObj>
      </w:sdtPr>
      <w:sdtEndPr>
        <w:rPr>
          <w:bCs/>
        </w:rPr>
      </w:sdtEndPr>
      <w:sdtContent>
        <w:p w14:paraId="688557A9" w14:textId="4C00B6F7" w:rsidR="00890093" w:rsidRPr="00890093" w:rsidRDefault="00890093" w:rsidP="00890093">
          <w:pPr>
            <w:pStyle w:val="TOCHeading"/>
            <w:spacing w:afterLines="60" w:after="144" w:line="240" w:lineRule="auto"/>
            <w:jc w:val="both"/>
            <w:rPr>
              <w:sz w:val="24"/>
            </w:rPr>
          </w:pPr>
        </w:p>
        <w:p w14:paraId="4E38A987" w14:textId="77777777" w:rsidR="00890093" w:rsidRPr="00430D4D" w:rsidRDefault="00890093" w:rsidP="00890093">
          <w:pPr>
            <w:pStyle w:val="TOC1"/>
            <w:tabs>
              <w:tab w:val="right" w:leader="dot" w:pos="9072"/>
            </w:tabs>
            <w:spacing w:afterLines="60" w:after="144" w:line="240" w:lineRule="auto"/>
            <w:jc w:val="both"/>
            <w:rPr>
              <w:rFonts w:ascii="Times New Roman" w:eastAsiaTheme="minorEastAsia" w:hAnsi="Times New Roman"/>
              <w:noProof/>
              <w:sz w:val="24"/>
              <w:szCs w:val="24"/>
              <w:lang w:val="lv-LV" w:eastAsia="lv-LV" w:bidi="ar-SA"/>
            </w:rPr>
          </w:pPr>
          <w:r w:rsidRPr="00890093">
            <w:rPr>
              <w:rFonts w:ascii="Times New Roman" w:hAnsi="Times New Roman"/>
              <w:sz w:val="24"/>
            </w:rPr>
            <w:fldChar w:fldCharType="begin"/>
          </w:r>
          <w:r w:rsidRPr="00890093">
            <w:rPr>
              <w:rFonts w:ascii="Times New Roman" w:hAnsi="Times New Roman"/>
              <w:sz w:val="24"/>
            </w:rPr>
            <w:instrText xml:space="preserve"> TOC \o "1-3" \h \z \u </w:instrText>
          </w:r>
          <w:r w:rsidRPr="00890093">
            <w:rPr>
              <w:rFonts w:ascii="Times New Roman" w:hAnsi="Times New Roman"/>
              <w:sz w:val="24"/>
            </w:rPr>
            <w:fldChar w:fldCharType="separate"/>
          </w:r>
          <w:hyperlink w:anchor="_Toc453155028" w:history="1">
            <w:r w:rsidRPr="00430D4D">
              <w:rPr>
                <w:rStyle w:val="Hyperlink"/>
                <w:rFonts w:ascii="Times New Roman" w:hAnsi="Times New Roman"/>
                <w:noProof/>
                <w:sz w:val="24"/>
                <w:szCs w:val="24"/>
              </w:rPr>
              <w:t>Introduction</w:t>
            </w:r>
            <w:r w:rsidRPr="00430D4D">
              <w:rPr>
                <w:rFonts w:ascii="Times New Roman" w:hAnsi="Times New Roman"/>
                <w:noProof/>
                <w:webHidden/>
                <w:sz w:val="24"/>
                <w:szCs w:val="24"/>
              </w:rPr>
              <w:tab/>
            </w:r>
            <w:r w:rsidRPr="00430D4D">
              <w:rPr>
                <w:rFonts w:ascii="Times New Roman" w:hAnsi="Times New Roman"/>
                <w:noProof/>
                <w:webHidden/>
                <w:sz w:val="24"/>
                <w:szCs w:val="24"/>
              </w:rPr>
              <w:fldChar w:fldCharType="begin"/>
            </w:r>
            <w:r w:rsidRPr="00430D4D">
              <w:rPr>
                <w:rFonts w:ascii="Times New Roman" w:hAnsi="Times New Roman"/>
                <w:noProof/>
                <w:webHidden/>
                <w:sz w:val="24"/>
                <w:szCs w:val="24"/>
              </w:rPr>
              <w:instrText xml:space="preserve"> PAGEREF _Toc453155028 \h </w:instrText>
            </w:r>
            <w:r w:rsidRPr="00430D4D">
              <w:rPr>
                <w:rFonts w:ascii="Times New Roman" w:hAnsi="Times New Roman"/>
                <w:noProof/>
                <w:webHidden/>
                <w:sz w:val="24"/>
                <w:szCs w:val="24"/>
              </w:rPr>
            </w:r>
            <w:r w:rsidRPr="00430D4D">
              <w:rPr>
                <w:rFonts w:ascii="Times New Roman" w:hAnsi="Times New Roman"/>
                <w:noProof/>
                <w:webHidden/>
                <w:sz w:val="24"/>
                <w:szCs w:val="24"/>
              </w:rPr>
              <w:fldChar w:fldCharType="separate"/>
            </w:r>
            <w:r w:rsidR="001311A8">
              <w:rPr>
                <w:rFonts w:ascii="Times New Roman" w:hAnsi="Times New Roman"/>
                <w:noProof/>
                <w:webHidden/>
                <w:sz w:val="24"/>
                <w:szCs w:val="24"/>
              </w:rPr>
              <w:t>3</w:t>
            </w:r>
            <w:r w:rsidRPr="00430D4D">
              <w:rPr>
                <w:rFonts w:ascii="Times New Roman" w:hAnsi="Times New Roman"/>
                <w:noProof/>
                <w:webHidden/>
                <w:sz w:val="24"/>
                <w:szCs w:val="24"/>
              </w:rPr>
              <w:fldChar w:fldCharType="end"/>
            </w:r>
          </w:hyperlink>
        </w:p>
        <w:p w14:paraId="6ECC8605" w14:textId="77777777" w:rsidR="00890093" w:rsidRPr="00430D4D" w:rsidRDefault="00635E80" w:rsidP="00890093">
          <w:pPr>
            <w:pStyle w:val="TOC1"/>
            <w:tabs>
              <w:tab w:val="right" w:leader="dot" w:pos="9072"/>
            </w:tabs>
            <w:spacing w:afterLines="60" w:after="144" w:line="240" w:lineRule="auto"/>
            <w:jc w:val="both"/>
            <w:rPr>
              <w:rFonts w:ascii="Times New Roman" w:eastAsiaTheme="minorEastAsia" w:hAnsi="Times New Roman"/>
              <w:noProof/>
              <w:sz w:val="24"/>
              <w:szCs w:val="24"/>
              <w:lang w:val="lv-LV" w:eastAsia="lv-LV" w:bidi="ar-SA"/>
            </w:rPr>
          </w:pPr>
          <w:hyperlink w:anchor="_Toc453155029" w:history="1">
            <w:r w:rsidR="00890093" w:rsidRPr="00430D4D">
              <w:rPr>
                <w:rStyle w:val="Hyperlink"/>
                <w:rFonts w:ascii="Times New Roman" w:hAnsi="Times New Roman"/>
                <w:noProof/>
                <w:sz w:val="24"/>
                <w:szCs w:val="24"/>
              </w:rPr>
              <w:t>1. Progress and Results of the World Bank Study</w:t>
            </w:r>
            <w:r w:rsidR="00890093" w:rsidRPr="00430D4D">
              <w:rPr>
                <w:rFonts w:ascii="Times New Roman" w:hAnsi="Times New Roman"/>
                <w:noProof/>
                <w:webHidden/>
                <w:sz w:val="24"/>
                <w:szCs w:val="24"/>
              </w:rPr>
              <w:tab/>
            </w:r>
            <w:r w:rsidR="00890093" w:rsidRPr="00430D4D">
              <w:rPr>
                <w:rFonts w:ascii="Times New Roman" w:hAnsi="Times New Roman"/>
                <w:noProof/>
                <w:webHidden/>
                <w:sz w:val="24"/>
                <w:szCs w:val="24"/>
              </w:rPr>
              <w:fldChar w:fldCharType="begin"/>
            </w:r>
            <w:r w:rsidR="00890093" w:rsidRPr="00430D4D">
              <w:rPr>
                <w:rFonts w:ascii="Times New Roman" w:hAnsi="Times New Roman"/>
                <w:noProof/>
                <w:webHidden/>
                <w:sz w:val="24"/>
                <w:szCs w:val="24"/>
              </w:rPr>
              <w:instrText xml:space="preserve"> PAGEREF _Toc453155029 \h </w:instrText>
            </w:r>
            <w:r w:rsidR="00890093" w:rsidRPr="00430D4D">
              <w:rPr>
                <w:rFonts w:ascii="Times New Roman" w:hAnsi="Times New Roman"/>
                <w:noProof/>
                <w:webHidden/>
                <w:sz w:val="24"/>
                <w:szCs w:val="24"/>
              </w:rPr>
            </w:r>
            <w:r w:rsidR="00890093" w:rsidRPr="00430D4D">
              <w:rPr>
                <w:rFonts w:ascii="Times New Roman" w:hAnsi="Times New Roman"/>
                <w:noProof/>
                <w:webHidden/>
                <w:sz w:val="24"/>
                <w:szCs w:val="24"/>
              </w:rPr>
              <w:fldChar w:fldCharType="separate"/>
            </w:r>
            <w:r w:rsidR="001311A8">
              <w:rPr>
                <w:rFonts w:ascii="Times New Roman" w:hAnsi="Times New Roman"/>
                <w:noProof/>
                <w:webHidden/>
                <w:sz w:val="24"/>
                <w:szCs w:val="24"/>
              </w:rPr>
              <w:t>4</w:t>
            </w:r>
            <w:r w:rsidR="00890093" w:rsidRPr="00430D4D">
              <w:rPr>
                <w:rFonts w:ascii="Times New Roman" w:hAnsi="Times New Roman"/>
                <w:noProof/>
                <w:webHidden/>
                <w:sz w:val="24"/>
                <w:szCs w:val="24"/>
              </w:rPr>
              <w:fldChar w:fldCharType="end"/>
            </w:r>
          </w:hyperlink>
        </w:p>
        <w:p w14:paraId="373E4FD3" w14:textId="77777777" w:rsidR="00890093" w:rsidRPr="00430D4D" w:rsidRDefault="00635E80" w:rsidP="00890093">
          <w:pPr>
            <w:pStyle w:val="TOC2"/>
            <w:tabs>
              <w:tab w:val="clear" w:pos="9061"/>
              <w:tab w:val="right" w:leader="dot" w:pos="9072"/>
            </w:tabs>
            <w:rPr>
              <w:rFonts w:ascii="Times New Roman" w:eastAsiaTheme="minorEastAsia" w:hAnsi="Times New Roman"/>
              <w:noProof/>
              <w:sz w:val="24"/>
              <w:szCs w:val="24"/>
              <w:lang w:val="lv-LV" w:eastAsia="lv-LV" w:bidi="ar-SA"/>
            </w:rPr>
          </w:pPr>
          <w:hyperlink w:anchor="_Toc453155030" w:history="1">
            <w:r w:rsidR="00890093" w:rsidRPr="00430D4D">
              <w:rPr>
                <w:rStyle w:val="Hyperlink"/>
                <w:rFonts w:ascii="Times New Roman" w:hAnsi="Times New Roman"/>
                <w:noProof/>
                <w:sz w:val="24"/>
                <w:szCs w:val="24"/>
              </w:rPr>
              <w:t>1.1. Implementation of the Study and Participation of the Sector</w:t>
            </w:r>
            <w:r w:rsidR="00890093" w:rsidRPr="00430D4D">
              <w:rPr>
                <w:rFonts w:ascii="Times New Roman" w:hAnsi="Times New Roman"/>
                <w:noProof/>
                <w:webHidden/>
                <w:sz w:val="24"/>
                <w:szCs w:val="24"/>
              </w:rPr>
              <w:tab/>
            </w:r>
            <w:r w:rsidR="00890093" w:rsidRPr="00430D4D">
              <w:rPr>
                <w:rFonts w:ascii="Times New Roman" w:hAnsi="Times New Roman"/>
                <w:noProof/>
                <w:webHidden/>
                <w:sz w:val="24"/>
                <w:szCs w:val="24"/>
              </w:rPr>
              <w:fldChar w:fldCharType="begin"/>
            </w:r>
            <w:r w:rsidR="00890093" w:rsidRPr="00430D4D">
              <w:rPr>
                <w:rFonts w:ascii="Times New Roman" w:hAnsi="Times New Roman"/>
                <w:noProof/>
                <w:webHidden/>
                <w:sz w:val="24"/>
                <w:szCs w:val="24"/>
              </w:rPr>
              <w:instrText xml:space="preserve"> PAGEREF _Toc453155030 \h </w:instrText>
            </w:r>
            <w:r w:rsidR="00890093" w:rsidRPr="00430D4D">
              <w:rPr>
                <w:rFonts w:ascii="Times New Roman" w:hAnsi="Times New Roman"/>
                <w:noProof/>
                <w:webHidden/>
                <w:sz w:val="24"/>
                <w:szCs w:val="24"/>
              </w:rPr>
            </w:r>
            <w:r w:rsidR="00890093" w:rsidRPr="00430D4D">
              <w:rPr>
                <w:rFonts w:ascii="Times New Roman" w:hAnsi="Times New Roman"/>
                <w:noProof/>
                <w:webHidden/>
                <w:sz w:val="24"/>
                <w:szCs w:val="24"/>
              </w:rPr>
              <w:fldChar w:fldCharType="separate"/>
            </w:r>
            <w:r w:rsidR="001311A8">
              <w:rPr>
                <w:rFonts w:ascii="Times New Roman" w:hAnsi="Times New Roman"/>
                <w:noProof/>
                <w:webHidden/>
                <w:sz w:val="24"/>
                <w:szCs w:val="24"/>
              </w:rPr>
              <w:t>4</w:t>
            </w:r>
            <w:r w:rsidR="00890093" w:rsidRPr="00430D4D">
              <w:rPr>
                <w:rFonts w:ascii="Times New Roman" w:hAnsi="Times New Roman"/>
                <w:noProof/>
                <w:webHidden/>
                <w:sz w:val="24"/>
                <w:szCs w:val="24"/>
              </w:rPr>
              <w:fldChar w:fldCharType="end"/>
            </w:r>
          </w:hyperlink>
        </w:p>
        <w:p w14:paraId="6C891B9B" w14:textId="77777777" w:rsidR="00890093" w:rsidRPr="00430D4D" w:rsidRDefault="00635E80" w:rsidP="00890093">
          <w:pPr>
            <w:pStyle w:val="TOC2"/>
            <w:tabs>
              <w:tab w:val="clear" w:pos="9061"/>
              <w:tab w:val="right" w:leader="dot" w:pos="9072"/>
            </w:tabs>
            <w:rPr>
              <w:rFonts w:ascii="Times New Roman" w:eastAsiaTheme="minorEastAsia" w:hAnsi="Times New Roman"/>
              <w:noProof/>
              <w:sz w:val="24"/>
              <w:szCs w:val="24"/>
              <w:lang w:val="lv-LV" w:eastAsia="lv-LV" w:bidi="ar-SA"/>
            </w:rPr>
          </w:pPr>
          <w:hyperlink w:anchor="_Toc453155031" w:history="1">
            <w:r w:rsidR="00890093" w:rsidRPr="00430D4D">
              <w:rPr>
                <w:rStyle w:val="Hyperlink"/>
                <w:rFonts w:ascii="Times New Roman" w:hAnsi="Times New Roman"/>
                <w:noProof/>
                <w:sz w:val="24"/>
                <w:szCs w:val="24"/>
              </w:rPr>
              <w:t>1.2. Methodology for Evaluation of the Higher Education Financing Model</w:t>
            </w:r>
            <w:r w:rsidR="00890093" w:rsidRPr="00430D4D">
              <w:rPr>
                <w:rFonts w:ascii="Times New Roman" w:hAnsi="Times New Roman"/>
                <w:noProof/>
                <w:webHidden/>
                <w:sz w:val="24"/>
                <w:szCs w:val="24"/>
              </w:rPr>
              <w:tab/>
            </w:r>
            <w:r w:rsidR="00890093" w:rsidRPr="00430D4D">
              <w:rPr>
                <w:rFonts w:ascii="Times New Roman" w:hAnsi="Times New Roman"/>
                <w:noProof/>
                <w:webHidden/>
                <w:sz w:val="24"/>
                <w:szCs w:val="24"/>
              </w:rPr>
              <w:fldChar w:fldCharType="begin"/>
            </w:r>
            <w:r w:rsidR="00890093" w:rsidRPr="00430D4D">
              <w:rPr>
                <w:rFonts w:ascii="Times New Roman" w:hAnsi="Times New Roman"/>
                <w:noProof/>
                <w:webHidden/>
                <w:sz w:val="24"/>
                <w:szCs w:val="24"/>
              </w:rPr>
              <w:instrText xml:space="preserve"> PAGEREF _Toc453155031 \h </w:instrText>
            </w:r>
            <w:r w:rsidR="00890093" w:rsidRPr="00430D4D">
              <w:rPr>
                <w:rFonts w:ascii="Times New Roman" w:hAnsi="Times New Roman"/>
                <w:noProof/>
                <w:webHidden/>
                <w:sz w:val="24"/>
                <w:szCs w:val="24"/>
              </w:rPr>
            </w:r>
            <w:r w:rsidR="00890093" w:rsidRPr="00430D4D">
              <w:rPr>
                <w:rFonts w:ascii="Times New Roman" w:hAnsi="Times New Roman"/>
                <w:noProof/>
                <w:webHidden/>
                <w:sz w:val="24"/>
                <w:szCs w:val="24"/>
              </w:rPr>
              <w:fldChar w:fldCharType="separate"/>
            </w:r>
            <w:r w:rsidR="001311A8">
              <w:rPr>
                <w:rFonts w:ascii="Times New Roman" w:hAnsi="Times New Roman"/>
                <w:noProof/>
                <w:webHidden/>
                <w:sz w:val="24"/>
                <w:szCs w:val="24"/>
              </w:rPr>
              <w:t>5</w:t>
            </w:r>
            <w:r w:rsidR="00890093" w:rsidRPr="00430D4D">
              <w:rPr>
                <w:rFonts w:ascii="Times New Roman" w:hAnsi="Times New Roman"/>
                <w:noProof/>
                <w:webHidden/>
                <w:sz w:val="24"/>
                <w:szCs w:val="24"/>
              </w:rPr>
              <w:fldChar w:fldCharType="end"/>
            </w:r>
          </w:hyperlink>
        </w:p>
        <w:p w14:paraId="62F4EDDC" w14:textId="77777777" w:rsidR="00890093" w:rsidRPr="00430D4D" w:rsidRDefault="00635E80" w:rsidP="00890093">
          <w:pPr>
            <w:pStyle w:val="TOC2"/>
            <w:tabs>
              <w:tab w:val="clear" w:pos="9061"/>
              <w:tab w:val="right" w:leader="dot" w:pos="9072"/>
            </w:tabs>
            <w:rPr>
              <w:rFonts w:ascii="Times New Roman" w:eastAsiaTheme="minorEastAsia" w:hAnsi="Times New Roman"/>
              <w:noProof/>
              <w:sz w:val="24"/>
              <w:szCs w:val="24"/>
              <w:lang w:val="lv-LV" w:eastAsia="lv-LV" w:bidi="ar-SA"/>
            </w:rPr>
          </w:pPr>
          <w:hyperlink w:anchor="_Toc453155032" w:history="1">
            <w:r w:rsidR="00890093" w:rsidRPr="00430D4D">
              <w:rPr>
                <w:rStyle w:val="Hyperlink"/>
                <w:rFonts w:ascii="Times New Roman" w:hAnsi="Times New Roman"/>
                <w:noProof/>
                <w:sz w:val="24"/>
                <w:szCs w:val="24"/>
              </w:rPr>
              <w:t>1.3. Results of the Evaluation of the Higher Education Financing Model</w:t>
            </w:r>
            <w:r w:rsidR="00890093" w:rsidRPr="00430D4D">
              <w:rPr>
                <w:rFonts w:ascii="Times New Roman" w:hAnsi="Times New Roman"/>
                <w:noProof/>
                <w:webHidden/>
                <w:sz w:val="24"/>
                <w:szCs w:val="24"/>
              </w:rPr>
              <w:tab/>
            </w:r>
            <w:r w:rsidR="00890093" w:rsidRPr="00430D4D">
              <w:rPr>
                <w:rFonts w:ascii="Times New Roman" w:hAnsi="Times New Roman"/>
                <w:noProof/>
                <w:webHidden/>
                <w:sz w:val="24"/>
                <w:szCs w:val="24"/>
              </w:rPr>
              <w:fldChar w:fldCharType="begin"/>
            </w:r>
            <w:r w:rsidR="00890093" w:rsidRPr="00430D4D">
              <w:rPr>
                <w:rFonts w:ascii="Times New Roman" w:hAnsi="Times New Roman"/>
                <w:noProof/>
                <w:webHidden/>
                <w:sz w:val="24"/>
                <w:szCs w:val="24"/>
              </w:rPr>
              <w:instrText xml:space="preserve"> PAGEREF _Toc453155032 \h </w:instrText>
            </w:r>
            <w:r w:rsidR="00890093" w:rsidRPr="00430D4D">
              <w:rPr>
                <w:rFonts w:ascii="Times New Roman" w:hAnsi="Times New Roman"/>
                <w:noProof/>
                <w:webHidden/>
                <w:sz w:val="24"/>
                <w:szCs w:val="24"/>
              </w:rPr>
            </w:r>
            <w:r w:rsidR="00890093" w:rsidRPr="00430D4D">
              <w:rPr>
                <w:rFonts w:ascii="Times New Roman" w:hAnsi="Times New Roman"/>
                <w:noProof/>
                <w:webHidden/>
                <w:sz w:val="24"/>
                <w:szCs w:val="24"/>
              </w:rPr>
              <w:fldChar w:fldCharType="separate"/>
            </w:r>
            <w:r w:rsidR="001311A8">
              <w:rPr>
                <w:rFonts w:ascii="Times New Roman" w:hAnsi="Times New Roman"/>
                <w:noProof/>
                <w:webHidden/>
                <w:sz w:val="24"/>
                <w:szCs w:val="24"/>
              </w:rPr>
              <w:t>8</w:t>
            </w:r>
            <w:r w:rsidR="00890093" w:rsidRPr="00430D4D">
              <w:rPr>
                <w:rFonts w:ascii="Times New Roman" w:hAnsi="Times New Roman"/>
                <w:noProof/>
                <w:webHidden/>
                <w:sz w:val="24"/>
                <w:szCs w:val="24"/>
              </w:rPr>
              <w:fldChar w:fldCharType="end"/>
            </w:r>
          </w:hyperlink>
        </w:p>
        <w:p w14:paraId="69560821" w14:textId="77777777" w:rsidR="00890093" w:rsidRPr="00430D4D" w:rsidRDefault="00635E80" w:rsidP="00430D4D">
          <w:pPr>
            <w:pStyle w:val="TOC3"/>
            <w:rPr>
              <w:rFonts w:ascii="Times New Roman" w:eastAsiaTheme="minorEastAsia" w:hAnsi="Times New Roman"/>
              <w:noProof/>
              <w:sz w:val="24"/>
              <w:szCs w:val="24"/>
              <w:lang w:val="lv-LV" w:eastAsia="lv-LV" w:bidi="ar-SA"/>
            </w:rPr>
          </w:pPr>
          <w:hyperlink w:anchor="_Toc453155033" w:history="1">
            <w:r w:rsidR="00890093" w:rsidRPr="00430D4D">
              <w:rPr>
                <w:rStyle w:val="Hyperlink"/>
                <w:rFonts w:ascii="Times New Roman" w:hAnsi="Times New Roman"/>
                <w:noProof/>
                <w:sz w:val="24"/>
                <w:szCs w:val="24"/>
              </w:rPr>
              <w:t>1.3.1. Strengths and Weaknesses</w:t>
            </w:r>
            <w:r w:rsidR="00890093" w:rsidRPr="00430D4D">
              <w:rPr>
                <w:rFonts w:ascii="Times New Roman" w:hAnsi="Times New Roman"/>
                <w:noProof/>
                <w:webHidden/>
                <w:sz w:val="24"/>
                <w:szCs w:val="24"/>
              </w:rPr>
              <w:tab/>
            </w:r>
            <w:r w:rsidR="00890093" w:rsidRPr="00430D4D">
              <w:rPr>
                <w:rFonts w:ascii="Times New Roman" w:hAnsi="Times New Roman"/>
                <w:noProof/>
                <w:webHidden/>
                <w:sz w:val="24"/>
                <w:szCs w:val="24"/>
              </w:rPr>
              <w:fldChar w:fldCharType="begin"/>
            </w:r>
            <w:r w:rsidR="00890093" w:rsidRPr="00430D4D">
              <w:rPr>
                <w:rFonts w:ascii="Times New Roman" w:hAnsi="Times New Roman"/>
                <w:noProof/>
                <w:webHidden/>
                <w:sz w:val="24"/>
                <w:szCs w:val="24"/>
              </w:rPr>
              <w:instrText xml:space="preserve"> PAGEREF _Toc453155033 \h </w:instrText>
            </w:r>
            <w:r w:rsidR="00890093" w:rsidRPr="00430D4D">
              <w:rPr>
                <w:rFonts w:ascii="Times New Roman" w:hAnsi="Times New Roman"/>
                <w:noProof/>
                <w:webHidden/>
                <w:sz w:val="24"/>
                <w:szCs w:val="24"/>
              </w:rPr>
            </w:r>
            <w:r w:rsidR="00890093" w:rsidRPr="00430D4D">
              <w:rPr>
                <w:rFonts w:ascii="Times New Roman" w:hAnsi="Times New Roman"/>
                <w:noProof/>
                <w:webHidden/>
                <w:sz w:val="24"/>
                <w:szCs w:val="24"/>
              </w:rPr>
              <w:fldChar w:fldCharType="separate"/>
            </w:r>
            <w:r w:rsidR="001311A8">
              <w:rPr>
                <w:rFonts w:ascii="Times New Roman" w:hAnsi="Times New Roman"/>
                <w:noProof/>
                <w:webHidden/>
                <w:sz w:val="24"/>
                <w:szCs w:val="24"/>
              </w:rPr>
              <w:t>9</w:t>
            </w:r>
            <w:r w:rsidR="00890093" w:rsidRPr="00430D4D">
              <w:rPr>
                <w:rFonts w:ascii="Times New Roman" w:hAnsi="Times New Roman"/>
                <w:noProof/>
                <w:webHidden/>
                <w:sz w:val="24"/>
                <w:szCs w:val="24"/>
              </w:rPr>
              <w:fldChar w:fldCharType="end"/>
            </w:r>
          </w:hyperlink>
        </w:p>
        <w:p w14:paraId="2482D9D1" w14:textId="77777777" w:rsidR="00890093" w:rsidRPr="00430D4D" w:rsidRDefault="00635E80" w:rsidP="00430D4D">
          <w:pPr>
            <w:pStyle w:val="TOC3"/>
            <w:rPr>
              <w:rFonts w:ascii="Times New Roman" w:eastAsiaTheme="minorEastAsia" w:hAnsi="Times New Roman"/>
              <w:noProof/>
              <w:sz w:val="24"/>
              <w:szCs w:val="24"/>
              <w:lang w:val="lv-LV" w:eastAsia="lv-LV" w:bidi="ar-SA"/>
            </w:rPr>
          </w:pPr>
          <w:hyperlink w:anchor="_Toc453155034" w:history="1">
            <w:r w:rsidR="00890093" w:rsidRPr="00430D4D">
              <w:rPr>
                <w:rStyle w:val="Hyperlink"/>
                <w:rFonts w:ascii="Times New Roman" w:hAnsi="Times New Roman"/>
                <w:noProof/>
                <w:sz w:val="24"/>
                <w:szCs w:val="24"/>
              </w:rPr>
              <w:t>1.3.2. Compliance with the Strategic Directions of Development</w:t>
            </w:r>
            <w:r w:rsidR="00890093" w:rsidRPr="00430D4D">
              <w:rPr>
                <w:rFonts w:ascii="Times New Roman" w:hAnsi="Times New Roman"/>
                <w:noProof/>
                <w:webHidden/>
                <w:sz w:val="24"/>
                <w:szCs w:val="24"/>
              </w:rPr>
              <w:tab/>
            </w:r>
            <w:r w:rsidR="00890093" w:rsidRPr="00430D4D">
              <w:rPr>
                <w:rFonts w:ascii="Times New Roman" w:hAnsi="Times New Roman"/>
                <w:noProof/>
                <w:webHidden/>
                <w:sz w:val="24"/>
                <w:szCs w:val="24"/>
              </w:rPr>
              <w:fldChar w:fldCharType="begin"/>
            </w:r>
            <w:r w:rsidR="00890093" w:rsidRPr="00430D4D">
              <w:rPr>
                <w:rFonts w:ascii="Times New Roman" w:hAnsi="Times New Roman"/>
                <w:noProof/>
                <w:webHidden/>
                <w:sz w:val="24"/>
                <w:szCs w:val="24"/>
              </w:rPr>
              <w:instrText xml:space="preserve"> PAGEREF _Toc453155034 \h </w:instrText>
            </w:r>
            <w:r w:rsidR="00890093" w:rsidRPr="00430D4D">
              <w:rPr>
                <w:rFonts w:ascii="Times New Roman" w:hAnsi="Times New Roman"/>
                <w:noProof/>
                <w:webHidden/>
                <w:sz w:val="24"/>
                <w:szCs w:val="24"/>
              </w:rPr>
            </w:r>
            <w:r w:rsidR="00890093" w:rsidRPr="00430D4D">
              <w:rPr>
                <w:rFonts w:ascii="Times New Roman" w:hAnsi="Times New Roman"/>
                <w:noProof/>
                <w:webHidden/>
                <w:sz w:val="24"/>
                <w:szCs w:val="24"/>
              </w:rPr>
              <w:fldChar w:fldCharType="separate"/>
            </w:r>
            <w:r w:rsidR="001311A8">
              <w:rPr>
                <w:rFonts w:ascii="Times New Roman" w:hAnsi="Times New Roman"/>
                <w:noProof/>
                <w:webHidden/>
                <w:sz w:val="24"/>
                <w:szCs w:val="24"/>
              </w:rPr>
              <w:t>11</w:t>
            </w:r>
            <w:r w:rsidR="00890093" w:rsidRPr="00430D4D">
              <w:rPr>
                <w:rFonts w:ascii="Times New Roman" w:hAnsi="Times New Roman"/>
                <w:noProof/>
                <w:webHidden/>
                <w:sz w:val="24"/>
                <w:szCs w:val="24"/>
              </w:rPr>
              <w:fldChar w:fldCharType="end"/>
            </w:r>
          </w:hyperlink>
        </w:p>
        <w:p w14:paraId="4AEAFC1E" w14:textId="77777777" w:rsidR="00890093" w:rsidRPr="00430D4D" w:rsidRDefault="00635E80" w:rsidP="00430D4D">
          <w:pPr>
            <w:pStyle w:val="TOC3"/>
            <w:rPr>
              <w:rFonts w:ascii="Times New Roman" w:eastAsiaTheme="minorEastAsia" w:hAnsi="Times New Roman"/>
              <w:noProof/>
              <w:sz w:val="24"/>
              <w:szCs w:val="24"/>
              <w:lang w:val="lv-LV" w:eastAsia="lv-LV" w:bidi="ar-SA"/>
            </w:rPr>
          </w:pPr>
          <w:hyperlink w:anchor="_Toc453155035" w:history="1">
            <w:r w:rsidR="00890093" w:rsidRPr="00430D4D">
              <w:rPr>
                <w:rStyle w:val="Hyperlink"/>
                <w:rFonts w:ascii="Times New Roman" w:hAnsi="Times New Roman"/>
                <w:noProof/>
                <w:sz w:val="24"/>
                <w:szCs w:val="24"/>
              </w:rPr>
              <w:t>1.3.3. Proposals for Implementation of a New “Three-Pillar” Financing Model</w:t>
            </w:r>
            <w:r w:rsidR="00890093" w:rsidRPr="00430D4D">
              <w:rPr>
                <w:rFonts w:ascii="Times New Roman" w:hAnsi="Times New Roman"/>
                <w:noProof/>
                <w:webHidden/>
                <w:sz w:val="24"/>
                <w:szCs w:val="24"/>
              </w:rPr>
              <w:tab/>
            </w:r>
            <w:r w:rsidR="00890093" w:rsidRPr="00430D4D">
              <w:rPr>
                <w:rFonts w:ascii="Times New Roman" w:hAnsi="Times New Roman"/>
                <w:noProof/>
                <w:webHidden/>
                <w:sz w:val="24"/>
                <w:szCs w:val="24"/>
              </w:rPr>
              <w:fldChar w:fldCharType="begin"/>
            </w:r>
            <w:r w:rsidR="00890093" w:rsidRPr="00430D4D">
              <w:rPr>
                <w:rFonts w:ascii="Times New Roman" w:hAnsi="Times New Roman"/>
                <w:noProof/>
                <w:webHidden/>
                <w:sz w:val="24"/>
                <w:szCs w:val="24"/>
              </w:rPr>
              <w:instrText xml:space="preserve"> PAGEREF _Toc453155035 \h </w:instrText>
            </w:r>
            <w:r w:rsidR="00890093" w:rsidRPr="00430D4D">
              <w:rPr>
                <w:rFonts w:ascii="Times New Roman" w:hAnsi="Times New Roman"/>
                <w:noProof/>
                <w:webHidden/>
                <w:sz w:val="24"/>
                <w:szCs w:val="24"/>
              </w:rPr>
            </w:r>
            <w:r w:rsidR="00890093" w:rsidRPr="00430D4D">
              <w:rPr>
                <w:rFonts w:ascii="Times New Roman" w:hAnsi="Times New Roman"/>
                <w:noProof/>
                <w:webHidden/>
                <w:sz w:val="24"/>
                <w:szCs w:val="24"/>
              </w:rPr>
              <w:fldChar w:fldCharType="separate"/>
            </w:r>
            <w:r w:rsidR="001311A8">
              <w:rPr>
                <w:rFonts w:ascii="Times New Roman" w:hAnsi="Times New Roman"/>
                <w:noProof/>
                <w:webHidden/>
                <w:sz w:val="24"/>
                <w:szCs w:val="24"/>
              </w:rPr>
              <w:t>11</w:t>
            </w:r>
            <w:r w:rsidR="00890093" w:rsidRPr="00430D4D">
              <w:rPr>
                <w:rFonts w:ascii="Times New Roman" w:hAnsi="Times New Roman"/>
                <w:noProof/>
                <w:webHidden/>
                <w:sz w:val="24"/>
                <w:szCs w:val="24"/>
              </w:rPr>
              <w:fldChar w:fldCharType="end"/>
            </w:r>
          </w:hyperlink>
        </w:p>
        <w:p w14:paraId="33D6F8E5" w14:textId="77777777" w:rsidR="00890093" w:rsidRPr="00430D4D" w:rsidRDefault="00635E80" w:rsidP="00890093">
          <w:pPr>
            <w:pStyle w:val="TOC1"/>
            <w:tabs>
              <w:tab w:val="right" w:leader="dot" w:pos="9072"/>
            </w:tabs>
            <w:spacing w:afterLines="60" w:after="144" w:line="240" w:lineRule="auto"/>
            <w:jc w:val="both"/>
            <w:rPr>
              <w:rFonts w:ascii="Times New Roman" w:eastAsiaTheme="minorEastAsia" w:hAnsi="Times New Roman"/>
              <w:noProof/>
              <w:sz w:val="24"/>
              <w:szCs w:val="24"/>
              <w:lang w:val="lv-LV" w:eastAsia="lv-LV" w:bidi="ar-SA"/>
            </w:rPr>
          </w:pPr>
          <w:hyperlink w:anchor="_Toc453155036" w:history="1">
            <w:r w:rsidR="00890093" w:rsidRPr="00430D4D">
              <w:rPr>
                <w:rStyle w:val="Hyperlink"/>
                <w:rFonts w:ascii="Times New Roman" w:hAnsi="Times New Roman"/>
                <w:noProof/>
                <w:sz w:val="24"/>
                <w:szCs w:val="24"/>
              </w:rPr>
              <w:t>2. Higher Education Financing Reform</w:t>
            </w:r>
            <w:r w:rsidR="00890093" w:rsidRPr="00430D4D">
              <w:rPr>
                <w:rFonts w:ascii="Times New Roman" w:hAnsi="Times New Roman"/>
                <w:noProof/>
                <w:webHidden/>
                <w:sz w:val="24"/>
                <w:szCs w:val="24"/>
              </w:rPr>
              <w:tab/>
            </w:r>
            <w:r w:rsidR="00890093" w:rsidRPr="00430D4D">
              <w:rPr>
                <w:rFonts w:ascii="Times New Roman" w:hAnsi="Times New Roman"/>
                <w:noProof/>
                <w:webHidden/>
                <w:sz w:val="24"/>
                <w:szCs w:val="24"/>
              </w:rPr>
              <w:fldChar w:fldCharType="begin"/>
            </w:r>
            <w:r w:rsidR="00890093" w:rsidRPr="00430D4D">
              <w:rPr>
                <w:rFonts w:ascii="Times New Roman" w:hAnsi="Times New Roman"/>
                <w:noProof/>
                <w:webHidden/>
                <w:sz w:val="24"/>
                <w:szCs w:val="24"/>
              </w:rPr>
              <w:instrText xml:space="preserve"> PAGEREF _Toc453155036 \h </w:instrText>
            </w:r>
            <w:r w:rsidR="00890093" w:rsidRPr="00430D4D">
              <w:rPr>
                <w:rFonts w:ascii="Times New Roman" w:hAnsi="Times New Roman"/>
                <w:noProof/>
                <w:webHidden/>
                <w:sz w:val="24"/>
                <w:szCs w:val="24"/>
              </w:rPr>
            </w:r>
            <w:r w:rsidR="00890093" w:rsidRPr="00430D4D">
              <w:rPr>
                <w:rFonts w:ascii="Times New Roman" w:hAnsi="Times New Roman"/>
                <w:noProof/>
                <w:webHidden/>
                <w:sz w:val="24"/>
                <w:szCs w:val="24"/>
              </w:rPr>
              <w:fldChar w:fldCharType="separate"/>
            </w:r>
            <w:r w:rsidR="001311A8">
              <w:rPr>
                <w:rFonts w:ascii="Times New Roman" w:hAnsi="Times New Roman"/>
                <w:noProof/>
                <w:webHidden/>
                <w:sz w:val="24"/>
                <w:szCs w:val="24"/>
              </w:rPr>
              <w:t>19</w:t>
            </w:r>
            <w:r w:rsidR="00890093" w:rsidRPr="00430D4D">
              <w:rPr>
                <w:rFonts w:ascii="Times New Roman" w:hAnsi="Times New Roman"/>
                <w:noProof/>
                <w:webHidden/>
                <w:sz w:val="24"/>
                <w:szCs w:val="24"/>
              </w:rPr>
              <w:fldChar w:fldCharType="end"/>
            </w:r>
          </w:hyperlink>
        </w:p>
        <w:p w14:paraId="5917358B" w14:textId="77777777" w:rsidR="00890093" w:rsidRPr="00430D4D" w:rsidRDefault="00635E80" w:rsidP="00430D4D">
          <w:pPr>
            <w:pStyle w:val="TOC2"/>
            <w:tabs>
              <w:tab w:val="clear" w:pos="9061"/>
              <w:tab w:val="right" w:leader="dot" w:pos="9072"/>
            </w:tabs>
            <w:ind w:left="284" w:firstLine="0"/>
            <w:rPr>
              <w:rFonts w:ascii="Times New Roman" w:eastAsiaTheme="minorEastAsia" w:hAnsi="Times New Roman"/>
              <w:noProof/>
              <w:sz w:val="24"/>
              <w:szCs w:val="24"/>
              <w:lang w:val="lv-LV" w:eastAsia="lv-LV" w:bidi="ar-SA"/>
            </w:rPr>
          </w:pPr>
          <w:hyperlink w:anchor="_Toc453155037" w:history="1">
            <w:r w:rsidR="00890093" w:rsidRPr="00430D4D">
              <w:rPr>
                <w:rStyle w:val="Hyperlink"/>
                <w:rFonts w:ascii="Times New Roman" w:hAnsi="Times New Roman"/>
                <w:noProof/>
                <w:sz w:val="24"/>
                <w:szCs w:val="24"/>
              </w:rPr>
              <w:t>2.1. Implementation Scenarios of the Financing Model Developed by the World Bank and Their Impact on the Budget, Competitiveness and Accessibility of Higher Education</w:t>
            </w:r>
            <w:r w:rsidR="00890093" w:rsidRPr="00430D4D">
              <w:rPr>
                <w:rFonts w:ascii="Times New Roman" w:hAnsi="Times New Roman"/>
                <w:noProof/>
                <w:webHidden/>
                <w:sz w:val="24"/>
                <w:szCs w:val="24"/>
              </w:rPr>
              <w:tab/>
            </w:r>
            <w:r w:rsidR="00890093" w:rsidRPr="00430D4D">
              <w:rPr>
                <w:rFonts w:ascii="Times New Roman" w:hAnsi="Times New Roman"/>
                <w:noProof/>
                <w:webHidden/>
                <w:sz w:val="24"/>
                <w:szCs w:val="24"/>
              </w:rPr>
              <w:fldChar w:fldCharType="begin"/>
            </w:r>
            <w:r w:rsidR="00890093" w:rsidRPr="00430D4D">
              <w:rPr>
                <w:rFonts w:ascii="Times New Roman" w:hAnsi="Times New Roman"/>
                <w:noProof/>
                <w:webHidden/>
                <w:sz w:val="24"/>
                <w:szCs w:val="24"/>
              </w:rPr>
              <w:instrText xml:space="preserve"> PAGEREF _Toc453155037 \h </w:instrText>
            </w:r>
            <w:r w:rsidR="00890093" w:rsidRPr="00430D4D">
              <w:rPr>
                <w:rFonts w:ascii="Times New Roman" w:hAnsi="Times New Roman"/>
                <w:noProof/>
                <w:webHidden/>
                <w:sz w:val="24"/>
                <w:szCs w:val="24"/>
              </w:rPr>
            </w:r>
            <w:r w:rsidR="00890093" w:rsidRPr="00430D4D">
              <w:rPr>
                <w:rFonts w:ascii="Times New Roman" w:hAnsi="Times New Roman"/>
                <w:noProof/>
                <w:webHidden/>
                <w:sz w:val="24"/>
                <w:szCs w:val="24"/>
              </w:rPr>
              <w:fldChar w:fldCharType="separate"/>
            </w:r>
            <w:r w:rsidR="001311A8">
              <w:rPr>
                <w:rFonts w:ascii="Times New Roman" w:hAnsi="Times New Roman"/>
                <w:noProof/>
                <w:webHidden/>
                <w:sz w:val="24"/>
                <w:szCs w:val="24"/>
              </w:rPr>
              <w:t>20</w:t>
            </w:r>
            <w:r w:rsidR="00890093" w:rsidRPr="00430D4D">
              <w:rPr>
                <w:rFonts w:ascii="Times New Roman" w:hAnsi="Times New Roman"/>
                <w:noProof/>
                <w:webHidden/>
                <w:sz w:val="24"/>
                <w:szCs w:val="24"/>
              </w:rPr>
              <w:fldChar w:fldCharType="end"/>
            </w:r>
          </w:hyperlink>
        </w:p>
        <w:p w14:paraId="6A6DF2DB" w14:textId="77777777" w:rsidR="00890093" w:rsidRPr="00430D4D" w:rsidRDefault="00635E80" w:rsidP="00430D4D">
          <w:pPr>
            <w:pStyle w:val="TOC3"/>
            <w:rPr>
              <w:rFonts w:ascii="Times New Roman" w:eastAsiaTheme="minorEastAsia" w:hAnsi="Times New Roman"/>
              <w:noProof/>
              <w:sz w:val="24"/>
              <w:szCs w:val="24"/>
              <w:lang w:val="lv-LV" w:eastAsia="lv-LV" w:bidi="ar-SA"/>
            </w:rPr>
          </w:pPr>
          <w:hyperlink w:anchor="_Toc453155038" w:history="1">
            <w:r w:rsidR="00890093" w:rsidRPr="00430D4D">
              <w:rPr>
                <w:rStyle w:val="Hyperlink"/>
                <w:rFonts w:ascii="Times New Roman" w:hAnsi="Times New Roman"/>
                <w:noProof/>
                <w:sz w:val="24"/>
                <w:szCs w:val="24"/>
              </w:rPr>
              <w:t>2.1.1. Knowledge Society Model</w:t>
            </w:r>
            <w:r w:rsidR="00890093" w:rsidRPr="00430D4D">
              <w:rPr>
                <w:rFonts w:ascii="Times New Roman" w:hAnsi="Times New Roman"/>
                <w:noProof/>
                <w:webHidden/>
                <w:sz w:val="24"/>
                <w:szCs w:val="24"/>
              </w:rPr>
              <w:tab/>
            </w:r>
            <w:r w:rsidR="00890093" w:rsidRPr="00430D4D">
              <w:rPr>
                <w:rFonts w:ascii="Times New Roman" w:hAnsi="Times New Roman"/>
                <w:noProof/>
                <w:webHidden/>
                <w:sz w:val="24"/>
                <w:szCs w:val="24"/>
              </w:rPr>
              <w:fldChar w:fldCharType="begin"/>
            </w:r>
            <w:r w:rsidR="00890093" w:rsidRPr="00430D4D">
              <w:rPr>
                <w:rFonts w:ascii="Times New Roman" w:hAnsi="Times New Roman"/>
                <w:noProof/>
                <w:webHidden/>
                <w:sz w:val="24"/>
                <w:szCs w:val="24"/>
              </w:rPr>
              <w:instrText xml:space="preserve"> PAGEREF _Toc453155038 \h </w:instrText>
            </w:r>
            <w:r w:rsidR="00890093" w:rsidRPr="00430D4D">
              <w:rPr>
                <w:rFonts w:ascii="Times New Roman" w:hAnsi="Times New Roman"/>
                <w:noProof/>
                <w:webHidden/>
                <w:sz w:val="24"/>
                <w:szCs w:val="24"/>
              </w:rPr>
            </w:r>
            <w:r w:rsidR="00890093" w:rsidRPr="00430D4D">
              <w:rPr>
                <w:rFonts w:ascii="Times New Roman" w:hAnsi="Times New Roman"/>
                <w:noProof/>
                <w:webHidden/>
                <w:sz w:val="24"/>
                <w:szCs w:val="24"/>
              </w:rPr>
              <w:fldChar w:fldCharType="separate"/>
            </w:r>
            <w:r w:rsidR="001311A8">
              <w:rPr>
                <w:rFonts w:ascii="Times New Roman" w:hAnsi="Times New Roman"/>
                <w:noProof/>
                <w:webHidden/>
                <w:sz w:val="24"/>
                <w:szCs w:val="24"/>
              </w:rPr>
              <w:t>20</w:t>
            </w:r>
            <w:r w:rsidR="00890093" w:rsidRPr="00430D4D">
              <w:rPr>
                <w:rFonts w:ascii="Times New Roman" w:hAnsi="Times New Roman"/>
                <w:noProof/>
                <w:webHidden/>
                <w:sz w:val="24"/>
                <w:szCs w:val="24"/>
              </w:rPr>
              <w:fldChar w:fldCharType="end"/>
            </w:r>
          </w:hyperlink>
        </w:p>
        <w:p w14:paraId="170AA1D7" w14:textId="77777777" w:rsidR="00890093" w:rsidRPr="00430D4D" w:rsidRDefault="00635E80" w:rsidP="00430D4D">
          <w:pPr>
            <w:pStyle w:val="TOC3"/>
            <w:rPr>
              <w:rFonts w:ascii="Times New Roman" w:eastAsiaTheme="minorEastAsia" w:hAnsi="Times New Roman"/>
              <w:noProof/>
              <w:sz w:val="24"/>
              <w:szCs w:val="24"/>
              <w:lang w:val="lv-LV" w:eastAsia="lv-LV" w:bidi="ar-SA"/>
            </w:rPr>
          </w:pPr>
          <w:hyperlink w:anchor="_Toc453155039" w:history="1">
            <w:r w:rsidR="00890093" w:rsidRPr="00430D4D">
              <w:rPr>
                <w:rStyle w:val="Hyperlink"/>
                <w:rFonts w:ascii="Times New Roman" w:hAnsi="Times New Roman"/>
                <w:noProof/>
                <w:sz w:val="24"/>
                <w:szCs w:val="24"/>
              </w:rPr>
              <w:t>2.1.2. Limited Expansion Model</w:t>
            </w:r>
            <w:r w:rsidR="00890093" w:rsidRPr="00430D4D">
              <w:rPr>
                <w:rFonts w:ascii="Times New Roman" w:hAnsi="Times New Roman"/>
                <w:noProof/>
                <w:webHidden/>
                <w:sz w:val="24"/>
                <w:szCs w:val="24"/>
              </w:rPr>
              <w:tab/>
            </w:r>
            <w:r w:rsidR="00890093" w:rsidRPr="00430D4D">
              <w:rPr>
                <w:rFonts w:ascii="Times New Roman" w:hAnsi="Times New Roman"/>
                <w:noProof/>
                <w:webHidden/>
                <w:sz w:val="24"/>
                <w:szCs w:val="24"/>
              </w:rPr>
              <w:fldChar w:fldCharType="begin"/>
            </w:r>
            <w:r w:rsidR="00890093" w:rsidRPr="00430D4D">
              <w:rPr>
                <w:rFonts w:ascii="Times New Roman" w:hAnsi="Times New Roman"/>
                <w:noProof/>
                <w:webHidden/>
                <w:sz w:val="24"/>
                <w:szCs w:val="24"/>
              </w:rPr>
              <w:instrText xml:space="preserve"> PAGEREF _Toc453155039 \h </w:instrText>
            </w:r>
            <w:r w:rsidR="00890093" w:rsidRPr="00430D4D">
              <w:rPr>
                <w:rFonts w:ascii="Times New Roman" w:hAnsi="Times New Roman"/>
                <w:noProof/>
                <w:webHidden/>
                <w:sz w:val="24"/>
                <w:szCs w:val="24"/>
              </w:rPr>
            </w:r>
            <w:r w:rsidR="00890093" w:rsidRPr="00430D4D">
              <w:rPr>
                <w:rFonts w:ascii="Times New Roman" w:hAnsi="Times New Roman"/>
                <w:noProof/>
                <w:webHidden/>
                <w:sz w:val="24"/>
                <w:szCs w:val="24"/>
              </w:rPr>
              <w:fldChar w:fldCharType="separate"/>
            </w:r>
            <w:r w:rsidR="001311A8">
              <w:rPr>
                <w:rFonts w:ascii="Times New Roman" w:hAnsi="Times New Roman"/>
                <w:noProof/>
                <w:webHidden/>
                <w:sz w:val="24"/>
                <w:szCs w:val="24"/>
              </w:rPr>
              <w:t>23</w:t>
            </w:r>
            <w:r w:rsidR="00890093" w:rsidRPr="00430D4D">
              <w:rPr>
                <w:rFonts w:ascii="Times New Roman" w:hAnsi="Times New Roman"/>
                <w:noProof/>
                <w:webHidden/>
                <w:sz w:val="24"/>
                <w:szCs w:val="24"/>
              </w:rPr>
              <w:fldChar w:fldCharType="end"/>
            </w:r>
          </w:hyperlink>
        </w:p>
        <w:p w14:paraId="0DEF6643" w14:textId="77777777" w:rsidR="00890093" w:rsidRPr="00430D4D" w:rsidRDefault="00635E80" w:rsidP="00430D4D">
          <w:pPr>
            <w:pStyle w:val="TOC3"/>
            <w:rPr>
              <w:rFonts w:ascii="Times New Roman" w:eastAsiaTheme="minorEastAsia" w:hAnsi="Times New Roman"/>
              <w:noProof/>
              <w:sz w:val="24"/>
              <w:szCs w:val="24"/>
              <w:lang w:val="lv-LV" w:eastAsia="lv-LV" w:bidi="ar-SA"/>
            </w:rPr>
          </w:pPr>
          <w:hyperlink w:anchor="_Toc453155040" w:history="1">
            <w:r w:rsidR="00890093" w:rsidRPr="00430D4D">
              <w:rPr>
                <w:rStyle w:val="Hyperlink"/>
                <w:rFonts w:ascii="Times New Roman" w:hAnsi="Times New Roman"/>
                <w:noProof/>
                <w:sz w:val="24"/>
                <w:szCs w:val="24"/>
              </w:rPr>
              <w:t>2.1.3. Scarcity Model</w:t>
            </w:r>
            <w:r w:rsidR="00890093" w:rsidRPr="00430D4D">
              <w:rPr>
                <w:rFonts w:ascii="Times New Roman" w:hAnsi="Times New Roman"/>
                <w:noProof/>
                <w:webHidden/>
                <w:sz w:val="24"/>
                <w:szCs w:val="24"/>
              </w:rPr>
              <w:tab/>
            </w:r>
            <w:r w:rsidR="00890093" w:rsidRPr="00430D4D">
              <w:rPr>
                <w:rFonts w:ascii="Times New Roman" w:hAnsi="Times New Roman"/>
                <w:noProof/>
                <w:webHidden/>
                <w:sz w:val="24"/>
                <w:szCs w:val="24"/>
              </w:rPr>
              <w:fldChar w:fldCharType="begin"/>
            </w:r>
            <w:r w:rsidR="00890093" w:rsidRPr="00430D4D">
              <w:rPr>
                <w:rFonts w:ascii="Times New Roman" w:hAnsi="Times New Roman"/>
                <w:noProof/>
                <w:webHidden/>
                <w:sz w:val="24"/>
                <w:szCs w:val="24"/>
              </w:rPr>
              <w:instrText xml:space="preserve"> PAGEREF _Toc453155040 \h </w:instrText>
            </w:r>
            <w:r w:rsidR="00890093" w:rsidRPr="00430D4D">
              <w:rPr>
                <w:rFonts w:ascii="Times New Roman" w:hAnsi="Times New Roman"/>
                <w:noProof/>
                <w:webHidden/>
                <w:sz w:val="24"/>
                <w:szCs w:val="24"/>
              </w:rPr>
            </w:r>
            <w:r w:rsidR="00890093" w:rsidRPr="00430D4D">
              <w:rPr>
                <w:rFonts w:ascii="Times New Roman" w:hAnsi="Times New Roman"/>
                <w:noProof/>
                <w:webHidden/>
                <w:sz w:val="24"/>
                <w:szCs w:val="24"/>
              </w:rPr>
              <w:fldChar w:fldCharType="separate"/>
            </w:r>
            <w:r w:rsidR="001311A8">
              <w:rPr>
                <w:rFonts w:ascii="Times New Roman" w:hAnsi="Times New Roman"/>
                <w:noProof/>
                <w:webHidden/>
                <w:sz w:val="24"/>
                <w:szCs w:val="24"/>
              </w:rPr>
              <w:t>25</w:t>
            </w:r>
            <w:r w:rsidR="00890093" w:rsidRPr="00430D4D">
              <w:rPr>
                <w:rFonts w:ascii="Times New Roman" w:hAnsi="Times New Roman"/>
                <w:noProof/>
                <w:webHidden/>
                <w:sz w:val="24"/>
                <w:szCs w:val="24"/>
              </w:rPr>
              <w:fldChar w:fldCharType="end"/>
            </w:r>
          </w:hyperlink>
        </w:p>
        <w:p w14:paraId="3432D1D0" w14:textId="77777777" w:rsidR="00890093" w:rsidRPr="00430D4D" w:rsidRDefault="00635E80" w:rsidP="00430D4D">
          <w:pPr>
            <w:pStyle w:val="TOC3"/>
            <w:rPr>
              <w:rFonts w:ascii="Times New Roman" w:eastAsiaTheme="minorEastAsia" w:hAnsi="Times New Roman"/>
              <w:noProof/>
              <w:sz w:val="24"/>
              <w:szCs w:val="24"/>
              <w:lang w:val="lv-LV" w:eastAsia="lv-LV" w:bidi="ar-SA"/>
            </w:rPr>
          </w:pPr>
          <w:hyperlink w:anchor="_Toc453155041" w:history="1">
            <w:r w:rsidR="00890093" w:rsidRPr="00430D4D">
              <w:rPr>
                <w:rStyle w:val="Hyperlink"/>
                <w:rFonts w:ascii="Times New Roman" w:hAnsi="Times New Roman"/>
                <w:noProof/>
                <w:sz w:val="24"/>
                <w:szCs w:val="24"/>
              </w:rPr>
              <w:t>2.1.4. Solutions for Financing Policy Change</w:t>
            </w:r>
            <w:r w:rsidR="00890093" w:rsidRPr="00430D4D">
              <w:rPr>
                <w:rFonts w:ascii="Times New Roman" w:hAnsi="Times New Roman"/>
                <w:noProof/>
                <w:webHidden/>
                <w:sz w:val="24"/>
                <w:szCs w:val="24"/>
              </w:rPr>
              <w:tab/>
            </w:r>
            <w:r w:rsidR="00890093" w:rsidRPr="00430D4D">
              <w:rPr>
                <w:rFonts w:ascii="Times New Roman" w:hAnsi="Times New Roman"/>
                <w:noProof/>
                <w:webHidden/>
                <w:sz w:val="24"/>
                <w:szCs w:val="24"/>
              </w:rPr>
              <w:fldChar w:fldCharType="begin"/>
            </w:r>
            <w:r w:rsidR="00890093" w:rsidRPr="00430D4D">
              <w:rPr>
                <w:rFonts w:ascii="Times New Roman" w:hAnsi="Times New Roman"/>
                <w:noProof/>
                <w:webHidden/>
                <w:sz w:val="24"/>
                <w:szCs w:val="24"/>
              </w:rPr>
              <w:instrText xml:space="preserve"> PAGEREF _Toc453155041 \h </w:instrText>
            </w:r>
            <w:r w:rsidR="00890093" w:rsidRPr="00430D4D">
              <w:rPr>
                <w:rFonts w:ascii="Times New Roman" w:hAnsi="Times New Roman"/>
                <w:noProof/>
                <w:webHidden/>
                <w:sz w:val="24"/>
                <w:szCs w:val="24"/>
              </w:rPr>
            </w:r>
            <w:r w:rsidR="00890093" w:rsidRPr="00430D4D">
              <w:rPr>
                <w:rFonts w:ascii="Times New Roman" w:hAnsi="Times New Roman"/>
                <w:noProof/>
                <w:webHidden/>
                <w:sz w:val="24"/>
                <w:szCs w:val="24"/>
              </w:rPr>
              <w:fldChar w:fldCharType="separate"/>
            </w:r>
            <w:r w:rsidR="001311A8">
              <w:rPr>
                <w:rFonts w:ascii="Times New Roman" w:hAnsi="Times New Roman"/>
                <w:noProof/>
                <w:webHidden/>
                <w:sz w:val="24"/>
                <w:szCs w:val="24"/>
              </w:rPr>
              <w:t>27</w:t>
            </w:r>
            <w:r w:rsidR="00890093" w:rsidRPr="00430D4D">
              <w:rPr>
                <w:rFonts w:ascii="Times New Roman" w:hAnsi="Times New Roman"/>
                <w:noProof/>
                <w:webHidden/>
                <w:sz w:val="24"/>
                <w:szCs w:val="24"/>
              </w:rPr>
              <w:fldChar w:fldCharType="end"/>
            </w:r>
          </w:hyperlink>
        </w:p>
        <w:p w14:paraId="1CA7D841" w14:textId="77777777" w:rsidR="00890093" w:rsidRPr="00430D4D" w:rsidRDefault="00635E80" w:rsidP="00890093">
          <w:pPr>
            <w:pStyle w:val="TOC2"/>
            <w:tabs>
              <w:tab w:val="clear" w:pos="9061"/>
              <w:tab w:val="right" w:leader="dot" w:pos="9072"/>
            </w:tabs>
            <w:rPr>
              <w:rFonts w:ascii="Times New Roman" w:eastAsiaTheme="minorEastAsia" w:hAnsi="Times New Roman"/>
              <w:noProof/>
              <w:sz w:val="24"/>
              <w:szCs w:val="24"/>
              <w:lang w:val="lv-LV" w:eastAsia="lv-LV" w:bidi="ar-SA"/>
            </w:rPr>
          </w:pPr>
          <w:hyperlink w:anchor="_Toc453155042" w:history="1">
            <w:r w:rsidR="00890093" w:rsidRPr="00430D4D">
              <w:rPr>
                <w:rStyle w:val="Hyperlink"/>
                <w:rFonts w:ascii="Times New Roman" w:hAnsi="Times New Roman"/>
                <w:noProof/>
                <w:sz w:val="24"/>
                <w:szCs w:val="24"/>
              </w:rPr>
              <w:t>2.2. Financing of Institutions of Higher Education and Colleges in 2015 and 2016</w:t>
            </w:r>
            <w:r w:rsidR="00890093" w:rsidRPr="00430D4D">
              <w:rPr>
                <w:rFonts w:ascii="Times New Roman" w:hAnsi="Times New Roman"/>
                <w:noProof/>
                <w:webHidden/>
                <w:sz w:val="24"/>
                <w:szCs w:val="24"/>
              </w:rPr>
              <w:tab/>
            </w:r>
            <w:r w:rsidR="00890093" w:rsidRPr="00430D4D">
              <w:rPr>
                <w:rFonts w:ascii="Times New Roman" w:hAnsi="Times New Roman"/>
                <w:noProof/>
                <w:webHidden/>
                <w:sz w:val="24"/>
                <w:szCs w:val="24"/>
              </w:rPr>
              <w:fldChar w:fldCharType="begin"/>
            </w:r>
            <w:r w:rsidR="00890093" w:rsidRPr="00430D4D">
              <w:rPr>
                <w:rFonts w:ascii="Times New Roman" w:hAnsi="Times New Roman"/>
                <w:noProof/>
                <w:webHidden/>
                <w:sz w:val="24"/>
                <w:szCs w:val="24"/>
              </w:rPr>
              <w:instrText xml:space="preserve"> PAGEREF _Toc453155042 \h </w:instrText>
            </w:r>
            <w:r w:rsidR="00890093" w:rsidRPr="00430D4D">
              <w:rPr>
                <w:rFonts w:ascii="Times New Roman" w:hAnsi="Times New Roman"/>
                <w:noProof/>
                <w:webHidden/>
                <w:sz w:val="24"/>
                <w:szCs w:val="24"/>
              </w:rPr>
            </w:r>
            <w:r w:rsidR="00890093" w:rsidRPr="00430D4D">
              <w:rPr>
                <w:rFonts w:ascii="Times New Roman" w:hAnsi="Times New Roman"/>
                <w:noProof/>
                <w:webHidden/>
                <w:sz w:val="24"/>
                <w:szCs w:val="24"/>
              </w:rPr>
              <w:fldChar w:fldCharType="separate"/>
            </w:r>
            <w:r w:rsidR="001311A8">
              <w:rPr>
                <w:rFonts w:ascii="Times New Roman" w:hAnsi="Times New Roman"/>
                <w:noProof/>
                <w:webHidden/>
                <w:sz w:val="24"/>
                <w:szCs w:val="24"/>
              </w:rPr>
              <w:t>27</w:t>
            </w:r>
            <w:r w:rsidR="00890093" w:rsidRPr="00430D4D">
              <w:rPr>
                <w:rFonts w:ascii="Times New Roman" w:hAnsi="Times New Roman"/>
                <w:noProof/>
                <w:webHidden/>
                <w:sz w:val="24"/>
                <w:szCs w:val="24"/>
              </w:rPr>
              <w:fldChar w:fldCharType="end"/>
            </w:r>
          </w:hyperlink>
        </w:p>
        <w:p w14:paraId="6E1FF839" w14:textId="77777777" w:rsidR="00890093" w:rsidRPr="00430D4D" w:rsidRDefault="00635E80" w:rsidP="00430D4D">
          <w:pPr>
            <w:pStyle w:val="TOC3"/>
            <w:rPr>
              <w:rFonts w:ascii="Times New Roman" w:eastAsiaTheme="minorEastAsia" w:hAnsi="Times New Roman"/>
              <w:noProof/>
              <w:sz w:val="24"/>
              <w:szCs w:val="24"/>
              <w:lang w:val="lv-LV" w:eastAsia="lv-LV" w:bidi="ar-SA"/>
            </w:rPr>
          </w:pPr>
          <w:hyperlink w:anchor="_Toc453155043" w:history="1">
            <w:r w:rsidR="00890093" w:rsidRPr="00430D4D">
              <w:rPr>
                <w:rStyle w:val="Hyperlink"/>
                <w:rFonts w:ascii="Times New Roman" w:hAnsi="Times New Roman"/>
                <w:noProof/>
                <w:sz w:val="24"/>
                <w:szCs w:val="24"/>
              </w:rPr>
              <w:t>2.2.1. Main Stages of the Financing Reform</w:t>
            </w:r>
            <w:r w:rsidR="00890093" w:rsidRPr="00430D4D">
              <w:rPr>
                <w:rFonts w:ascii="Times New Roman" w:hAnsi="Times New Roman"/>
                <w:noProof/>
                <w:webHidden/>
                <w:sz w:val="24"/>
                <w:szCs w:val="24"/>
              </w:rPr>
              <w:tab/>
            </w:r>
            <w:r w:rsidR="00890093" w:rsidRPr="00430D4D">
              <w:rPr>
                <w:rFonts w:ascii="Times New Roman" w:hAnsi="Times New Roman"/>
                <w:noProof/>
                <w:webHidden/>
                <w:sz w:val="24"/>
                <w:szCs w:val="24"/>
              </w:rPr>
              <w:fldChar w:fldCharType="begin"/>
            </w:r>
            <w:r w:rsidR="00890093" w:rsidRPr="00430D4D">
              <w:rPr>
                <w:rFonts w:ascii="Times New Roman" w:hAnsi="Times New Roman"/>
                <w:noProof/>
                <w:webHidden/>
                <w:sz w:val="24"/>
                <w:szCs w:val="24"/>
              </w:rPr>
              <w:instrText xml:space="preserve"> PAGEREF _Toc453155043 \h </w:instrText>
            </w:r>
            <w:r w:rsidR="00890093" w:rsidRPr="00430D4D">
              <w:rPr>
                <w:rFonts w:ascii="Times New Roman" w:hAnsi="Times New Roman"/>
                <w:noProof/>
                <w:webHidden/>
                <w:sz w:val="24"/>
                <w:szCs w:val="24"/>
              </w:rPr>
            </w:r>
            <w:r w:rsidR="00890093" w:rsidRPr="00430D4D">
              <w:rPr>
                <w:rFonts w:ascii="Times New Roman" w:hAnsi="Times New Roman"/>
                <w:noProof/>
                <w:webHidden/>
                <w:sz w:val="24"/>
                <w:szCs w:val="24"/>
              </w:rPr>
              <w:fldChar w:fldCharType="separate"/>
            </w:r>
            <w:r w:rsidR="001311A8">
              <w:rPr>
                <w:rFonts w:ascii="Times New Roman" w:hAnsi="Times New Roman"/>
                <w:noProof/>
                <w:webHidden/>
                <w:sz w:val="24"/>
                <w:szCs w:val="24"/>
              </w:rPr>
              <w:t>28</w:t>
            </w:r>
            <w:r w:rsidR="00890093" w:rsidRPr="00430D4D">
              <w:rPr>
                <w:rFonts w:ascii="Times New Roman" w:hAnsi="Times New Roman"/>
                <w:noProof/>
                <w:webHidden/>
                <w:sz w:val="24"/>
                <w:szCs w:val="24"/>
              </w:rPr>
              <w:fldChar w:fldCharType="end"/>
            </w:r>
          </w:hyperlink>
        </w:p>
        <w:p w14:paraId="5B828EE7" w14:textId="77777777" w:rsidR="00890093" w:rsidRPr="00430D4D" w:rsidRDefault="00635E80" w:rsidP="00430D4D">
          <w:pPr>
            <w:pStyle w:val="TOC3"/>
            <w:rPr>
              <w:rFonts w:ascii="Times New Roman" w:eastAsiaTheme="minorEastAsia" w:hAnsi="Times New Roman"/>
              <w:noProof/>
              <w:sz w:val="24"/>
              <w:szCs w:val="24"/>
              <w:lang w:val="lv-LV" w:eastAsia="lv-LV" w:bidi="ar-SA"/>
            </w:rPr>
          </w:pPr>
          <w:hyperlink w:anchor="_Toc453155044" w:history="1">
            <w:r w:rsidR="00890093" w:rsidRPr="00430D4D">
              <w:rPr>
                <w:rStyle w:val="Hyperlink"/>
                <w:rFonts w:ascii="Times New Roman" w:hAnsi="Times New Roman"/>
                <w:noProof/>
                <w:sz w:val="24"/>
                <w:szCs w:val="24"/>
              </w:rPr>
              <w:t>2.2.2. Funding Allocation Principles According to the New Financing Model</w:t>
            </w:r>
            <w:r w:rsidR="00890093" w:rsidRPr="00430D4D">
              <w:rPr>
                <w:rFonts w:ascii="Times New Roman" w:hAnsi="Times New Roman"/>
                <w:noProof/>
                <w:webHidden/>
                <w:sz w:val="24"/>
                <w:szCs w:val="24"/>
              </w:rPr>
              <w:tab/>
            </w:r>
            <w:r w:rsidR="00890093" w:rsidRPr="00430D4D">
              <w:rPr>
                <w:rFonts w:ascii="Times New Roman" w:hAnsi="Times New Roman"/>
                <w:noProof/>
                <w:webHidden/>
                <w:sz w:val="24"/>
                <w:szCs w:val="24"/>
              </w:rPr>
              <w:fldChar w:fldCharType="begin"/>
            </w:r>
            <w:r w:rsidR="00890093" w:rsidRPr="00430D4D">
              <w:rPr>
                <w:rFonts w:ascii="Times New Roman" w:hAnsi="Times New Roman"/>
                <w:noProof/>
                <w:webHidden/>
                <w:sz w:val="24"/>
                <w:szCs w:val="24"/>
              </w:rPr>
              <w:instrText xml:space="preserve"> PAGEREF _Toc453155044 \h </w:instrText>
            </w:r>
            <w:r w:rsidR="00890093" w:rsidRPr="00430D4D">
              <w:rPr>
                <w:rFonts w:ascii="Times New Roman" w:hAnsi="Times New Roman"/>
                <w:noProof/>
                <w:webHidden/>
                <w:sz w:val="24"/>
                <w:szCs w:val="24"/>
              </w:rPr>
            </w:r>
            <w:r w:rsidR="00890093" w:rsidRPr="00430D4D">
              <w:rPr>
                <w:rFonts w:ascii="Times New Roman" w:hAnsi="Times New Roman"/>
                <w:noProof/>
                <w:webHidden/>
                <w:sz w:val="24"/>
                <w:szCs w:val="24"/>
              </w:rPr>
              <w:fldChar w:fldCharType="separate"/>
            </w:r>
            <w:r w:rsidR="001311A8">
              <w:rPr>
                <w:rFonts w:ascii="Times New Roman" w:hAnsi="Times New Roman"/>
                <w:noProof/>
                <w:webHidden/>
                <w:sz w:val="24"/>
                <w:szCs w:val="24"/>
              </w:rPr>
              <w:t>29</w:t>
            </w:r>
            <w:r w:rsidR="00890093" w:rsidRPr="00430D4D">
              <w:rPr>
                <w:rFonts w:ascii="Times New Roman" w:hAnsi="Times New Roman"/>
                <w:noProof/>
                <w:webHidden/>
                <w:sz w:val="24"/>
                <w:szCs w:val="24"/>
              </w:rPr>
              <w:fldChar w:fldCharType="end"/>
            </w:r>
          </w:hyperlink>
        </w:p>
        <w:p w14:paraId="3AB118D9" w14:textId="77777777" w:rsidR="00890093" w:rsidRPr="00430D4D" w:rsidRDefault="00635E80" w:rsidP="00430D4D">
          <w:pPr>
            <w:pStyle w:val="TOC3"/>
            <w:rPr>
              <w:rFonts w:ascii="Times New Roman" w:eastAsiaTheme="minorEastAsia" w:hAnsi="Times New Roman"/>
              <w:noProof/>
              <w:sz w:val="24"/>
              <w:szCs w:val="24"/>
              <w:lang w:val="lv-LV" w:eastAsia="lv-LV" w:bidi="ar-SA"/>
            </w:rPr>
          </w:pPr>
          <w:hyperlink w:anchor="_Toc453155045" w:history="1">
            <w:r w:rsidR="00890093" w:rsidRPr="00430D4D">
              <w:rPr>
                <w:rStyle w:val="Hyperlink"/>
                <w:rFonts w:ascii="Times New Roman" w:hAnsi="Times New Roman"/>
                <w:noProof/>
                <w:sz w:val="24"/>
                <w:szCs w:val="24"/>
              </w:rPr>
              <w:t>2.2.3. Procedures for the Financing of Institutions of Higher Education and Colleges from the Funds of the State Budget</w:t>
            </w:r>
            <w:r w:rsidR="00890093" w:rsidRPr="00430D4D">
              <w:rPr>
                <w:rFonts w:ascii="Times New Roman" w:hAnsi="Times New Roman"/>
                <w:noProof/>
                <w:webHidden/>
                <w:sz w:val="24"/>
                <w:szCs w:val="24"/>
              </w:rPr>
              <w:tab/>
            </w:r>
            <w:r w:rsidR="00890093" w:rsidRPr="00430D4D">
              <w:rPr>
                <w:rFonts w:ascii="Times New Roman" w:hAnsi="Times New Roman"/>
                <w:noProof/>
                <w:webHidden/>
                <w:sz w:val="24"/>
                <w:szCs w:val="24"/>
              </w:rPr>
              <w:fldChar w:fldCharType="begin"/>
            </w:r>
            <w:r w:rsidR="00890093" w:rsidRPr="00430D4D">
              <w:rPr>
                <w:rFonts w:ascii="Times New Roman" w:hAnsi="Times New Roman"/>
                <w:noProof/>
                <w:webHidden/>
                <w:sz w:val="24"/>
                <w:szCs w:val="24"/>
              </w:rPr>
              <w:instrText xml:space="preserve"> PAGEREF _Toc453155045 \h </w:instrText>
            </w:r>
            <w:r w:rsidR="00890093" w:rsidRPr="00430D4D">
              <w:rPr>
                <w:rFonts w:ascii="Times New Roman" w:hAnsi="Times New Roman"/>
                <w:noProof/>
                <w:webHidden/>
                <w:sz w:val="24"/>
                <w:szCs w:val="24"/>
              </w:rPr>
            </w:r>
            <w:r w:rsidR="00890093" w:rsidRPr="00430D4D">
              <w:rPr>
                <w:rFonts w:ascii="Times New Roman" w:hAnsi="Times New Roman"/>
                <w:noProof/>
                <w:webHidden/>
                <w:sz w:val="24"/>
                <w:szCs w:val="24"/>
              </w:rPr>
              <w:fldChar w:fldCharType="separate"/>
            </w:r>
            <w:r w:rsidR="001311A8">
              <w:rPr>
                <w:rFonts w:ascii="Times New Roman" w:hAnsi="Times New Roman"/>
                <w:noProof/>
                <w:webHidden/>
                <w:sz w:val="24"/>
                <w:szCs w:val="24"/>
              </w:rPr>
              <w:t>30</w:t>
            </w:r>
            <w:r w:rsidR="00890093" w:rsidRPr="00430D4D">
              <w:rPr>
                <w:rFonts w:ascii="Times New Roman" w:hAnsi="Times New Roman"/>
                <w:noProof/>
                <w:webHidden/>
                <w:sz w:val="24"/>
                <w:szCs w:val="24"/>
              </w:rPr>
              <w:fldChar w:fldCharType="end"/>
            </w:r>
          </w:hyperlink>
        </w:p>
        <w:p w14:paraId="37130A02" w14:textId="77777777" w:rsidR="00890093" w:rsidRPr="00430D4D" w:rsidRDefault="00635E80" w:rsidP="00430D4D">
          <w:pPr>
            <w:pStyle w:val="TOC3"/>
            <w:rPr>
              <w:rFonts w:ascii="Times New Roman" w:eastAsiaTheme="minorEastAsia" w:hAnsi="Times New Roman"/>
              <w:noProof/>
              <w:sz w:val="24"/>
              <w:szCs w:val="24"/>
              <w:lang w:val="lv-LV" w:eastAsia="lv-LV" w:bidi="ar-SA"/>
            </w:rPr>
          </w:pPr>
          <w:hyperlink w:anchor="_Toc453155046" w:history="1">
            <w:r w:rsidR="00890093" w:rsidRPr="00430D4D">
              <w:rPr>
                <w:rStyle w:val="Hyperlink"/>
                <w:rFonts w:ascii="Times New Roman" w:hAnsi="Times New Roman"/>
                <w:noProof/>
                <w:sz w:val="24"/>
                <w:szCs w:val="24"/>
              </w:rPr>
              <w:t>2.2.4. Procedures for Financing the Second Pillar of Study and Research from the State Budget</w:t>
            </w:r>
            <w:r w:rsidR="00890093" w:rsidRPr="00430D4D">
              <w:rPr>
                <w:rFonts w:ascii="Times New Roman" w:hAnsi="Times New Roman"/>
                <w:noProof/>
                <w:webHidden/>
                <w:sz w:val="24"/>
                <w:szCs w:val="24"/>
              </w:rPr>
              <w:tab/>
            </w:r>
            <w:r w:rsidR="00890093" w:rsidRPr="00430D4D">
              <w:rPr>
                <w:rFonts w:ascii="Times New Roman" w:hAnsi="Times New Roman"/>
                <w:noProof/>
                <w:webHidden/>
                <w:sz w:val="24"/>
                <w:szCs w:val="24"/>
              </w:rPr>
              <w:fldChar w:fldCharType="begin"/>
            </w:r>
            <w:r w:rsidR="00890093" w:rsidRPr="00430D4D">
              <w:rPr>
                <w:rFonts w:ascii="Times New Roman" w:hAnsi="Times New Roman"/>
                <w:noProof/>
                <w:webHidden/>
                <w:sz w:val="24"/>
                <w:szCs w:val="24"/>
              </w:rPr>
              <w:instrText xml:space="preserve"> PAGEREF _Toc453155046 \h </w:instrText>
            </w:r>
            <w:r w:rsidR="00890093" w:rsidRPr="00430D4D">
              <w:rPr>
                <w:rFonts w:ascii="Times New Roman" w:hAnsi="Times New Roman"/>
                <w:noProof/>
                <w:webHidden/>
                <w:sz w:val="24"/>
                <w:szCs w:val="24"/>
              </w:rPr>
            </w:r>
            <w:r w:rsidR="00890093" w:rsidRPr="00430D4D">
              <w:rPr>
                <w:rFonts w:ascii="Times New Roman" w:hAnsi="Times New Roman"/>
                <w:noProof/>
                <w:webHidden/>
                <w:sz w:val="24"/>
                <w:szCs w:val="24"/>
              </w:rPr>
              <w:fldChar w:fldCharType="separate"/>
            </w:r>
            <w:r w:rsidR="001311A8">
              <w:rPr>
                <w:rFonts w:ascii="Times New Roman" w:hAnsi="Times New Roman"/>
                <w:noProof/>
                <w:webHidden/>
                <w:sz w:val="24"/>
                <w:szCs w:val="24"/>
              </w:rPr>
              <w:t>38</w:t>
            </w:r>
            <w:r w:rsidR="00890093" w:rsidRPr="00430D4D">
              <w:rPr>
                <w:rFonts w:ascii="Times New Roman" w:hAnsi="Times New Roman"/>
                <w:noProof/>
                <w:webHidden/>
                <w:sz w:val="24"/>
                <w:szCs w:val="24"/>
              </w:rPr>
              <w:fldChar w:fldCharType="end"/>
            </w:r>
          </w:hyperlink>
        </w:p>
        <w:p w14:paraId="7073CC02" w14:textId="77777777" w:rsidR="00890093" w:rsidRPr="00430D4D" w:rsidRDefault="00635E80" w:rsidP="00430D4D">
          <w:pPr>
            <w:pStyle w:val="TOC3"/>
            <w:rPr>
              <w:rFonts w:ascii="Times New Roman" w:eastAsiaTheme="minorEastAsia" w:hAnsi="Times New Roman"/>
              <w:noProof/>
              <w:sz w:val="24"/>
              <w:szCs w:val="24"/>
              <w:lang w:val="lv-LV" w:eastAsia="lv-LV" w:bidi="ar-SA"/>
            </w:rPr>
          </w:pPr>
          <w:hyperlink w:anchor="_Toc453155047" w:history="1">
            <w:r w:rsidR="00890093" w:rsidRPr="00430D4D">
              <w:rPr>
                <w:rStyle w:val="Hyperlink"/>
                <w:rFonts w:ascii="Times New Roman" w:hAnsi="Times New Roman"/>
                <w:noProof/>
                <w:sz w:val="24"/>
                <w:szCs w:val="24"/>
              </w:rPr>
              <w:t>2.2.5. Funding of the Third Pillar – Support of the European Union Structural Funds to the Development of Higher Education and Research</w:t>
            </w:r>
            <w:r w:rsidR="00890093" w:rsidRPr="00430D4D">
              <w:rPr>
                <w:rFonts w:ascii="Times New Roman" w:hAnsi="Times New Roman"/>
                <w:noProof/>
                <w:webHidden/>
                <w:sz w:val="24"/>
                <w:szCs w:val="24"/>
              </w:rPr>
              <w:tab/>
            </w:r>
            <w:r w:rsidR="00890093" w:rsidRPr="00430D4D">
              <w:rPr>
                <w:rFonts w:ascii="Times New Roman" w:hAnsi="Times New Roman"/>
                <w:noProof/>
                <w:webHidden/>
                <w:sz w:val="24"/>
                <w:szCs w:val="24"/>
              </w:rPr>
              <w:fldChar w:fldCharType="begin"/>
            </w:r>
            <w:r w:rsidR="00890093" w:rsidRPr="00430D4D">
              <w:rPr>
                <w:rFonts w:ascii="Times New Roman" w:hAnsi="Times New Roman"/>
                <w:noProof/>
                <w:webHidden/>
                <w:sz w:val="24"/>
                <w:szCs w:val="24"/>
              </w:rPr>
              <w:instrText xml:space="preserve"> PAGEREF _Toc453155047 \h </w:instrText>
            </w:r>
            <w:r w:rsidR="00890093" w:rsidRPr="00430D4D">
              <w:rPr>
                <w:rFonts w:ascii="Times New Roman" w:hAnsi="Times New Roman"/>
                <w:noProof/>
                <w:webHidden/>
                <w:sz w:val="24"/>
                <w:szCs w:val="24"/>
              </w:rPr>
            </w:r>
            <w:r w:rsidR="00890093" w:rsidRPr="00430D4D">
              <w:rPr>
                <w:rFonts w:ascii="Times New Roman" w:hAnsi="Times New Roman"/>
                <w:noProof/>
                <w:webHidden/>
                <w:sz w:val="24"/>
                <w:szCs w:val="24"/>
              </w:rPr>
              <w:fldChar w:fldCharType="separate"/>
            </w:r>
            <w:r w:rsidR="001311A8">
              <w:rPr>
                <w:rFonts w:ascii="Times New Roman" w:hAnsi="Times New Roman"/>
                <w:noProof/>
                <w:webHidden/>
                <w:sz w:val="24"/>
                <w:szCs w:val="24"/>
              </w:rPr>
              <w:t>43</w:t>
            </w:r>
            <w:r w:rsidR="00890093" w:rsidRPr="00430D4D">
              <w:rPr>
                <w:rFonts w:ascii="Times New Roman" w:hAnsi="Times New Roman"/>
                <w:noProof/>
                <w:webHidden/>
                <w:sz w:val="24"/>
                <w:szCs w:val="24"/>
              </w:rPr>
              <w:fldChar w:fldCharType="end"/>
            </w:r>
          </w:hyperlink>
        </w:p>
        <w:p w14:paraId="25666E67" w14:textId="77777777" w:rsidR="00890093" w:rsidRPr="00430D4D" w:rsidRDefault="00635E80" w:rsidP="00430D4D">
          <w:pPr>
            <w:pStyle w:val="TOC3"/>
            <w:rPr>
              <w:rFonts w:ascii="Times New Roman" w:eastAsiaTheme="minorEastAsia" w:hAnsi="Times New Roman"/>
              <w:noProof/>
              <w:sz w:val="24"/>
              <w:szCs w:val="24"/>
              <w:lang w:val="lv-LV" w:eastAsia="lv-LV" w:bidi="ar-SA"/>
            </w:rPr>
          </w:pPr>
          <w:hyperlink w:anchor="_Toc453155048" w:history="1">
            <w:r w:rsidR="00890093" w:rsidRPr="00430D4D">
              <w:rPr>
                <w:rStyle w:val="Hyperlink"/>
                <w:rFonts w:ascii="Times New Roman" w:hAnsi="Times New Roman"/>
                <w:noProof/>
                <w:sz w:val="24"/>
                <w:szCs w:val="24"/>
              </w:rPr>
              <w:t>2.2.6. New Policy Initiatives of the Ministry of Education and Science for 2016 – 2018</w:t>
            </w:r>
            <w:r w:rsidR="00890093" w:rsidRPr="00430D4D">
              <w:rPr>
                <w:rFonts w:ascii="Times New Roman" w:hAnsi="Times New Roman"/>
                <w:noProof/>
                <w:webHidden/>
                <w:sz w:val="24"/>
                <w:szCs w:val="24"/>
              </w:rPr>
              <w:tab/>
            </w:r>
            <w:r w:rsidR="00890093" w:rsidRPr="00430D4D">
              <w:rPr>
                <w:rFonts w:ascii="Times New Roman" w:hAnsi="Times New Roman"/>
                <w:noProof/>
                <w:webHidden/>
                <w:sz w:val="24"/>
                <w:szCs w:val="24"/>
              </w:rPr>
              <w:fldChar w:fldCharType="begin"/>
            </w:r>
            <w:r w:rsidR="00890093" w:rsidRPr="00430D4D">
              <w:rPr>
                <w:rFonts w:ascii="Times New Roman" w:hAnsi="Times New Roman"/>
                <w:noProof/>
                <w:webHidden/>
                <w:sz w:val="24"/>
                <w:szCs w:val="24"/>
              </w:rPr>
              <w:instrText xml:space="preserve"> PAGEREF _Toc453155048 \h </w:instrText>
            </w:r>
            <w:r w:rsidR="00890093" w:rsidRPr="00430D4D">
              <w:rPr>
                <w:rFonts w:ascii="Times New Roman" w:hAnsi="Times New Roman"/>
                <w:noProof/>
                <w:webHidden/>
                <w:sz w:val="24"/>
                <w:szCs w:val="24"/>
              </w:rPr>
            </w:r>
            <w:r w:rsidR="00890093" w:rsidRPr="00430D4D">
              <w:rPr>
                <w:rFonts w:ascii="Times New Roman" w:hAnsi="Times New Roman"/>
                <w:noProof/>
                <w:webHidden/>
                <w:sz w:val="24"/>
                <w:szCs w:val="24"/>
              </w:rPr>
              <w:fldChar w:fldCharType="separate"/>
            </w:r>
            <w:r w:rsidR="001311A8">
              <w:rPr>
                <w:rFonts w:ascii="Times New Roman" w:hAnsi="Times New Roman"/>
                <w:noProof/>
                <w:webHidden/>
                <w:sz w:val="24"/>
                <w:szCs w:val="24"/>
              </w:rPr>
              <w:t>44</w:t>
            </w:r>
            <w:r w:rsidR="00890093" w:rsidRPr="00430D4D">
              <w:rPr>
                <w:rFonts w:ascii="Times New Roman" w:hAnsi="Times New Roman"/>
                <w:noProof/>
                <w:webHidden/>
                <w:sz w:val="24"/>
                <w:szCs w:val="24"/>
              </w:rPr>
              <w:fldChar w:fldCharType="end"/>
            </w:r>
          </w:hyperlink>
        </w:p>
        <w:p w14:paraId="65A61AB1" w14:textId="77777777" w:rsidR="00890093" w:rsidRPr="00430D4D" w:rsidRDefault="00635E80" w:rsidP="00890093">
          <w:pPr>
            <w:pStyle w:val="TOC1"/>
            <w:tabs>
              <w:tab w:val="right" w:leader="dot" w:pos="9072"/>
            </w:tabs>
            <w:spacing w:afterLines="60" w:after="144" w:line="240" w:lineRule="auto"/>
            <w:jc w:val="both"/>
            <w:rPr>
              <w:rFonts w:ascii="Times New Roman" w:eastAsiaTheme="minorEastAsia" w:hAnsi="Times New Roman"/>
              <w:noProof/>
              <w:sz w:val="24"/>
              <w:szCs w:val="24"/>
              <w:lang w:val="lv-LV" w:eastAsia="lv-LV" w:bidi="ar-SA"/>
            </w:rPr>
          </w:pPr>
          <w:hyperlink w:anchor="_Toc453155049" w:history="1">
            <w:r w:rsidR="00890093" w:rsidRPr="00430D4D">
              <w:rPr>
                <w:rStyle w:val="Hyperlink"/>
                <w:rFonts w:ascii="Times New Roman" w:hAnsi="Times New Roman"/>
                <w:noProof/>
                <w:sz w:val="24"/>
                <w:szCs w:val="24"/>
              </w:rPr>
              <w:t>3. Need for Introduction of the New Financing Model and the Possible Risks if the Situation does not Change</w:t>
            </w:r>
            <w:r w:rsidR="00890093" w:rsidRPr="00430D4D">
              <w:rPr>
                <w:rFonts w:ascii="Times New Roman" w:hAnsi="Times New Roman"/>
                <w:noProof/>
                <w:webHidden/>
                <w:sz w:val="24"/>
                <w:szCs w:val="24"/>
              </w:rPr>
              <w:tab/>
            </w:r>
            <w:r w:rsidR="00890093" w:rsidRPr="00430D4D">
              <w:rPr>
                <w:rFonts w:ascii="Times New Roman" w:hAnsi="Times New Roman"/>
                <w:noProof/>
                <w:webHidden/>
                <w:sz w:val="24"/>
                <w:szCs w:val="24"/>
              </w:rPr>
              <w:fldChar w:fldCharType="begin"/>
            </w:r>
            <w:r w:rsidR="00890093" w:rsidRPr="00430D4D">
              <w:rPr>
                <w:rFonts w:ascii="Times New Roman" w:hAnsi="Times New Roman"/>
                <w:noProof/>
                <w:webHidden/>
                <w:sz w:val="24"/>
                <w:szCs w:val="24"/>
              </w:rPr>
              <w:instrText xml:space="preserve"> PAGEREF _Toc453155049 \h </w:instrText>
            </w:r>
            <w:r w:rsidR="00890093" w:rsidRPr="00430D4D">
              <w:rPr>
                <w:rFonts w:ascii="Times New Roman" w:hAnsi="Times New Roman"/>
                <w:noProof/>
                <w:webHidden/>
                <w:sz w:val="24"/>
                <w:szCs w:val="24"/>
              </w:rPr>
            </w:r>
            <w:r w:rsidR="00890093" w:rsidRPr="00430D4D">
              <w:rPr>
                <w:rFonts w:ascii="Times New Roman" w:hAnsi="Times New Roman"/>
                <w:noProof/>
                <w:webHidden/>
                <w:sz w:val="24"/>
                <w:szCs w:val="24"/>
              </w:rPr>
              <w:fldChar w:fldCharType="separate"/>
            </w:r>
            <w:r w:rsidR="001311A8">
              <w:rPr>
                <w:rFonts w:ascii="Times New Roman" w:hAnsi="Times New Roman"/>
                <w:noProof/>
                <w:webHidden/>
                <w:sz w:val="24"/>
                <w:szCs w:val="24"/>
              </w:rPr>
              <w:t>45</w:t>
            </w:r>
            <w:r w:rsidR="00890093" w:rsidRPr="00430D4D">
              <w:rPr>
                <w:rFonts w:ascii="Times New Roman" w:hAnsi="Times New Roman"/>
                <w:noProof/>
                <w:webHidden/>
                <w:sz w:val="24"/>
                <w:szCs w:val="24"/>
              </w:rPr>
              <w:fldChar w:fldCharType="end"/>
            </w:r>
          </w:hyperlink>
        </w:p>
        <w:p w14:paraId="305AD7C3" w14:textId="77777777" w:rsidR="00890093" w:rsidRPr="00890093" w:rsidRDefault="00635E80" w:rsidP="00890093">
          <w:pPr>
            <w:pStyle w:val="TOC1"/>
            <w:tabs>
              <w:tab w:val="right" w:leader="dot" w:pos="9072"/>
            </w:tabs>
            <w:spacing w:afterLines="60" w:after="144" w:line="240" w:lineRule="auto"/>
            <w:jc w:val="both"/>
            <w:rPr>
              <w:rFonts w:ascii="Times New Roman" w:eastAsiaTheme="minorEastAsia" w:hAnsi="Times New Roman" w:cstheme="minorBidi"/>
              <w:noProof/>
              <w:sz w:val="24"/>
              <w:lang w:val="lv-LV" w:eastAsia="lv-LV" w:bidi="ar-SA"/>
            </w:rPr>
          </w:pPr>
          <w:hyperlink w:anchor="_Toc453155050" w:history="1">
            <w:r w:rsidR="00890093" w:rsidRPr="00430D4D">
              <w:rPr>
                <w:rStyle w:val="Hyperlink"/>
                <w:rFonts w:ascii="Times New Roman" w:hAnsi="Times New Roman"/>
                <w:noProof/>
                <w:sz w:val="24"/>
                <w:szCs w:val="24"/>
              </w:rPr>
              <w:t>4. Action Plan for Implementation of a New Financing Model</w:t>
            </w:r>
            <w:r w:rsidR="00890093" w:rsidRPr="00430D4D">
              <w:rPr>
                <w:rFonts w:ascii="Times New Roman" w:hAnsi="Times New Roman"/>
                <w:noProof/>
                <w:webHidden/>
                <w:sz w:val="24"/>
                <w:szCs w:val="24"/>
              </w:rPr>
              <w:tab/>
            </w:r>
            <w:r w:rsidR="00890093" w:rsidRPr="00430D4D">
              <w:rPr>
                <w:rFonts w:ascii="Times New Roman" w:hAnsi="Times New Roman"/>
                <w:noProof/>
                <w:webHidden/>
                <w:sz w:val="24"/>
                <w:szCs w:val="24"/>
              </w:rPr>
              <w:fldChar w:fldCharType="begin"/>
            </w:r>
            <w:r w:rsidR="00890093" w:rsidRPr="00430D4D">
              <w:rPr>
                <w:rFonts w:ascii="Times New Roman" w:hAnsi="Times New Roman"/>
                <w:noProof/>
                <w:webHidden/>
                <w:sz w:val="24"/>
                <w:szCs w:val="24"/>
              </w:rPr>
              <w:instrText xml:space="preserve"> PAGEREF _Toc453155050 \h </w:instrText>
            </w:r>
            <w:r w:rsidR="00890093" w:rsidRPr="00430D4D">
              <w:rPr>
                <w:rFonts w:ascii="Times New Roman" w:hAnsi="Times New Roman"/>
                <w:noProof/>
                <w:webHidden/>
                <w:sz w:val="24"/>
                <w:szCs w:val="24"/>
              </w:rPr>
            </w:r>
            <w:r w:rsidR="00890093" w:rsidRPr="00430D4D">
              <w:rPr>
                <w:rFonts w:ascii="Times New Roman" w:hAnsi="Times New Roman"/>
                <w:noProof/>
                <w:webHidden/>
                <w:sz w:val="24"/>
                <w:szCs w:val="24"/>
              </w:rPr>
              <w:fldChar w:fldCharType="separate"/>
            </w:r>
            <w:r w:rsidR="001311A8">
              <w:rPr>
                <w:rFonts w:ascii="Times New Roman" w:hAnsi="Times New Roman"/>
                <w:noProof/>
                <w:webHidden/>
                <w:sz w:val="24"/>
                <w:szCs w:val="24"/>
              </w:rPr>
              <w:t>46</w:t>
            </w:r>
            <w:r w:rsidR="00890093" w:rsidRPr="00430D4D">
              <w:rPr>
                <w:rFonts w:ascii="Times New Roman" w:hAnsi="Times New Roman"/>
                <w:noProof/>
                <w:webHidden/>
                <w:sz w:val="24"/>
                <w:szCs w:val="24"/>
              </w:rPr>
              <w:fldChar w:fldCharType="end"/>
            </w:r>
          </w:hyperlink>
        </w:p>
        <w:p w14:paraId="5E80CD8D" w14:textId="2814170D" w:rsidR="00890093" w:rsidRPr="00890093" w:rsidRDefault="00890093" w:rsidP="00890093">
          <w:pPr>
            <w:spacing w:afterLines="60" w:after="144" w:line="240" w:lineRule="auto"/>
            <w:jc w:val="both"/>
            <w:rPr>
              <w:rFonts w:ascii="Times New Roman" w:hAnsi="Times New Roman"/>
              <w:sz w:val="24"/>
            </w:rPr>
          </w:pPr>
          <w:r w:rsidRPr="00890093">
            <w:rPr>
              <w:rFonts w:ascii="Times New Roman" w:hAnsi="Times New Roman"/>
              <w:bCs/>
              <w:noProof/>
              <w:sz w:val="24"/>
            </w:rPr>
            <w:fldChar w:fldCharType="end"/>
          </w:r>
        </w:p>
      </w:sdtContent>
    </w:sdt>
    <w:p w14:paraId="5B16B39E" w14:textId="77777777" w:rsidR="00ED16B1" w:rsidRPr="003C0DF0" w:rsidRDefault="00ED16B1" w:rsidP="003C0DF0">
      <w:pPr>
        <w:pStyle w:val="Heading1"/>
      </w:pPr>
      <w:r w:rsidRPr="003C0DF0">
        <w:br w:type="page"/>
      </w:r>
      <w:bookmarkStart w:id="0" w:name="_Toc421550724"/>
      <w:bookmarkStart w:id="1" w:name="_Toc453155028"/>
      <w:r w:rsidRPr="003C0DF0">
        <w:lastRenderedPageBreak/>
        <w:t>Introduction</w:t>
      </w:r>
      <w:bookmarkEnd w:id="0"/>
      <w:bookmarkEnd w:id="1"/>
    </w:p>
    <w:p w14:paraId="0487578B" w14:textId="77777777" w:rsidR="00EE17B5" w:rsidRPr="003C0DF0" w:rsidRDefault="00EE17B5" w:rsidP="00EE17B5">
      <w:pPr>
        <w:rPr>
          <w:rFonts w:ascii="Times New Roman" w:hAnsi="Times New Roman"/>
        </w:rPr>
      </w:pPr>
    </w:p>
    <w:p w14:paraId="51A8E0AE" w14:textId="77777777" w:rsidR="006E539B" w:rsidRPr="003C0DF0" w:rsidRDefault="00ED16B1" w:rsidP="00EE17B5">
      <w:pPr>
        <w:spacing w:after="0" w:line="240" w:lineRule="auto"/>
        <w:ind w:firstLine="709"/>
        <w:jc w:val="both"/>
        <w:rPr>
          <w:rFonts w:ascii="Times New Roman" w:hAnsi="Times New Roman"/>
          <w:noProof/>
          <w:sz w:val="24"/>
          <w:szCs w:val="26"/>
        </w:rPr>
      </w:pPr>
      <w:r w:rsidRPr="003C0DF0">
        <w:rPr>
          <w:rFonts w:ascii="Times New Roman" w:hAnsi="Times New Roman"/>
          <w:noProof/>
          <w:sz w:val="24"/>
        </w:rPr>
        <w:t>The Conceptual Report “Implementation of a New Higher Education Financing Model in Latvia” puts forward a proposal for a new higher education financing model, for its implementation, describes alternative solutions and their likely impact on quality, competitiveness and accessibility of higher education. The Conceptual Report has been drawn up in accordance with the Declaration on the Action Plan of the Cabinet of Prime Minister Laimdota Straujuma to increase international competitiveness of higher education through introduction of a higher education financing model based on the study and research quality evaluation.</w:t>
      </w:r>
    </w:p>
    <w:p w14:paraId="2C724536" w14:textId="77777777" w:rsidR="006E539B" w:rsidRPr="003C0DF0" w:rsidRDefault="00ED16B1" w:rsidP="00EE17B5">
      <w:pPr>
        <w:spacing w:after="0" w:line="240" w:lineRule="auto"/>
        <w:ind w:firstLine="709"/>
        <w:jc w:val="both"/>
        <w:rPr>
          <w:rFonts w:ascii="Times New Roman" w:hAnsi="Times New Roman"/>
          <w:noProof/>
          <w:sz w:val="24"/>
          <w:szCs w:val="26"/>
        </w:rPr>
      </w:pPr>
      <w:r w:rsidRPr="003C0DF0">
        <w:rPr>
          <w:rFonts w:ascii="Times New Roman" w:hAnsi="Times New Roman"/>
          <w:noProof/>
          <w:sz w:val="24"/>
        </w:rPr>
        <w:t xml:space="preserve">The Conceptual Report proposes a </w:t>
      </w:r>
      <w:r w:rsidRPr="003C0DF0">
        <w:rPr>
          <w:rFonts w:ascii="Times New Roman" w:hAnsi="Times New Roman"/>
          <w:i/>
          <w:noProof/>
          <w:sz w:val="24"/>
        </w:rPr>
        <w:t>three-pillar</w:t>
      </w:r>
      <w:r w:rsidRPr="003C0DF0">
        <w:rPr>
          <w:rFonts w:ascii="Times New Roman" w:hAnsi="Times New Roman"/>
          <w:noProof/>
          <w:sz w:val="24"/>
        </w:rPr>
        <w:t xml:space="preserve"> financing model as suitable for reaching the development objectives of Latvia, ensuring alignment of the higher education offer with the needs of development of the Latvian economy and of the labour market, high-quality, research-based higher education content and performance management in institutions of higher education. The Report substantiates why improvement of higher education quality and principal change of the financing model is not possible without a significant increase in higher education funding.</w:t>
      </w:r>
    </w:p>
    <w:p w14:paraId="19A81536" w14:textId="56C05B0F" w:rsidR="00ED16B1" w:rsidRPr="003C0DF0" w:rsidRDefault="00ED16B1" w:rsidP="00EE17B5">
      <w:pPr>
        <w:spacing w:after="0" w:line="240" w:lineRule="auto"/>
        <w:ind w:firstLine="709"/>
        <w:jc w:val="both"/>
        <w:rPr>
          <w:rFonts w:ascii="Times New Roman" w:hAnsi="Times New Roman"/>
          <w:noProof/>
          <w:sz w:val="24"/>
          <w:szCs w:val="26"/>
        </w:rPr>
      </w:pPr>
      <w:r w:rsidRPr="003C0DF0">
        <w:rPr>
          <w:rFonts w:ascii="Times New Roman" w:hAnsi="Times New Roman"/>
          <w:noProof/>
          <w:sz w:val="24"/>
        </w:rPr>
        <w:t>At the Cabinet meeting of 10 November 2014 the government supported initiation of financing of the second pillar or performance in 2015, providing additional funding for this purpose for the results achieved in the implementation of research-based higher education. According to the government decision, the Ministry of Education and Science has developed a proposal for performance indicators of implementation of research-based higher education. The scenarios and solutions analysed in the Conceptual Report mainly refer to financing of State founded institutions of higher education and colleges.</w:t>
      </w:r>
    </w:p>
    <w:p w14:paraId="352430F3" w14:textId="77777777" w:rsidR="006E539B" w:rsidRPr="003C0DF0" w:rsidRDefault="00ED16B1" w:rsidP="00EE17B5">
      <w:pPr>
        <w:autoSpaceDE w:val="0"/>
        <w:autoSpaceDN w:val="0"/>
        <w:adjustRightInd w:val="0"/>
        <w:spacing w:after="0" w:line="240" w:lineRule="auto"/>
        <w:ind w:firstLine="709"/>
        <w:jc w:val="both"/>
        <w:rPr>
          <w:rFonts w:ascii="Times New Roman" w:hAnsi="Times New Roman"/>
          <w:noProof/>
          <w:sz w:val="24"/>
          <w:szCs w:val="26"/>
        </w:rPr>
      </w:pPr>
      <w:r w:rsidRPr="003C0DF0">
        <w:rPr>
          <w:rFonts w:ascii="Times New Roman" w:hAnsi="Times New Roman"/>
          <w:noProof/>
          <w:sz w:val="24"/>
        </w:rPr>
        <w:t xml:space="preserve">Higher education financing reform is an </w:t>
      </w:r>
      <w:r w:rsidRPr="003C0DF0">
        <w:rPr>
          <w:rFonts w:ascii="Times New Roman" w:hAnsi="Times New Roman"/>
          <w:i/>
          <w:noProof/>
          <w:sz w:val="24"/>
        </w:rPr>
        <w:t>ex ante</w:t>
      </w:r>
      <w:r w:rsidRPr="003C0DF0">
        <w:rPr>
          <w:rFonts w:ascii="Times New Roman" w:hAnsi="Times New Roman"/>
          <w:noProof/>
          <w:sz w:val="24"/>
        </w:rPr>
        <w:t xml:space="preserve"> condition for the investments of the European Union Structural Funds in higher education, in accordance with the recommendations of the Council of the European Union of 2012 and 2013, which require Latvia to implement reforms in higher education and to introduce a new financing model that stimulates quality, strengthens the link with the market and with research, prevents fragmentation of budget funds, as well as provides institutional consolidation and internationalisation. According to the recommendation of the Council of the European Union on the implementation of the National Reform Programme of Latvia for 2014, Latvia needs to accelerate implementation of the higher education reform, including with regard to implementation of a new financing model.</w:t>
      </w:r>
    </w:p>
    <w:p w14:paraId="70DA73A3" w14:textId="0A48C94B" w:rsidR="00ED16B1" w:rsidRPr="003C0DF0" w:rsidRDefault="00ED16B1" w:rsidP="00EE17B5">
      <w:pPr>
        <w:spacing w:after="0" w:line="240" w:lineRule="auto"/>
        <w:ind w:firstLine="709"/>
        <w:jc w:val="both"/>
        <w:rPr>
          <w:rFonts w:ascii="Times New Roman" w:hAnsi="Times New Roman"/>
          <w:noProof/>
          <w:sz w:val="24"/>
          <w:szCs w:val="26"/>
        </w:rPr>
      </w:pPr>
      <w:r w:rsidRPr="003C0DF0">
        <w:rPr>
          <w:rFonts w:ascii="Times New Roman" w:hAnsi="Times New Roman"/>
          <w:noProof/>
          <w:sz w:val="24"/>
        </w:rPr>
        <w:t>The Conceptual Report has been drawn up based on the task put forward in Protocol Decision No. 61, Paragraph 62 of the Cabinet meeting of 19 November 2013, in accordance with the measure “Develop sustainable higher education financing model” laid down in the Education Development Guidelines for 2014 – 2020 in the policy direction “Efficient Management of Education Financial Resources”, and the Smart Specialisation priorities for Latvia included in the Guidelines for the Development of Science and Technology for 2014 – 2020, which foresees modernisation of higher education in order to ensure human capital and knowledge base needed for the economic transformation to higher productivity. The incentives included in the financing model are focused on reaching of the objectives of the National Development Plan 2014 – 2020. The first section of the Report contains an overview of the progress and results of the study conducted by the International Bank for Reconstruction and Development (hereinafter – the World Bank) for the preparation of the model. The second and third section contain information regarding higher education financing reform, substantiate the necessity for implementation of the new financing, and outline the risks that are possible if higher education financing principles are not changed. The fourth section sets out a plan of measures for implementation of the financing model.</w:t>
      </w:r>
    </w:p>
    <w:p w14:paraId="2052E5E4" w14:textId="77777777" w:rsidR="00EE17B5" w:rsidRPr="003C0DF0" w:rsidRDefault="00EE17B5" w:rsidP="00EE17B5">
      <w:pPr>
        <w:spacing w:after="0" w:line="240" w:lineRule="auto"/>
        <w:ind w:firstLine="709"/>
        <w:jc w:val="both"/>
        <w:rPr>
          <w:rFonts w:ascii="Times New Roman" w:hAnsi="Times New Roman"/>
          <w:noProof/>
          <w:sz w:val="24"/>
          <w:szCs w:val="26"/>
        </w:rPr>
      </w:pPr>
    </w:p>
    <w:p w14:paraId="07931DDE" w14:textId="4984B82E" w:rsidR="00ED16B1" w:rsidRPr="003C0DF0" w:rsidRDefault="00EE17B5" w:rsidP="003C0DF0">
      <w:pPr>
        <w:pStyle w:val="Heading1"/>
        <w:keepNext/>
      </w:pPr>
      <w:bookmarkStart w:id="2" w:name="_Toc421550725"/>
      <w:bookmarkStart w:id="3" w:name="_Toc453155029"/>
      <w:r w:rsidRPr="003C0DF0">
        <w:lastRenderedPageBreak/>
        <w:t>1. Progress and Results of the World Bank Study</w:t>
      </w:r>
      <w:bookmarkEnd w:id="2"/>
      <w:bookmarkEnd w:id="3"/>
    </w:p>
    <w:p w14:paraId="64A92F34" w14:textId="77777777" w:rsidR="00EE17B5" w:rsidRPr="003C0DF0" w:rsidRDefault="00EE17B5" w:rsidP="003C0DF0">
      <w:pPr>
        <w:keepNext/>
        <w:spacing w:after="0" w:line="240" w:lineRule="auto"/>
        <w:jc w:val="both"/>
        <w:rPr>
          <w:rFonts w:ascii="Times New Roman" w:hAnsi="Times New Roman"/>
          <w:noProof/>
          <w:sz w:val="24"/>
          <w:szCs w:val="26"/>
        </w:rPr>
      </w:pPr>
    </w:p>
    <w:p w14:paraId="7481B58B" w14:textId="7F75B7F8" w:rsidR="006E539B" w:rsidRPr="003C0DF0" w:rsidRDefault="00ED16B1" w:rsidP="003C0DF0">
      <w:pPr>
        <w:keepNext/>
        <w:spacing w:after="0" w:line="240" w:lineRule="auto"/>
        <w:ind w:firstLine="709"/>
        <w:jc w:val="both"/>
        <w:rPr>
          <w:rFonts w:ascii="Times New Roman" w:hAnsi="Times New Roman"/>
          <w:noProof/>
          <w:sz w:val="24"/>
          <w:szCs w:val="26"/>
        </w:rPr>
      </w:pPr>
      <w:r w:rsidRPr="003C0DF0">
        <w:rPr>
          <w:rFonts w:ascii="Times New Roman" w:hAnsi="Times New Roman"/>
          <w:noProof/>
          <w:sz w:val="24"/>
        </w:rPr>
        <w:t>On 2 December 2013, the Ministry of Education and Science (hereinafter – the Ministry) concluded a co-operation agreement with the World Bank and the State Education Development Agency with the aim to evaluate the financing system of higher education in Latvia and to give proposals for development and implementation of a new higher education financing model. Four analytical reports have been drawn up during the course of the research: 1) evaluation of the strengths and weaknesses of the current higher education financing model in Latvia, taking into account the best practices of financing of higher education in Europe (Annex 1); 2) evaluation of the strategic compliance of the higher education financing model in Latvia (Annex 2); 3) interim report of the study – conceptual proposal for financing of higher education (Annex 3); 4) final report of the study – proposal for financing of higher education in medium term (Annex 4). The Conceptual Report is based on the conclusions and recommendations of the World Bank, the results of public consultation, it explains the conditions and principles of implementation of the financing reform, as well as lays down the necessary measures and deadlines for implementation of the reform.</w:t>
      </w:r>
    </w:p>
    <w:p w14:paraId="368CE382" w14:textId="77777777" w:rsidR="00EE17B5" w:rsidRPr="003C0DF0" w:rsidRDefault="00EE17B5" w:rsidP="003C0DF0">
      <w:pPr>
        <w:pStyle w:val="Heading2"/>
        <w:rPr>
          <w:rFonts w:cs="Times New Roman"/>
        </w:rPr>
      </w:pPr>
      <w:bookmarkStart w:id="4" w:name="_Toc421550726"/>
    </w:p>
    <w:p w14:paraId="002BF28B" w14:textId="363C48C1" w:rsidR="00ED16B1" w:rsidRPr="003C0DF0" w:rsidRDefault="00EE17B5" w:rsidP="003C0DF0">
      <w:pPr>
        <w:pStyle w:val="Heading2"/>
        <w:rPr>
          <w:rFonts w:cs="Times New Roman"/>
        </w:rPr>
      </w:pPr>
      <w:bookmarkStart w:id="5" w:name="_Toc453155030"/>
      <w:r w:rsidRPr="003C0DF0">
        <w:rPr>
          <w:rFonts w:cs="Times New Roman"/>
        </w:rPr>
        <w:t>1.1. Implementation of the Study and Participation of the Sector</w:t>
      </w:r>
      <w:bookmarkEnd w:id="4"/>
      <w:bookmarkEnd w:id="5"/>
    </w:p>
    <w:p w14:paraId="5600B67C" w14:textId="77777777" w:rsidR="00EE17B5" w:rsidRPr="003C0DF0" w:rsidRDefault="00EE17B5" w:rsidP="006E539B">
      <w:pPr>
        <w:spacing w:after="0" w:line="240" w:lineRule="auto"/>
        <w:jc w:val="both"/>
        <w:rPr>
          <w:rFonts w:ascii="Times New Roman" w:hAnsi="Times New Roman"/>
          <w:noProof/>
          <w:sz w:val="24"/>
          <w:szCs w:val="26"/>
        </w:rPr>
      </w:pPr>
    </w:p>
    <w:p w14:paraId="31046071" w14:textId="77777777" w:rsidR="00ED16B1" w:rsidRPr="003C0DF0" w:rsidRDefault="00ED16B1" w:rsidP="00EE17B5">
      <w:pPr>
        <w:spacing w:after="0" w:line="240" w:lineRule="auto"/>
        <w:ind w:firstLine="709"/>
        <w:jc w:val="both"/>
        <w:rPr>
          <w:rFonts w:ascii="Times New Roman" w:hAnsi="Times New Roman"/>
          <w:noProof/>
          <w:sz w:val="24"/>
          <w:szCs w:val="26"/>
        </w:rPr>
      </w:pPr>
      <w:r w:rsidRPr="003C0DF0">
        <w:rPr>
          <w:rFonts w:ascii="Times New Roman" w:hAnsi="Times New Roman"/>
          <w:noProof/>
          <w:sz w:val="24"/>
        </w:rPr>
        <w:t>In order to implement the study and develop proposals for implementation of a higher education financing model that would be appropriate and optimal for the situation in Latvia, the Ministry engaged a team of financial experts of the World Bank, who have accumulated considerable international experience in development of higher education policy, have the knowledge and analytical skills in dealing with complex and comprehensive higher education reforms, organising discussion groups and steering constructive solutions in the sector. From 2 December 2013 to 24 September 2014, by organising discussions and consultations with higher education policy-makers, institutions of higher education, sectoral ministries and social partners, the experts evaluated the Latvian approach to financing of higher education in conjunction with the strategic guidelines laid down in national policy planning documents, courses of action and the results to be achieved in higher education and science. In the course of the study, the experts evaluated the vision of various higher education stakeholders and discussed the possible scenarios for implementation of the financing model, taking into account the amount of public funding (the State budget and the European Union Structural Funds), revenue stream structure of institutions of higher education, tuition fees, scholarship and loan system.</w:t>
      </w:r>
    </w:p>
    <w:p w14:paraId="0FF48D65" w14:textId="1D67956D" w:rsidR="00ED16B1" w:rsidRPr="003C0DF0" w:rsidRDefault="00ED16B1" w:rsidP="00EE17B5">
      <w:pPr>
        <w:spacing w:after="0" w:line="240" w:lineRule="auto"/>
        <w:ind w:firstLine="709"/>
        <w:jc w:val="both"/>
        <w:rPr>
          <w:rFonts w:ascii="Times New Roman" w:eastAsia="Times New Roman" w:hAnsi="Times New Roman"/>
          <w:noProof/>
          <w:sz w:val="24"/>
          <w:szCs w:val="26"/>
        </w:rPr>
      </w:pPr>
      <w:r w:rsidRPr="003C0DF0">
        <w:rPr>
          <w:rFonts w:ascii="Times New Roman" w:hAnsi="Times New Roman"/>
          <w:noProof/>
          <w:sz w:val="24"/>
        </w:rPr>
        <w:t>The study was implemented in three stages: 1) evaluation of the current regulatory and legislative basis; 2) evaluation of policy planning documents; 3) evaluation of implementation scenarios and impact thereof. There have been six visits of the World Bank working group to Latvia, during which consultations were organised, workshops and discussions were held, publicity of the discussion outcomes was provided. On 2 –</w:t>
      </w:r>
      <w:r w:rsidR="003C0DF0" w:rsidRPr="003C0DF0">
        <w:rPr>
          <w:rFonts w:ascii="Times New Roman" w:hAnsi="Times New Roman"/>
          <w:noProof/>
          <w:sz w:val="24"/>
        </w:rPr>
        <w:t xml:space="preserve"> </w:t>
      </w:r>
      <w:r w:rsidRPr="003C0DF0">
        <w:rPr>
          <w:rFonts w:ascii="Times New Roman" w:hAnsi="Times New Roman"/>
          <w:noProof/>
          <w:sz w:val="24"/>
        </w:rPr>
        <w:t>3 December 2013 the first visit took place, during which a tripartite co-operation agreement was signed between the Ministry, the World Bank and the State Education Development Agency, and the participants acquainted themselves with the financing problems in the sector. On 5 –</w:t>
      </w:r>
      <w:r w:rsidR="003C0DF0" w:rsidRPr="003C0DF0">
        <w:rPr>
          <w:rFonts w:ascii="Times New Roman" w:hAnsi="Times New Roman"/>
          <w:noProof/>
          <w:sz w:val="24"/>
        </w:rPr>
        <w:t xml:space="preserve"> </w:t>
      </w:r>
      <w:r w:rsidRPr="003C0DF0">
        <w:rPr>
          <w:rFonts w:ascii="Times New Roman" w:hAnsi="Times New Roman"/>
          <w:noProof/>
          <w:sz w:val="24"/>
        </w:rPr>
        <w:t xml:space="preserve">7 February 2014 interviews were organised with higher education policy-makers, institutions of higher education and co-operation partners regarding the strengths and weaknesses of the current higher education financing approach. On 12 March 2014, in collaboration with the European Commission Representation in Latvia a discussion on the initial results was held. On 23 April 2014 the higher education strategic development direction was discussed with State institutions of higher education and higher education policy-makers. On 8 July 2014, with the participation of representatives of the Parliamentary Education, Culture and Science Committee a discussion </w:t>
      </w:r>
      <w:r w:rsidRPr="003C0DF0">
        <w:rPr>
          <w:rFonts w:ascii="Times New Roman" w:hAnsi="Times New Roman"/>
          <w:noProof/>
          <w:sz w:val="24"/>
        </w:rPr>
        <w:lastRenderedPageBreak/>
        <w:t>was held on the concept of the financing model. On 24 September 2014 the final study report was discussed and publicity activities were organised in public media</w:t>
      </w:r>
      <w:r w:rsidRPr="003C0DF0">
        <w:rPr>
          <w:rStyle w:val="FootnoteReference"/>
          <w:rFonts w:ascii="Times New Roman" w:hAnsi="Times New Roman"/>
          <w:noProof/>
          <w:sz w:val="24"/>
        </w:rPr>
        <w:footnoteReference w:id="1"/>
      </w:r>
      <w:r w:rsidRPr="003C0DF0">
        <w:rPr>
          <w:rFonts w:ascii="Times New Roman" w:hAnsi="Times New Roman"/>
          <w:noProof/>
          <w:sz w:val="24"/>
        </w:rPr>
        <w:t>.</w:t>
      </w:r>
    </w:p>
    <w:p w14:paraId="24D3412C" w14:textId="4D9BF434" w:rsidR="006E539B" w:rsidRPr="003C0DF0" w:rsidRDefault="00ED16B1" w:rsidP="00EE17B5">
      <w:pPr>
        <w:spacing w:after="0" w:line="240" w:lineRule="auto"/>
        <w:ind w:firstLine="709"/>
        <w:jc w:val="both"/>
        <w:rPr>
          <w:rFonts w:ascii="Times New Roman" w:hAnsi="Times New Roman"/>
          <w:noProof/>
          <w:sz w:val="24"/>
          <w:szCs w:val="26"/>
        </w:rPr>
      </w:pPr>
      <w:r w:rsidRPr="003C0DF0">
        <w:rPr>
          <w:rFonts w:ascii="Times New Roman" w:hAnsi="Times New Roman"/>
          <w:noProof/>
          <w:sz w:val="24"/>
        </w:rPr>
        <w:t>Altogether around 60 institutions and organisations were involved in the development of the study – the Parliamentary Education, Culture and Science Committee, the European Commission Representation in Latvia, State and private institutions of higher education, employers and co-operation partners, sectoral ministries and other institutions and organisations, providing a wide representation of institutions of higher education and social partners in the report development process. The study takes into account the work already done and discussion with regard to improvement of the higher education financing model, including the informative report of the ministry “On Performance-oriented Financing Model of Higher Education and Science and on Proposals for Successful Implementation of the State Higher Education Institutional Reform Provided for within the Framework of the Plan and the Reform of the Higher Education and Research Management Model” (proclaimed in the meeting of State Secretaries of 23 December 2010), informative report of the Ministry of Economics “On the Necessary Structural Reforms in Higher Education and Science to Enhance International Competitiveness of Latvia” (reviewed by the Cabinet on 12 January 2010), the national concept for the development of higher education and institutions of higher education in Latvia for 2013 – 2020, developed by the Council of Higher Education, and other documents that put forward arguments and proposals for improvement of financing of higher education. Thus, the proposals put forward as a result of this study reflect the views of all stakeholders and respect the principle of research in planning of the development of the sector and in decision-making.</w:t>
      </w:r>
    </w:p>
    <w:p w14:paraId="6019E969" w14:textId="77777777" w:rsidR="00EE17B5" w:rsidRPr="003C0DF0" w:rsidRDefault="00EE17B5" w:rsidP="00EE17B5">
      <w:pPr>
        <w:spacing w:after="0" w:line="240" w:lineRule="auto"/>
        <w:ind w:firstLine="709"/>
        <w:jc w:val="both"/>
        <w:rPr>
          <w:rFonts w:ascii="Times New Roman" w:hAnsi="Times New Roman"/>
          <w:noProof/>
          <w:sz w:val="24"/>
          <w:szCs w:val="26"/>
        </w:rPr>
      </w:pPr>
    </w:p>
    <w:p w14:paraId="5EEF952F" w14:textId="41BFF299" w:rsidR="00ED16B1" w:rsidRPr="003C0DF0" w:rsidRDefault="00EE17B5" w:rsidP="003C0DF0">
      <w:pPr>
        <w:pStyle w:val="Heading2"/>
        <w:rPr>
          <w:rFonts w:cs="Times New Roman"/>
        </w:rPr>
      </w:pPr>
      <w:bookmarkStart w:id="6" w:name="_Toc421550727"/>
      <w:bookmarkStart w:id="7" w:name="_Toc453155031"/>
      <w:r w:rsidRPr="003C0DF0">
        <w:rPr>
          <w:rFonts w:cs="Times New Roman"/>
        </w:rPr>
        <w:t>1.2. Methodology for Evaluation of the Higher Education Financing Model</w:t>
      </w:r>
      <w:bookmarkEnd w:id="6"/>
      <w:bookmarkEnd w:id="7"/>
    </w:p>
    <w:p w14:paraId="1834D72D" w14:textId="77777777" w:rsidR="00EE17B5" w:rsidRPr="003C0DF0" w:rsidRDefault="00EE17B5" w:rsidP="006E539B">
      <w:pPr>
        <w:spacing w:after="0" w:line="240" w:lineRule="auto"/>
        <w:jc w:val="both"/>
        <w:rPr>
          <w:rFonts w:ascii="Times New Roman" w:eastAsia="Times New Roman" w:hAnsi="Times New Roman"/>
          <w:noProof/>
          <w:sz w:val="24"/>
          <w:szCs w:val="26"/>
        </w:rPr>
      </w:pPr>
    </w:p>
    <w:p w14:paraId="0A61F1AC" w14:textId="77777777" w:rsidR="006E539B" w:rsidRPr="003C0DF0" w:rsidRDefault="00ED16B1" w:rsidP="00EE17B5">
      <w:pPr>
        <w:spacing w:after="0" w:line="240" w:lineRule="auto"/>
        <w:ind w:firstLine="709"/>
        <w:jc w:val="both"/>
        <w:rPr>
          <w:rFonts w:ascii="Times New Roman" w:eastAsia="Times New Roman" w:hAnsi="Times New Roman"/>
          <w:noProof/>
          <w:sz w:val="24"/>
          <w:szCs w:val="26"/>
        </w:rPr>
      </w:pPr>
      <w:r w:rsidRPr="003C0DF0">
        <w:rPr>
          <w:rFonts w:ascii="Times New Roman" w:hAnsi="Times New Roman"/>
          <w:noProof/>
          <w:sz w:val="24"/>
        </w:rPr>
        <w:t>In the study the higher education financing aspects are viewed in conjunction with a number of factors that affect the performance of institutions of higher education, since effectiveness of higher education is determined not only by the funding amount and allocation principles; it is also influenced by factors such as human resources policy of institutions of higher education</w:t>
      </w:r>
      <w:r w:rsidRPr="003C0DF0">
        <w:rPr>
          <w:rFonts w:ascii="Times New Roman" w:hAnsi="Times New Roman"/>
          <w:noProof/>
          <w:sz w:val="24"/>
          <w:vertAlign w:val="superscript"/>
        </w:rPr>
        <w:footnoteReference w:id="2"/>
      </w:r>
      <w:r w:rsidRPr="003C0DF0">
        <w:rPr>
          <w:rFonts w:ascii="Times New Roman" w:hAnsi="Times New Roman"/>
          <w:noProof/>
          <w:sz w:val="24"/>
        </w:rPr>
        <w:t xml:space="preserve">, quality assurance systems, higher education management principles and other aspects. The study methodology was developed specifically for this study, taking into account solutions for financing of higher education and research, tested in international practice, the specific nature of the Latvian higher education sector, its institutional diversity, as well as the current and foreseeable amount of investments in the development of the sector. The following criteria of a </w:t>
      </w:r>
      <w:r w:rsidRPr="003C0DF0">
        <w:rPr>
          <w:rFonts w:ascii="Times New Roman" w:hAnsi="Times New Roman"/>
          <w:b/>
          <w:noProof/>
          <w:sz w:val="24"/>
        </w:rPr>
        <w:t>good financing model</w:t>
      </w:r>
      <w:r w:rsidRPr="003C0DF0">
        <w:rPr>
          <w:rFonts w:ascii="Times New Roman" w:hAnsi="Times New Roman"/>
          <w:noProof/>
          <w:sz w:val="24"/>
        </w:rPr>
        <w:t xml:space="preserve"> were put forward for evaluation of the Latvian higher education financing approach: strategic orientation, incentive orientation, sustainability, legitimisation, autonomy and flexibility, practical feasibility. Explanation for the abovementioned criteria is given in Table 1.</w:t>
      </w:r>
    </w:p>
    <w:p w14:paraId="2CDA075D" w14:textId="30E5805F" w:rsidR="003C0DF0" w:rsidRPr="003C0DF0" w:rsidRDefault="003C0DF0">
      <w:pPr>
        <w:spacing w:after="0" w:line="240" w:lineRule="auto"/>
        <w:rPr>
          <w:rFonts w:ascii="Times New Roman" w:eastAsia="Times New Roman" w:hAnsi="Times New Roman"/>
          <w:noProof/>
          <w:sz w:val="24"/>
          <w:szCs w:val="26"/>
        </w:rPr>
      </w:pPr>
      <w:r w:rsidRPr="003C0DF0">
        <w:rPr>
          <w:rFonts w:ascii="Times New Roman" w:eastAsia="Times New Roman" w:hAnsi="Times New Roman"/>
          <w:noProof/>
          <w:sz w:val="24"/>
          <w:szCs w:val="26"/>
        </w:rPr>
        <w:br w:type="page"/>
      </w:r>
    </w:p>
    <w:p w14:paraId="7E2D5358" w14:textId="4876A342" w:rsidR="00ED16B1" w:rsidRPr="003C0DF0" w:rsidRDefault="00ED16B1" w:rsidP="00EE17B5">
      <w:pPr>
        <w:spacing w:after="0" w:line="240" w:lineRule="auto"/>
        <w:jc w:val="right"/>
        <w:rPr>
          <w:rFonts w:ascii="Times New Roman" w:hAnsi="Times New Roman"/>
          <w:b/>
          <w:noProof/>
          <w:sz w:val="24"/>
          <w:szCs w:val="24"/>
        </w:rPr>
      </w:pPr>
      <w:r w:rsidRPr="003C0DF0">
        <w:rPr>
          <w:rFonts w:ascii="Times New Roman" w:hAnsi="Times New Roman"/>
          <w:i/>
          <w:noProof/>
          <w:sz w:val="24"/>
        </w:rPr>
        <w:lastRenderedPageBreak/>
        <w:t xml:space="preserve">Table 1. </w:t>
      </w:r>
      <w:r w:rsidRPr="003C0DF0">
        <w:rPr>
          <w:rFonts w:ascii="Times New Roman" w:hAnsi="Times New Roman"/>
          <w:b/>
          <w:noProof/>
          <w:sz w:val="24"/>
        </w:rPr>
        <w:t>Used Criteria for a Good Financing Model</w:t>
      </w:r>
    </w:p>
    <w:p w14:paraId="43593ED2" w14:textId="77777777" w:rsidR="00EE17B5" w:rsidRPr="003C0DF0" w:rsidRDefault="00EE17B5" w:rsidP="006E539B">
      <w:pPr>
        <w:spacing w:after="0" w:line="240" w:lineRule="auto"/>
        <w:jc w:val="both"/>
        <w:rPr>
          <w:rFonts w:ascii="Times New Roman" w:hAnsi="Times New Roman"/>
          <w:b/>
          <w:noProof/>
          <w:sz w:val="24"/>
          <w:szCs w:val="24"/>
        </w:rPr>
      </w:pPr>
    </w:p>
    <w:tbl>
      <w:tblPr>
        <w:tblW w:w="5000" w:type="pct"/>
        <w:tblBorders>
          <w:top w:val="single" w:sz="4" w:space="0" w:color="1F4E79"/>
          <w:left w:val="single" w:sz="4" w:space="0" w:color="1F4E79"/>
          <w:bottom w:val="single" w:sz="4" w:space="0" w:color="2E74B5"/>
          <w:right w:val="single" w:sz="4" w:space="0" w:color="1F4E79"/>
          <w:insideH w:val="single" w:sz="4" w:space="0" w:color="auto"/>
          <w:insideV w:val="single" w:sz="4" w:space="0" w:color="1F4E79"/>
        </w:tblBorders>
        <w:tblLook w:val="04A0" w:firstRow="1" w:lastRow="0" w:firstColumn="1" w:lastColumn="0" w:noHBand="0" w:noVBand="1"/>
      </w:tblPr>
      <w:tblGrid>
        <w:gridCol w:w="4382"/>
        <w:gridCol w:w="4679"/>
      </w:tblGrid>
      <w:tr w:rsidR="00ED16B1" w:rsidRPr="003C0DF0" w14:paraId="533A7ADB" w14:textId="77777777" w:rsidTr="003C0DF0">
        <w:tc>
          <w:tcPr>
            <w:tcW w:w="2418" w:type="pct"/>
            <w:shd w:val="clear" w:color="auto" w:fill="DBE5F1" w:themeFill="accent1" w:themeFillTint="33"/>
          </w:tcPr>
          <w:p w14:paraId="2BE35C45" w14:textId="77777777" w:rsidR="00ED16B1" w:rsidRPr="003C0DF0" w:rsidRDefault="00ED16B1" w:rsidP="00EE17B5">
            <w:pPr>
              <w:pStyle w:val="ListParagraph"/>
              <w:spacing w:after="0" w:line="240" w:lineRule="auto"/>
              <w:ind w:left="0"/>
              <w:jc w:val="center"/>
              <w:rPr>
                <w:rFonts w:ascii="Times New Roman" w:hAnsi="Times New Roman"/>
                <w:b/>
                <w:noProof/>
                <w:sz w:val="24"/>
                <w:szCs w:val="24"/>
              </w:rPr>
            </w:pPr>
            <w:r w:rsidRPr="003C0DF0">
              <w:rPr>
                <w:rFonts w:ascii="Times New Roman" w:hAnsi="Times New Roman"/>
                <w:b/>
                <w:noProof/>
                <w:sz w:val="24"/>
              </w:rPr>
              <w:t>Strategic Orientation</w:t>
            </w:r>
          </w:p>
        </w:tc>
        <w:tc>
          <w:tcPr>
            <w:tcW w:w="2582" w:type="pct"/>
            <w:shd w:val="clear" w:color="auto" w:fill="DBE5F1" w:themeFill="accent1" w:themeFillTint="33"/>
          </w:tcPr>
          <w:p w14:paraId="4C577BF0" w14:textId="77777777" w:rsidR="00ED16B1" w:rsidRPr="003C0DF0" w:rsidRDefault="00ED16B1" w:rsidP="00EE17B5">
            <w:pPr>
              <w:pStyle w:val="ListParagraph"/>
              <w:spacing w:after="0" w:line="240" w:lineRule="auto"/>
              <w:ind w:left="0"/>
              <w:jc w:val="center"/>
              <w:rPr>
                <w:rFonts w:ascii="Times New Roman" w:hAnsi="Times New Roman"/>
                <w:b/>
                <w:noProof/>
                <w:sz w:val="24"/>
                <w:szCs w:val="24"/>
              </w:rPr>
            </w:pPr>
            <w:r w:rsidRPr="003C0DF0">
              <w:rPr>
                <w:rFonts w:ascii="Times New Roman" w:hAnsi="Times New Roman"/>
                <w:b/>
                <w:noProof/>
                <w:sz w:val="24"/>
              </w:rPr>
              <w:t>Incentive Orientation</w:t>
            </w:r>
          </w:p>
        </w:tc>
      </w:tr>
      <w:tr w:rsidR="00ED16B1" w:rsidRPr="003C0DF0" w14:paraId="5A86AAAA" w14:textId="77777777" w:rsidTr="003C0DF0">
        <w:tc>
          <w:tcPr>
            <w:tcW w:w="2418" w:type="pct"/>
            <w:shd w:val="clear" w:color="auto" w:fill="auto"/>
          </w:tcPr>
          <w:p w14:paraId="7134414F" w14:textId="77777777" w:rsidR="006E539B" w:rsidRPr="003C0DF0" w:rsidRDefault="00ED16B1" w:rsidP="003C0DF0">
            <w:pPr>
              <w:pStyle w:val="ListParagraph"/>
              <w:numPr>
                <w:ilvl w:val="0"/>
                <w:numId w:val="3"/>
              </w:numPr>
              <w:spacing w:after="0" w:line="240" w:lineRule="auto"/>
              <w:ind w:left="0" w:firstLine="0"/>
              <w:rPr>
                <w:rFonts w:ascii="Times New Roman" w:hAnsi="Times New Roman"/>
                <w:noProof/>
                <w:sz w:val="24"/>
                <w:szCs w:val="24"/>
              </w:rPr>
            </w:pPr>
            <w:r w:rsidRPr="003C0DF0">
              <w:rPr>
                <w:rFonts w:ascii="Times New Roman" w:hAnsi="Times New Roman"/>
                <w:noProof/>
                <w:sz w:val="24"/>
              </w:rPr>
              <w:t>Promote achievement of national objectives;</w:t>
            </w:r>
          </w:p>
          <w:p w14:paraId="0809EEFC" w14:textId="7FAED527" w:rsidR="006E539B" w:rsidRPr="003C0DF0" w:rsidRDefault="00ED16B1" w:rsidP="003C0DF0">
            <w:pPr>
              <w:pStyle w:val="ListParagraph"/>
              <w:numPr>
                <w:ilvl w:val="0"/>
                <w:numId w:val="3"/>
              </w:numPr>
              <w:spacing w:after="0" w:line="240" w:lineRule="auto"/>
              <w:ind w:left="0" w:firstLine="0"/>
              <w:rPr>
                <w:rFonts w:ascii="Times New Roman" w:hAnsi="Times New Roman"/>
                <w:noProof/>
                <w:sz w:val="24"/>
                <w:szCs w:val="24"/>
              </w:rPr>
            </w:pPr>
            <w:r w:rsidRPr="003C0DF0">
              <w:rPr>
                <w:rFonts w:ascii="Times New Roman" w:hAnsi="Times New Roman"/>
                <w:noProof/>
                <w:sz w:val="24"/>
              </w:rPr>
              <w:t>Promote development of institutional profiles;</w:t>
            </w:r>
          </w:p>
          <w:p w14:paraId="3E408153" w14:textId="77777777" w:rsidR="006E539B" w:rsidRPr="003C0DF0" w:rsidRDefault="00ED16B1" w:rsidP="003C0DF0">
            <w:pPr>
              <w:pStyle w:val="ListParagraph"/>
              <w:numPr>
                <w:ilvl w:val="0"/>
                <w:numId w:val="3"/>
              </w:numPr>
              <w:spacing w:after="0" w:line="240" w:lineRule="auto"/>
              <w:ind w:left="0" w:firstLine="0"/>
              <w:rPr>
                <w:rFonts w:ascii="Times New Roman" w:hAnsi="Times New Roman"/>
                <w:noProof/>
                <w:sz w:val="24"/>
                <w:szCs w:val="24"/>
              </w:rPr>
            </w:pPr>
            <w:r w:rsidRPr="003C0DF0">
              <w:rPr>
                <w:rFonts w:ascii="Times New Roman" w:hAnsi="Times New Roman"/>
                <w:noProof/>
                <w:sz w:val="24"/>
              </w:rPr>
              <w:t>Ensure performance rewards and sanctions;</w:t>
            </w:r>
          </w:p>
          <w:p w14:paraId="7F9F98F3" w14:textId="4950DD24" w:rsidR="00ED16B1" w:rsidRPr="003C0DF0" w:rsidRDefault="00ED16B1" w:rsidP="003C0DF0">
            <w:pPr>
              <w:pStyle w:val="ListParagraph"/>
              <w:numPr>
                <w:ilvl w:val="0"/>
                <w:numId w:val="3"/>
              </w:numPr>
              <w:spacing w:after="0" w:line="240" w:lineRule="auto"/>
              <w:ind w:left="0" w:firstLine="0"/>
              <w:rPr>
                <w:rFonts w:ascii="Times New Roman" w:hAnsi="Times New Roman"/>
                <w:noProof/>
                <w:sz w:val="24"/>
                <w:szCs w:val="24"/>
              </w:rPr>
            </w:pPr>
            <w:r w:rsidRPr="003C0DF0">
              <w:rPr>
                <w:rFonts w:ascii="Times New Roman" w:hAnsi="Times New Roman"/>
                <w:noProof/>
                <w:sz w:val="24"/>
              </w:rPr>
              <w:t>Create a competitive environment.</w:t>
            </w:r>
          </w:p>
        </w:tc>
        <w:tc>
          <w:tcPr>
            <w:tcW w:w="2582" w:type="pct"/>
            <w:shd w:val="clear" w:color="auto" w:fill="auto"/>
          </w:tcPr>
          <w:p w14:paraId="28BB96F1" w14:textId="25A301E3" w:rsidR="00ED16B1" w:rsidRPr="003C0DF0" w:rsidRDefault="00ED16B1" w:rsidP="003C0DF0">
            <w:pPr>
              <w:pStyle w:val="ListParagraph"/>
              <w:numPr>
                <w:ilvl w:val="0"/>
                <w:numId w:val="3"/>
              </w:numPr>
              <w:spacing w:after="0" w:line="240" w:lineRule="auto"/>
              <w:ind w:left="0" w:firstLine="0"/>
              <w:rPr>
                <w:rFonts w:ascii="Times New Roman" w:hAnsi="Times New Roman"/>
                <w:noProof/>
                <w:sz w:val="24"/>
                <w:szCs w:val="24"/>
              </w:rPr>
            </w:pPr>
            <w:r w:rsidRPr="003C0DF0">
              <w:rPr>
                <w:rFonts w:ascii="Times New Roman" w:hAnsi="Times New Roman"/>
                <w:noProof/>
                <w:sz w:val="24"/>
              </w:rPr>
              <w:t>Provide clear, non-fragmented financial incentives;</w:t>
            </w:r>
          </w:p>
          <w:p w14:paraId="75545EA3" w14:textId="77777777" w:rsidR="003C0DF0" w:rsidRPr="003C0DF0" w:rsidRDefault="00ED16B1" w:rsidP="003C0DF0">
            <w:pPr>
              <w:pStyle w:val="ListParagraph"/>
              <w:numPr>
                <w:ilvl w:val="0"/>
                <w:numId w:val="3"/>
              </w:numPr>
              <w:spacing w:after="0" w:line="240" w:lineRule="auto"/>
              <w:ind w:left="0" w:firstLine="0"/>
              <w:rPr>
                <w:rFonts w:ascii="Times New Roman" w:hAnsi="Times New Roman"/>
                <w:noProof/>
                <w:sz w:val="24"/>
              </w:rPr>
            </w:pPr>
            <w:r w:rsidRPr="003C0DF0">
              <w:rPr>
                <w:rFonts w:ascii="Times New Roman" w:hAnsi="Times New Roman"/>
                <w:noProof/>
                <w:sz w:val="24"/>
              </w:rPr>
              <w:t>Balance expected and achieved performance;</w:t>
            </w:r>
          </w:p>
          <w:p w14:paraId="22881B29" w14:textId="159E4F49" w:rsidR="00ED16B1" w:rsidRPr="003C0DF0" w:rsidRDefault="00ED16B1" w:rsidP="003C0DF0">
            <w:pPr>
              <w:pStyle w:val="ListParagraph"/>
              <w:numPr>
                <w:ilvl w:val="0"/>
                <w:numId w:val="3"/>
              </w:numPr>
              <w:spacing w:after="0" w:line="240" w:lineRule="auto"/>
              <w:ind w:left="0" w:firstLine="0"/>
              <w:rPr>
                <w:rFonts w:ascii="Times New Roman" w:hAnsi="Times New Roman"/>
                <w:noProof/>
                <w:sz w:val="24"/>
                <w:szCs w:val="24"/>
              </w:rPr>
            </w:pPr>
            <w:r w:rsidRPr="003C0DF0">
              <w:rPr>
                <w:rFonts w:ascii="Times New Roman" w:hAnsi="Times New Roman"/>
                <w:noProof/>
                <w:sz w:val="24"/>
              </w:rPr>
              <w:t xml:space="preserve">Avoid undesirable effects. </w:t>
            </w:r>
          </w:p>
        </w:tc>
      </w:tr>
      <w:tr w:rsidR="00ED16B1" w:rsidRPr="003C0DF0" w14:paraId="45FB8174" w14:textId="77777777" w:rsidTr="003C0DF0">
        <w:tc>
          <w:tcPr>
            <w:tcW w:w="2418" w:type="pct"/>
            <w:shd w:val="clear" w:color="auto" w:fill="DBE5F1" w:themeFill="accent1" w:themeFillTint="33"/>
          </w:tcPr>
          <w:p w14:paraId="7B4E337D" w14:textId="77777777" w:rsidR="00ED16B1" w:rsidRPr="003C0DF0" w:rsidRDefault="00ED16B1" w:rsidP="00EE17B5">
            <w:pPr>
              <w:pStyle w:val="ListParagraph"/>
              <w:spacing w:after="0" w:line="240" w:lineRule="auto"/>
              <w:ind w:left="0"/>
              <w:jc w:val="center"/>
              <w:rPr>
                <w:rFonts w:ascii="Times New Roman" w:hAnsi="Times New Roman"/>
                <w:b/>
                <w:noProof/>
                <w:sz w:val="24"/>
                <w:szCs w:val="24"/>
              </w:rPr>
            </w:pPr>
            <w:r w:rsidRPr="003C0DF0">
              <w:rPr>
                <w:rFonts w:ascii="Times New Roman" w:hAnsi="Times New Roman"/>
                <w:b/>
                <w:noProof/>
                <w:sz w:val="24"/>
              </w:rPr>
              <w:t>Sustainability</w:t>
            </w:r>
          </w:p>
        </w:tc>
        <w:tc>
          <w:tcPr>
            <w:tcW w:w="2582" w:type="pct"/>
            <w:shd w:val="clear" w:color="auto" w:fill="DBE5F1" w:themeFill="accent1" w:themeFillTint="33"/>
          </w:tcPr>
          <w:p w14:paraId="021A4CA8" w14:textId="77777777" w:rsidR="00ED16B1" w:rsidRPr="003C0DF0" w:rsidRDefault="00ED16B1" w:rsidP="00EE17B5">
            <w:pPr>
              <w:pStyle w:val="ListParagraph"/>
              <w:spacing w:after="0" w:line="240" w:lineRule="auto"/>
              <w:ind w:left="0"/>
              <w:jc w:val="center"/>
              <w:rPr>
                <w:rFonts w:ascii="Times New Roman" w:hAnsi="Times New Roman"/>
                <w:b/>
                <w:bCs/>
                <w:noProof/>
                <w:sz w:val="24"/>
                <w:szCs w:val="24"/>
              </w:rPr>
            </w:pPr>
            <w:r w:rsidRPr="003C0DF0">
              <w:rPr>
                <w:rFonts w:ascii="Times New Roman" w:hAnsi="Times New Roman"/>
                <w:b/>
                <w:noProof/>
                <w:sz w:val="24"/>
              </w:rPr>
              <w:t>Conformity with Legislation</w:t>
            </w:r>
          </w:p>
        </w:tc>
      </w:tr>
      <w:tr w:rsidR="00ED16B1" w:rsidRPr="003C0DF0" w14:paraId="1B6466ED" w14:textId="77777777" w:rsidTr="003C0DF0">
        <w:tc>
          <w:tcPr>
            <w:tcW w:w="2418" w:type="pct"/>
            <w:shd w:val="clear" w:color="auto" w:fill="auto"/>
          </w:tcPr>
          <w:p w14:paraId="5CA2105D" w14:textId="050E9572" w:rsidR="00ED16B1" w:rsidRPr="003C0DF0" w:rsidRDefault="00ED16B1" w:rsidP="003C0DF0">
            <w:pPr>
              <w:pStyle w:val="ListParagraph"/>
              <w:numPr>
                <w:ilvl w:val="0"/>
                <w:numId w:val="4"/>
              </w:numPr>
              <w:spacing w:after="0" w:line="240" w:lineRule="auto"/>
              <w:ind w:left="0" w:firstLine="0"/>
              <w:rPr>
                <w:rFonts w:ascii="Times New Roman" w:hAnsi="Times New Roman"/>
                <w:noProof/>
                <w:sz w:val="24"/>
                <w:szCs w:val="24"/>
              </w:rPr>
            </w:pPr>
            <w:r w:rsidRPr="003C0DF0">
              <w:rPr>
                <w:rFonts w:ascii="Times New Roman" w:hAnsi="Times New Roman"/>
                <w:noProof/>
                <w:sz w:val="24"/>
              </w:rPr>
              <w:t>Ensure stability and preconditions for long-term planning;</w:t>
            </w:r>
          </w:p>
          <w:p w14:paraId="505AACBB" w14:textId="77777777" w:rsidR="00ED16B1" w:rsidRPr="003C0DF0" w:rsidRDefault="00ED16B1" w:rsidP="003C0DF0">
            <w:pPr>
              <w:pStyle w:val="ListParagraph"/>
              <w:numPr>
                <w:ilvl w:val="0"/>
                <w:numId w:val="4"/>
              </w:numPr>
              <w:spacing w:after="0" w:line="240" w:lineRule="auto"/>
              <w:ind w:left="0" w:firstLine="0"/>
              <w:rPr>
                <w:rFonts w:ascii="Times New Roman" w:hAnsi="Times New Roman"/>
                <w:noProof/>
                <w:sz w:val="24"/>
                <w:szCs w:val="24"/>
              </w:rPr>
            </w:pPr>
            <w:r w:rsidRPr="003C0DF0">
              <w:rPr>
                <w:rFonts w:ascii="Times New Roman" w:hAnsi="Times New Roman"/>
                <w:noProof/>
                <w:sz w:val="24"/>
              </w:rPr>
              <w:t>Ensure continuity in financing mechanisms;</w:t>
            </w:r>
          </w:p>
          <w:p w14:paraId="41A15FD2" w14:textId="77777777" w:rsidR="00ED16B1" w:rsidRPr="003C0DF0" w:rsidRDefault="00ED16B1" w:rsidP="003C0DF0">
            <w:pPr>
              <w:pStyle w:val="ListParagraph"/>
              <w:numPr>
                <w:ilvl w:val="0"/>
                <w:numId w:val="4"/>
              </w:numPr>
              <w:spacing w:after="0" w:line="240" w:lineRule="auto"/>
              <w:ind w:left="0" w:firstLine="0"/>
              <w:rPr>
                <w:rFonts w:ascii="Times New Roman" w:hAnsi="Times New Roman"/>
                <w:noProof/>
                <w:sz w:val="24"/>
                <w:szCs w:val="24"/>
              </w:rPr>
            </w:pPr>
            <w:r w:rsidRPr="003C0DF0">
              <w:rPr>
                <w:rFonts w:ascii="Times New Roman" w:hAnsi="Times New Roman"/>
                <w:noProof/>
                <w:sz w:val="24"/>
              </w:rPr>
              <w:t>Take into account cost differences in different fields;</w:t>
            </w:r>
          </w:p>
          <w:p w14:paraId="66E5C59E" w14:textId="5A6910EC" w:rsidR="00ED16B1" w:rsidRPr="003C0DF0" w:rsidRDefault="00ED16B1" w:rsidP="003C0DF0">
            <w:pPr>
              <w:pStyle w:val="ListParagraph"/>
              <w:numPr>
                <w:ilvl w:val="0"/>
                <w:numId w:val="4"/>
              </w:numPr>
              <w:spacing w:after="0" w:line="240" w:lineRule="auto"/>
              <w:ind w:left="0" w:firstLine="0"/>
              <w:rPr>
                <w:rFonts w:ascii="Times New Roman" w:hAnsi="Times New Roman"/>
                <w:noProof/>
                <w:sz w:val="24"/>
                <w:szCs w:val="24"/>
              </w:rPr>
            </w:pPr>
            <w:r w:rsidRPr="003C0DF0">
              <w:rPr>
                <w:rFonts w:ascii="Times New Roman" w:hAnsi="Times New Roman"/>
                <w:noProof/>
                <w:sz w:val="24"/>
              </w:rPr>
              <w:t xml:space="preserve">Promote risk-spreading and management. </w:t>
            </w:r>
          </w:p>
        </w:tc>
        <w:tc>
          <w:tcPr>
            <w:tcW w:w="2582" w:type="pct"/>
            <w:shd w:val="clear" w:color="auto" w:fill="auto"/>
          </w:tcPr>
          <w:p w14:paraId="17DB1F6F" w14:textId="77777777" w:rsidR="00ED16B1" w:rsidRPr="003C0DF0" w:rsidRDefault="00ED16B1" w:rsidP="003C0DF0">
            <w:pPr>
              <w:pStyle w:val="ListParagraph"/>
              <w:numPr>
                <w:ilvl w:val="0"/>
                <w:numId w:val="4"/>
              </w:numPr>
              <w:spacing w:after="0" w:line="240" w:lineRule="auto"/>
              <w:ind w:left="0" w:firstLine="0"/>
              <w:rPr>
                <w:rFonts w:ascii="Times New Roman" w:hAnsi="Times New Roman"/>
                <w:noProof/>
                <w:sz w:val="24"/>
                <w:szCs w:val="24"/>
              </w:rPr>
            </w:pPr>
            <w:r w:rsidRPr="003C0DF0">
              <w:rPr>
                <w:rFonts w:ascii="Times New Roman" w:hAnsi="Times New Roman"/>
                <w:noProof/>
                <w:sz w:val="24"/>
              </w:rPr>
              <w:t>Provide unambiguous and balanced financing principles;</w:t>
            </w:r>
          </w:p>
          <w:p w14:paraId="4C51A16B" w14:textId="77777777" w:rsidR="00ED16B1" w:rsidRPr="003C0DF0" w:rsidRDefault="00ED16B1" w:rsidP="003C0DF0">
            <w:pPr>
              <w:pStyle w:val="ListParagraph"/>
              <w:numPr>
                <w:ilvl w:val="0"/>
                <w:numId w:val="4"/>
              </w:numPr>
              <w:spacing w:after="0" w:line="240" w:lineRule="auto"/>
              <w:ind w:left="0" w:firstLine="0"/>
              <w:rPr>
                <w:rFonts w:ascii="Times New Roman" w:hAnsi="Times New Roman"/>
                <w:noProof/>
                <w:sz w:val="24"/>
                <w:szCs w:val="24"/>
              </w:rPr>
            </w:pPr>
            <w:r w:rsidRPr="003C0DF0">
              <w:rPr>
                <w:rFonts w:ascii="Times New Roman" w:hAnsi="Times New Roman"/>
                <w:noProof/>
                <w:sz w:val="24"/>
              </w:rPr>
              <w:t>Conform with the perception of fairness;</w:t>
            </w:r>
          </w:p>
          <w:p w14:paraId="72AA5345" w14:textId="77777777" w:rsidR="00ED16B1" w:rsidRPr="003C0DF0" w:rsidRDefault="00ED16B1" w:rsidP="003C0DF0">
            <w:pPr>
              <w:pStyle w:val="ListParagraph"/>
              <w:numPr>
                <w:ilvl w:val="0"/>
                <w:numId w:val="4"/>
              </w:numPr>
              <w:spacing w:after="0" w:line="240" w:lineRule="auto"/>
              <w:ind w:left="0" w:firstLine="0"/>
              <w:rPr>
                <w:rFonts w:ascii="Times New Roman" w:hAnsi="Times New Roman"/>
                <w:noProof/>
                <w:sz w:val="24"/>
                <w:szCs w:val="24"/>
              </w:rPr>
            </w:pPr>
            <w:r w:rsidRPr="003C0DF0">
              <w:rPr>
                <w:rFonts w:ascii="Times New Roman" w:hAnsi="Times New Roman"/>
                <w:noProof/>
                <w:sz w:val="24"/>
              </w:rPr>
              <w:t>Guarantee academic freedom;</w:t>
            </w:r>
          </w:p>
          <w:p w14:paraId="0B497043" w14:textId="206F0BF7" w:rsidR="00ED16B1" w:rsidRPr="003C0DF0" w:rsidRDefault="00ED16B1" w:rsidP="003C0DF0">
            <w:pPr>
              <w:pStyle w:val="ListParagraph"/>
              <w:numPr>
                <w:ilvl w:val="0"/>
                <w:numId w:val="4"/>
              </w:numPr>
              <w:spacing w:after="0" w:line="240" w:lineRule="auto"/>
              <w:ind w:left="0" w:firstLine="0"/>
              <w:rPr>
                <w:rFonts w:ascii="Times New Roman" w:hAnsi="Times New Roman"/>
                <w:noProof/>
                <w:sz w:val="24"/>
                <w:szCs w:val="24"/>
              </w:rPr>
            </w:pPr>
            <w:r w:rsidRPr="003C0DF0">
              <w:rPr>
                <w:rFonts w:ascii="Times New Roman" w:hAnsi="Times New Roman"/>
                <w:noProof/>
                <w:sz w:val="24"/>
              </w:rPr>
              <w:t xml:space="preserve">Allocate lump sums. </w:t>
            </w:r>
          </w:p>
        </w:tc>
      </w:tr>
      <w:tr w:rsidR="00ED16B1" w:rsidRPr="003C0DF0" w14:paraId="74C4D61A" w14:textId="77777777" w:rsidTr="003C0DF0">
        <w:tc>
          <w:tcPr>
            <w:tcW w:w="2418" w:type="pct"/>
            <w:shd w:val="clear" w:color="auto" w:fill="DBE5F1" w:themeFill="accent1" w:themeFillTint="33"/>
          </w:tcPr>
          <w:p w14:paraId="75CD487E" w14:textId="77777777" w:rsidR="00ED16B1" w:rsidRPr="003C0DF0" w:rsidRDefault="00ED16B1" w:rsidP="00EE17B5">
            <w:pPr>
              <w:pStyle w:val="ListParagraph"/>
              <w:spacing w:after="0" w:line="240" w:lineRule="auto"/>
              <w:ind w:left="0"/>
              <w:jc w:val="center"/>
              <w:rPr>
                <w:rFonts w:ascii="Times New Roman" w:hAnsi="Times New Roman"/>
                <w:b/>
                <w:bCs/>
                <w:noProof/>
                <w:sz w:val="24"/>
                <w:szCs w:val="24"/>
              </w:rPr>
            </w:pPr>
            <w:r w:rsidRPr="003C0DF0">
              <w:rPr>
                <w:rFonts w:ascii="Times New Roman" w:hAnsi="Times New Roman"/>
                <w:b/>
                <w:noProof/>
                <w:sz w:val="24"/>
              </w:rPr>
              <w:t>Autonomy and freedom</w:t>
            </w:r>
          </w:p>
        </w:tc>
        <w:tc>
          <w:tcPr>
            <w:tcW w:w="2582" w:type="pct"/>
            <w:shd w:val="clear" w:color="auto" w:fill="DBE5F1" w:themeFill="accent1" w:themeFillTint="33"/>
          </w:tcPr>
          <w:p w14:paraId="5F630507" w14:textId="77777777" w:rsidR="00ED16B1" w:rsidRPr="003C0DF0" w:rsidRDefault="00ED16B1" w:rsidP="00EE17B5">
            <w:pPr>
              <w:pStyle w:val="ListParagraph"/>
              <w:spacing w:after="0" w:line="240" w:lineRule="auto"/>
              <w:ind w:left="0"/>
              <w:jc w:val="center"/>
              <w:rPr>
                <w:rFonts w:ascii="Times New Roman" w:hAnsi="Times New Roman"/>
                <w:b/>
                <w:noProof/>
                <w:sz w:val="24"/>
                <w:szCs w:val="24"/>
              </w:rPr>
            </w:pPr>
            <w:r w:rsidRPr="003C0DF0">
              <w:rPr>
                <w:rFonts w:ascii="Times New Roman" w:hAnsi="Times New Roman"/>
                <w:b/>
                <w:noProof/>
                <w:sz w:val="24"/>
              </w:rPr>
              <w:t>Practical feasibility</w:t>
            </w:r>
          </w:p>
        </w:tc>
      </w:tr>
      <w:tr w:rsidR="00ED16B1" w:rsidRPr="003C0DF0" w14:paraId="3CC568EB" w14:textId="77777777" w:rsidTr="003C0DF0">
        <w:tc>
          <w:tcPr>
            <w:tcW w:w="2418" w:type="pct"/>
            <w:shd w:val="clear" w:color="auto" w:fill="auto"/>
          </w:tcPr>
          <w:p w14:paraId="19D7689F" w14:textId="77777777" w:rsidR="006E539B" w:rsidRPr="003C0DF0" w:rsidRDefault="00ED16B1" w:rsidP="003C0DF0">
            <w:pPr>
              <w:pStyle w:val="ListParagraph"/>
              <w:numPr>
                <w:ilvl w:val="0"/>
                <w:numId w:val="5"/>
              </w:numPr>
              <w:spacing w:after="0" w:line="240" w:lineRule="auto"/>
              <w:ind w:left="0" w:firstLine="0"/>
              <w:rPr>
                <w:rFonts w:ascii="Times New Roman" w:hAnsi="Times New Roman"/>
                <w:noProof/>
                <w:sz w:val="24"/>
                <w:szCs w:val="24"/>
              </w:rPr>
            </w:pPr>
            <w:r w:rsidRPr="003C0DF0">
              <w:rPr>
                <w:rFonts w:ascii="Times New Roman" w:hAnsi="Times New Roman"/>
                <w:noProof/>
                <w:sz w:val="24"/>
              </w:rPr>
              <w:t>Implement an adequate level of regulation;</w:t>
            </w:r>
          </w:p>
          <w:p w14:paraId="188F79FE" w14:textId="5A6AF412" w:rsidR="00ED16B1" w:rsidRPr="003C0DF0" w:rsidRDefault="00ED16B1" w:rsidP="003C0DF0">
            <w:pPr>
              <w:pStyle w:val="ListParagraph"/>
              <w:numPr>
                <w:ilvl w:val="0"/>
                <w:numId w:val="5"/>
              </w:numPr>
              <w:spacing w:after="0" w:line="240" w:lineRule="auto"/>
              <w:ind w:left="0" w:firstLine="0"/>
              <w:rPr>
                <w:rFonts w:ascii="Times New Roman" w:hAnsi="Times New Roman"/>
                <w:noProof/>
                <w:sz w:val="24"/>
                <w:szCs w:val="24"/>
              </w:rPr>
            </w:pPr>
            <w:r w:rsidRPr="003C0DF0">
              <w:rPr>
                <w:rFonts w:ascii="Times New Roman" w:hAnsi="Times New Roman"/>
                <w:noProof/>
                <w:sz w:val="24"/>
              </w:rPr>
              <w:t xml:space="preserve">Guarantee autonomy of internal resource allocation; Promote accessibility of diverse income sources. </w:t>
            </w:r>
          </w:p>
        </w:tc>
        <w:tc>
          <w:tcPr>
            <w:tcW w:w="2582" w:type="pct"/>
            <w:shd w:val="clear" w:color="auto" w:fill="auto"/>
          </w:tcPr>
          <w:p w14:paraId="5347D3A6" w14:textId="77777777" w:rsidR="00ED16B1" w:rsidRPr="003C0DF0" w:rsidRDefault="00ED16B1" w:rsidP="003C0DF0">
            <w:pPr>
              <w:pStyle w:val="ListParagraph"/>
              <w:numPr>
                <w:ilvl w:val="0"/>
                <w:numId w:val="5"/>
              </w:numPr>
              <w:spacing w:after="0" w:line="240" w:lineRule="auto"/>
              <w:ind w:left="0" w:firstLine="0"/>
              <w:rPr>
                <w:rFonts w:ascii="Times New Roman" w:hAnsi="Times New Roman"/>
                <w:noProof/>
                <w:sz w:val="24"/>
                <w:szCs w:val="24"/>
              </w:rPr>
            </w:pPr>
            <w:r w:rsidRPr="003C0DF0">
              <w:rPr>
                <w:rFonts w:ascii="Times New Roman" w:hAnsi="Times New Roman"/>
                <w:noProof/>
                <w:sz w:val="24"/>
              </w:rPr>
              <w:t>Are based on available data;</w:t>
            </w:r>
          </w:p>
          <w:p w14:paraId="058F60FF" w14:textId="77777777" w:rsidR="00ED16B1" w:rsidRPr="003C0DF0" w:rsidRDefault="00ED16B1" w:rsidP="003C0DF0">
            <w:pPr>
              <w:pStyle w:val="ListParagraph"/>
              <w:numPr>
                <w:ilvl w:val="0"/>
                <w:numId w:val="5"/>
              </w:numPr>
              <w:spacing w:after="0" w:line="240" w:lineRule="auto"/>
              <w:ind w:left="0" w:firstLine="0"/>
              <w:rPr>
                <w:rFonts w:ascii="Times New Roman" w:hAnsi="Times New Roman"/>
                <w:noProof/>
                <w:sz w:val="24"/>
                <w:szCs w:val="24"/>
              </w:rPr>
            </w:pPr>
            <w:r w:rsidRPr="003C0DF0">
              <w:rPr>
                <w:rFonts w:ascii="Times New Roman" w:hAnsi="Times New Roman"/>
                <w:noProof/>
                <w:sz w:val="24"/>
              </w:rPr>
              <w:t>Ensure administrative efficiency;</w:t>
            </w:r>
          </w:p>
          <w:p w14:paraId="6888DA5F" w14:textId="77777777" w:rsidR="00ED16B1" w:rsidRPr="003C0DF0" w:rsidRDefault="00ED16B1" w:rsidP="003C0DF0">
            <w:pPr>
              <w:pStyle w:val="ListParagraph"/>
              <w:numPr>
                <w:ilvl w:val="0"/>
                <w:numId w:val="5"/>
              </w:numPr>
              <w:spacing w:after="0" w:line="240" w:lineRule="auto"/>
              <w:ind w:left="0" w:firstLine="0"/>
              <w:rPr>
                <w:rFonts w:ascii="Times New Roman" w:hAnsi="Times New Roman"/>
                <w:noProof/>
                <w:sz w:val="24"/>
                <w:szCs w:val="24"/>
              </w:rPr>
            </w:pPr>
            <w:r w:rsidRPr="003C0DF0">
              <w:rPr>
                <w:rFonts w:ascii="Times New Roman" w:hAnsi="Times New Roman"/>
                <w:noProof/>
                <w:sz w:val="24"/>
              </w:rPr>
              <w:t>Respect methodological standards;</w:t>
            </w:r>
          </w:p>
          <w:p w14:paraId="652E5024" w14:textId="77777777" w:rsidR="00ED16B1" w:rsidRPr="003C0DF0" w:rsidRDefault="00ED16B1" w:rsidP="003C0DF0">
            <w:pPr>
              <w:pStyle w:val="ListParagraph"/>
              <w:numPr>
                <w:ilvl w:val="0"/>
                <w:numId w:val="5"/>
              </w:numPr>
              <w:spacing w:after="0" w:line="240" w:lineRule="auto"/>
              <w:ind w:left="0" w:firstLine="0"/>
              <w:rPr>
                <w:rFonts w:ascii="Times New Roman" w:hAnsi="Times New Roman"/>
                <w:noProof/>
                <w:sz w:val="24"/>
                <w:szCs w:val="24"/>
              </w:rPr>
            </w:pPr>
            <w:r w:rsidRPr="003C0DF0">
              <w:rPr>
                <w:rFonts w:ascii="Times New Roman" w:hAnsi="Times New Roman"/>
                <w:noProof/>
                <w:sz w:val="24"/>
              </w:rPr>
              <w:t>Ensure coherence with financing levels.</w:t>
            </w:r>
          </w:p>
        </w:tc>
      </w:tr>
    </w:tbl>
    <w:p w14:paraId="51CBD56E" w14:textId="77777777" w:rsidR="00EE17B5" w:rsidRPr="003C0DF0" w:rsidRDefault="00EE17B5" w:rsidP="006E539B">
      <w:pPr>
        <w:pStyle w:val="Style2"/>
        <w:widowControl/>
        <w:jc w:val="both"/>
        <w:rPr>
          <w:rFonts w:ascii="Times New Roman" w:hAnsi="Times New Roman"/>
          <w:noProof/>
          <w:szCs w:val="26"/>
        </w:rPr>
      </w:pPr>
    </w:p>
    <w:p w14:paraId="0BDF974D" w14:textId="77777777" w:rsidR="006E539B" w:rsidRPr="003C0DF0" w:rsidRDefault="00ED16B1" w:rsidP="00EE17B5">
      <w:pPr>
        <w:pStyle w:val="Style2"/>
        <w:widowControl/>
        <w:ind w:firstLine="709"/>
        <w:jc w:val="both"/>
        <w:rPr>
          <w:rFonts w:ascii="Times New Roman" w:hAnsi="Times New Roman"/>
          <w:noProof/>
          <w:szCs w:val="26"/>
        </w:rPr>
      </w:pPr>
      <w:r w:rsidRPr="003C0DF0">
        <w:rPr>
          <w:rFonts w:ascii="Times New Roman" w:hAnsi="Times New Roman"/>
          <w:noProof/>
        </w:rPr>
        <w:t>In spite of the variety in higher education system and financing models in the European countries, in most cases three components (pillars) forming allocation of public financing in higher education can be identified: basic (base) funding, performance funding, and innovation- and profile-oriented financing (Table 2)</w:t>
      </w:r>
      <w:r w:rsidRPr="003C0DF0">
        <w:rPr>
          <w:rStyle w:val="FootnoteReference"/>
          <w:rFonts w:ascii="Times New Roman" w:hAnsi="Times New Roman"/>
          <w:noProof/>
        </w:rPr>
        <w:footnoteReference w:id="3"/>
      </w:r>
      <w:r w:rsidRPr="003C0DF0">
        <w:rPr>
          <w:rFonts w:ascii="Times New Roman" w:hAnsi="Times New Roman"/>
          <w:noProof/>
        </w:rPr>
        <w:t>. Within the framework of the three pillar financing model used in the European practice, different methods of allocation of financing are used: negotiated, incremental (gradual increase), formula and competition (project) financing. Upon determining the total amount of a grant, the significance of the various elements is different in different European higher education systems</w:t>
      </w:r>
      <w:r w:rsidRPr="003C0DF0">
        <w:rPr>
          <w:rStyle w:val="FootnoteReference"/>
          <w:rFonts w:ascii="Times New Roman" w:hAnsi="Times New Roman"/>
          <w:noProof/>
        </w:rPr>
        <w:footnoteReference w:id="4"/>
      </w:r>
      <w:r w:rsidRPr="003C0DF0">
        <w:rPr>
          <w:rStyle w:val="FontStyle50"/>
          <w:rFonts w:ascii="Times New Roman" w:hAnsi="Times New Roman" w:cs="Times New Roman"/>
          <w:noProof/>
          <w:color w:val="auto"/>
          <w:sz w:val="24"/>
        </w:rPr>
        <w:t xml:space="preserve">. </w:t>
      </w:r>
      <w:r w:rsidRPr="003C0DF0">
        <w:rPr>
          <w:rFonts w:ascii="Times New Roman" w:hAnsi="Times New Roman"/>
          <w:noProof/>
        </w:rPr>
        <w:t>In determining the most appropriate method for the allocation of funding in Latvia, the higher education development objectives must be taken into account.</w:t>
      </w:r>
    </w:p>
    <w:p w14:paraId="29C98A73" w14:textId="6889DC91" w:rsidR="00ED16B1" w:rsidRPr="003C0DF0" w:rsidRDefault="00ED16B1" w:rsidP="006E539B">
      <w:pPr>
        <w:pStyle w:val="Style2"/>
        <w:widowControl/>
        <w:jc w:val="both"/>
        <w:rPr>
          <w:rFonts w:ascii="Times New Roman" w:hAnsi="Times New Roman"/>
          <w:noProof/>
          <w:szCs w:val="26"/>
        </w:rPr>
      </w:pPr>
    </w:p>
    <w:p w14:paraId="536C2C4E" w14:textId="77777777" w:rsidR="003C0DF0" w:rsidRDefault="003C0DF0">
      <w:pPr>
        <w:spacing w:after="0" w:line="240" w:lineRule="auto"/>
        <w:rPr>
          <w:rFonts w:ascii="Times New Roman" w:hAnsi="Times New Roman"/>
          <w:i/>
          <w:sz w:val="24"/>
          <w:szCs w:val="24"/>
        </w:rPr>
      </w:pPr>
      <w:r>
        <w:rPr>
          <w:rFonts w:ascii="Times New Roman" w:hAnsi="Times New Roman"/>
          <w:i/>
          <w:sz w:val="24"/>
          <w:szCs w:val="24"/>
        </w:rPr>
        <w:br w:type="page"/>
      </w:r>
    </w:p>
    <w:p w14:paraId="33D1148D" w14:textId="4B31E006" w:rsidR="00ED16B1" w:rsidRPr="003C0DF0" w:rsidRDefault="00ED16B1" w:rsidP="00EE17B5">
      <w:pPr>
        <w:pStyle w:val="ListParagraph"/>
        <w:spacing w:after="0" w:line="240" w:lineRule="auto"/>
        <w:ind w:left="0"/>
        <w:jc w:val="right"/>
        <w:rPr>
          <w:rFonts w:ascii="Times New Roman" w:hAnsi="Times New Roman"/>
          <w:b/>
          <w:noProof/>
          <w:sz w:val="24"/>
          <w:szCs w:val="24"/>
        </w:rPr>
      </w:pPr>
      <w:r w:rsidRPr="003C0DF0">
        <w:rPr>
          <w:rFonts w:ascii="Times New Roman" w:hAnsi="Times New Roman"/>
          <w:i/>
          <w:sz w:val="24"/>
          <w:szCs w:val="24"/>
        </w:rPr>
        <w:lastRenderedPageBreak/>
        <w:t>Table 2.</w:t>
      </w:r>
      <w:r w:rsidRPr="003C0DF0">
        <w:rPr>
          <w:rFonts w:ascii="Times New Roman" w:hAnsi="Times New Roman"/>
          <w:noProof/>
          <w:sz w:val="24"/>
          <w:szCs w:val="24"/>
        </w:rPr>
        <w:t xml:space="preserve"> </w:t>
      </w:r>
      <w:r w:rsidRPr="003C0DF0">
        <w:rPr>
          <w:rFonts w:ascii="Times New Roman" w:hAnsi="Times New Roman"/>
          <w:b/>
          <w:noProof/>
          <w:sz w:val="24"/>
          <w:szCs w:val="24"/>
        </w:rPr>
        <w:t>Pillars of the Financing Model</w:t>
      </w:r>
    </w:p>
    <w:p w14:paraId="6AF98077" w14:textId="77777777" w:rsidR="00EE17B5" w:rsidRPr="003C0DF0" w:rsidRDefault="00EE17B5" w:rsidP="006E539B">
      <w:pPr>
        <w:pStyle w:val="ListParagraph"/>
        <w:spacing w:after="0" w:line="240" w:lineRule="auto"/>
        <w:ind w:left="0"/>
        <w:jc w:val="both"/>
        <w:rPr>
          <w:rFonts w:ascii="Times New Roman" w:hAnsi="Times New Roman"/>
          <w:b/>
          <w:noProof/>
          <w:sz w:val="24"/>
          <w:szCs w:val="24"/>
        </w:rPr>
      </w:pPr>
    </w:p>
    <w:tbl>
      <w:tblPr>
        <w:tblW w:w="5000" w:type="pct"/>
        <w:tblBorders>
          <w:top w:val="single" w:sz="4" w:space="0" w:color="1F4E79"/>
          <w:left w:val="single" w:sz="4" w:space="0" w:color="1F4E79"/>
          <w:bottom w:val="single" w:sz="4" w:space="0" w:color="2E74B5"/>
          <w:right w:val="single" w:sz="4" w:space="0" w:color="1F4E79"/>
          <w:insideH w:val="single" w:sz="4" w:space="0" w:color="auto"/>
          <w:insideV w:val="single" w:sz="4" w:space="0" w:color="1F4E79"/>
        </w:tblBorders>
        <w:tblLook w:val="04A0" w:firstRow="1" w:lastRow="0" w:firstColumn="1" w:lastColumn="0" w:noHBand="0" w:noVBand="1"/>
      </w:tblPr>
      <w:tblGrid>
        <w:gridCol w:w="2919"/>
        <w:gridCol w:w="3253"/>
        <w:gridCol w:w="2889"/>
      </w:tblGrid>
      <w:tr w:rsidR="00ED16B1" w:rsidRPr="003C0DF0" w14:paraId="103C6FF3" w14:textId="77777777" w:rsidTr="00EE17B5">
        <w:tc>
          <w:tcPr>
            <w:tcW w:w="1611" w:type="pct"/>
            <w:shd w:val="clear" w:color="auto" w:fill="DBE5F1" w:themeFill="accent1" w:themeFillTint="33"/>
            <w:vAlign w:val="center"/>
          </w:tcPr>
          <w:p w14:paraId="770E3697" w14:textId="00C251C4" w:rsidR="00ED16B1" w:rsidRPr="003C0DF0" w:rsidRDefault="00ED16B1" w:rsidP="00EE17B5">
            <w:pPr>
              <w:pStyle w:val="ListParagraph"/>
              <w:spacing w:after="0" w:line="240" w:lineRule="auto"/>
              <w:ind w:left="0"/>
              <w:jc w:val="center"/>
              <w:rPr>
                <w:rFonts w:ascii="Times New Roman" w:hAnsi="Times New Roman"/>
                <w:b/>
                <w:noProof/>
                <w:sz w:val="24"/>
                <w:szCs w:val="24"/>
              </w:rPr>
            </w:pPr>
            <w:r w:rsidRPr="003C0DF0">
              <w:rPr>
                <w:rFonts w:ascii="Times New Roman" w:hAnsi="Times New Roman"/>
                <w:b/>
                <w:noProof/>
                <w:sz w:val="24"/>
              </w:rPr>
              <w:t>Basic (base) financing</w:t>
            </w:r>
          </w:p>
        </w:tc>
        <w:tc>
          <w:tcPr>
            <w:tcW w:w="1795" w:type="pct"/>
            <w:shd w:val="clear" w:color="auto" w:fill="DBE5F1" w:themeFill="accent1" w:themeFillTint="33"/>
            <w:vAlign w:val="center"/>
          </w:tcPr>
          <w:p w14:paraId="77514918" w14:textId="77777777" w:rsidR="00ED16B1" w:rsidRPr="003C0DF0" w:rsidRDefault="00ED16B1" w:rsidP="00EE17B5">
            <w:pPr>
              <w:pStyle w:val="ListParagraph"/>
              <w:spacing w:after="0" w:line="240" w:lineRule="auto"/>
              <w:ind w:left="0"/>
              <w:jc w:val="center"/>
              <w:rPr>
                <w:rFonts w:ascii="Times New Roman" w:hAnsi="Times New Roman"/>
                <w:b/>
                <w:noProof/>
                <w:sz w:val="24"/>
                <w:szCs w:val="24"/>
              </w:rPr>
            </w:pPr>
            <w:r w:rsidRPr="003C0DF0">
              <w:rPr>
                <w:rFonts w:ascii="Times New Roman" w:hAnsi="Times New Roman"/>
                <w:b/>
                <w:noProof/>
                <w:sz w:val="24"/>
              </w:rPr>
              <w:t>Performance funding</w:t>
            </w:r>
          </w:p>
        </w:tc>
        <w:tc>
          <w:tcPr>
            <w:tcW w:w="1594" w:type="pct"/>
            <w:shd w:val="clear" w:color="auto" w:fill="DBE5F1" w:themeFill="accent1" w:themeFillTint="33"/>
            <w:vAlign w:val="center"/>
          </w:tcPr>
          <w:p w14:paraId="046E22DF" w14:textId="77777777" w:rsidR="00ED16B1" w:rsidRPr="003C0DF0" w:rsidRDefault="00ED16B1" w:rsidP="00EE17B5">
            <w:pPr>
              <w:pStyle w:val="ListParagraph"/>
              <w:spacing w:after="0" w:line="240" w:lineRule="auto"/>
              <w:ind w:left="0"/>
              <w:jc w:val="center"/>
              <w:rPr>
                <w:rFonts w:ascii="Times New Roman" w:hAnsi="Times New Roman"/>
                <w:b/>
                <w:noProof/>
                <w:sz w:val="24"/>
                <w:szCs w:val="24"/>
              </w:rPr>
            </w:pPr>
            <w:r w:rsidRPr="003C0DF0">
              <w:rPr>
                <w:rFonts w:ascii="Times New Roman" w:hAnsi="Times New Roman"/>
                <w:b/>
                <w:noProof/>
                <w:sz w:val="24"/>
              </w:rPr>
              <w:t>Innovation-/profile-oriented financing</w:t>
            </w:r>
          </w:p>
        </w:tc>
      </w:tr>
      <w:tr w:rsidR="00ED16B1" w:rsidRPr="003C0DF0" w14:paraId="2088CB28" w14:textId="77777777" w:rsidTr="00EE17B5">
        <w:tc>
          <w:tcPr>
            <w:tcW w:w="1611" w:type="pct"/>
            <w:shd w:val="clear" w:color="auto" w:fill="auto"/>
          </w:tcPr>
          <w:p w14:paraId="799F73D2" w14:textId="77777777" w:rsidR="00ED16B1" w:rsidRPr="003C0DF0" w:rsidRDefault="00ED16B1" w:rsidP="006E539B">
            <w:pPr>
              <w:pStyle w:val="ListParagraph"/>
              <w:spacing w:after="0" w:line="240" w:lineRule="auto"/>
              <w:ind w:left="0"/>
              <w:jc w:val="both"/>
              <w:rPr>
                <w:rFonts w:ascii="Times New Roman" w:hAnsi="Times New Roman"/>
                <w:noProof/>
                <w:sz w:val="24"/>
                <w:szCs w:val="24"/>
              </w:rPr>
            </w:pPr>
            <w:r w:rsidRPr="003C0DF0">
              <w:rPr>
                <w:rFonts w:ascii="Times New Roman" w:hAnsi="Times New Roman"/>
                <w:noProof/>
                <w:sz w:val="24"/>
              </w:rPr>
              <w:t xml:space="preserve">The allocation component that remains stable over a specific period of time. Its purpose is to provide predictable and reliable funding which provides the continuity of the basic functions of institutions of higher education. </w:t>
            </w:r>
          </w:p>
        </w:tc>
        <w:tc>
          <w:tcPr>
            <w:tcW w:w="1795" w:type="pct"/>
            <w:shd w:val="clear" w:color="auto" w:fill="auto"/>
          </w:tcPr>
          <w:p w14:paraId="752B487B" w14:textId="77777777" w:rsidR="00ED16B1" w:rsidRPr="003C0DF0" w:rsidRDefault="00ED16B1" w:rsidP="006E539B">
            <w:pPr>
              <w:pStyle w:val="ListParagraph"/>
              <w:spacing w:after="0" w:line="240" w:lineRule="auto"/>
              <w:ind w:left="0"/>
              <w:jc w:val="both"/>
              <w:rPr>
                <w:rFonts w:ascii="Times New Roman" w:hAnsi="Times New Roman"/>
                <w:noProof/>
                <w:sz w:val="24"/>
                <w:szCs w:val="24"/>
              </w:rPr>
            </w:pPr>
            <w:r w:rsidRPr="003C0DF0">
              <w:rPr>
                <w:rFonts w:ascii="Times New Roman" w:hAnsi="Times New Roman"/>
                <w:noProof/>
                <w:sz w:val="24"/>
              </w:rPr>
              <w:t>The allocation component the main purpose of which is to create financial incentives for development. Performance-based financing is allocated, taking into account the foreseeable and achieved output indicators of studies and research.</w:t>
            </w:r>
          </w:p>
        </w:tc>
        <w:tc>
          <w:tcPr>
            <w:tcW w:w="1594" w:type="pct"/>
            <w:shd w:val="clear" w:color="auto" w:fill="auto"/>
          </w:tcPr>
          <w:p w14:paraId="18888701" w14:textId="440319B0" w:rsidR="00ED16B1" w:rsidRPr="003C0DF0" w:rsidRDefault="00ED16B1" w:rsidP="006E539B">
            <w:pPr>
              <w:pStyle w:val="ListParagraph"/>
              <w:spacing w:after="0" w:line="240" w:lineRule="auto"/>
              <w:ind w:left="0"/>
              <w:jc w:val="both"/>
              <w:rPr>
                <w:rFonts w:ascii="Times New Roman" w:hAnsi="Times New Roman"/>
                <w:noProof/>
                <w:sz w:val="24"/>
                <w:szCs w:val="24"/>
              </w:rPr>
            </w:pPr>
            <w:r w:rsidRPr="003C0DF0">
              <w:rPr>
                <w:rFonts w:ascii="Times New Roman" w:hAnsi="Times New Roman"/>
                <w:noProof/>
                <w:sz w:val="24"/>
              </w:rPr>
              <w:t>The allocation component which is oriented towards intentions expected to be carried out in the future and towards profiling of institutions of higher education. Its aim is to promote innovations, research (or study) excellence, development of institutional specialisation and profiles.</w:t>
            </w:r>
          </w:p>
          <w:p w14:paraId="48AFEFA1" w14:textId="77777777" w:rsidR="00ED16B1" w:rsidRPr="003C0DF0" w:rsidRDefault="00ED16B1" w:rsidP="006E539B">
            <w:pPr>
              <w:pStyle w:val="ListParagraph"/>
              <w:spacing w:after="0" w:line="240" w:lineRule="auto"/>
              <w:ind w:left="0"/>
              <w:jc w:val="both"/>
              <w:rPr>
                <w:rFonts w:ascii="Times New Roman" w:hAnsi="Times New Roman"/>
                <w:noProof/>
                <w:sz w:val="24"/>
                <w:szCs w:val="24"/>
              </w:rPr>
            </w:pPr>
          </w:p>
        </w:tc>
      </w:tr>
    </w:tbl>
    <w:p w14:paraId="3AE684F0" w14:textId="77777777" w:rsidR="00ED16B1" w:rsidRPr="003C0DF0" w:rsidRDefault="00ED16B1" w:rsidP="006E539B">
      <w:pPr>
        <w:pStyle w:val="ListParagraph"/>
        <w:spacing w:after="0" w:line="240" w:lineRule="auto"/>
        <w:ind w:left="0"/>
        <w:jc w:val="both"/>
        <w:rPr>
          <w:rFonts w:ascii="Times New Roman" w:hAnsi="Times New Roman"/>
          <w:noProof/>
          <w:sz w:val="24"/>
          <w:szCs w:val="26"/>
        </w:rPr>
      </w:pPr>
    </w:p>
    <w:p w14:paraId="0C964EF1" w14:textId="77777777" w:rsidR="003C0DF0" w:rsidRPr="003C0DF0" w:rsidRDefault="00ED16B1" w:rsidP="00EE17B5">
      <w:pPr>
        <w:pStyle w:val="Style2"/>
        <w:widowControl/>
        <w:ind w:firstLine="709"/>
        <w:jc w:val="both"/>
        <w:rPr>
          <w:rStyle w:val="FontStyle50"/>
          <w:rFonts w:ascii="Times New Roman" w:hAnsi="Times New Roman" w:cs="Times New Roman"/>
          <w:noProof/>
          <w:color w:val="auto"/>
          <w:sz w:val="24"/>
        </w:rPr>
      </w:pPr>
      <w:r w:rsidRPr="003C0DF0">
        <w:rPr>
          <w:rFonts w:ascii="Times New Roman" w:hAnsi="Times New Roman"/>
          <w:noProof/>
        </w:rPr>
        <w:t>Financing model with clearly differentiated allocation components allows the use of the allocated grant in a better targeted and more efficient way. Basic financing is an amount of public funding that covers the main part of costs of economic activity, thereby enabling continuity of operation of institutions of higher education and the possibilities to implement their core tasks of studies and research. In the majority of European systems, State institutions distribute basic funding to institutions of higher education, using the so called block grants. The main purpose of performance-based financing is to promote competition and strive for excellence. Development funding is allocated by means of a competition within the framework of projects. The purpose of this financing is to support innovations and development of profiles of institutions of higher education. The financing model distinguishes between input and output indicators. Input indicators include the number of study places and number of students, the number of persons employed in teaching and research, previous financial results of institutions, and other data. In turn, output indicators include the number of graduates, number of credit points acquired, student assessment scores, publications, and other indicators characterising performance. As evidenced by studies on development of the higher education system, the importance of output (performance) indicators in financing of higher education has grown significantly over the past decade</w:t>
      </w:r>
      <w:r w:rsidRPr="003C0DF0">
        <w:rPr>
          <w:rStyle w:val="FootnoteReference"/>
          <w:rFonts w:ascii="Times New Roman" w:hAnsi="Times New Roman"/>
          <w:noProof/>
        </w:rPr>
        <w:footnoteReference w:id="5"/>
      </w:r>
      <w:r w:rsidRPr="003C0DF0">
        <w:rPr>
          <w:rStyle w:val="FontStyle50"/>
          <w:rFonts w:ascii="Times New Roman" w:hAnsi="Times New Roman" w:cs="Times New Roman"/>
          <w:noProof/>
          <w:color w:val="auto"/>
          <w:sz w:val="24"/>
        </w:rPr>
        <w:t>.</w:t>
      </w:r>
    </w:p>
    <w:p w14:paraId="25D9C85D" w14:textId="40BF791E" w:rsidR="00ED16B1" w:rsidRPr="003C0DF0" w:rsidRDefault="00ED16B1" w:rsidP="006E539B">
      <w:pPr>
        <w:pStyle w:val="Style2"/>
        <w:widowControl/>
        <w:jc w:val="both"/>
        <w:rPr>
          <w:rFonts w:ascii="Times New Roman" w:hAnsi="Times New Roman"/>
          <w:noProof/>
          <w:szCs w:val="26"/>
        </w:rPr>
      </w:pPr>
    </w:p>
    <w:p w14:paraId="2EE85694" w14:textId="77777777" w:rsidR="00ED16B1" w:rsidRPr="003C0DF0" w:rsidRDefault="00ED16B1" w:rsidP="00EE17B5">
      <w:pPr>
        <w:pStyle w:val="Style2"/>
        <w:widowControl/>
        <w:ind w:firstLine="709"/>
        <w:jc w:val="both"/>
        <w:rPr>
          <w:rFonts w:ascii="Times New Roman" w:hAnsi="Times New Roman"/>
          <w:b/>
          <w:noProof/>
          <w:szCs w:val="26"/>
        </w:rPr>
      </w:pPr>
      <w:r w:rsidRPr="003C0DF0">
        <w:rPr>
          <w:rFonts w:ascii="Times New Roman" w:hAnsi="Times New Roman"/>
          <w:b/>
          <w:noProof/>
        </w:rPr>
        <w:t>In the course of the study, the financing system of higher education in Latvia was evaluated in the following breakdown:</w:t>
      </w:r>
    </w:p>
    <w:p w14:paraId="03CAA298" w14:textId="77777777" w:rsidR="00EE17B5" w:rsidRPr="003C0DF0" w:rsidRDefault="00EE17B5" w:rsidP="006E539B">
      <w:pPr>
        <w:pStyle w:val="Style2"/>
        <w:widowControl/>
        <w:jc w:val="both"/>
        <w:rPr>
          <w:rFonts w:ascii="Times New Roman" w:hAnsi="Times New Roman"/>
          <w:b/>
          <w:noProof/>
          <w:szCs w:val="26"/>
        </w:rPr>
      </w:pPr>
    </w:p>
    <w:p w14:paraId="224E277C" w14:textId="77777777" w:rsidR="00ED16B1" w:rsidRPr="003C0DF0" w:rsidRDefault="00ED16B1" w:rsidP="006E539B">
      <w:pPr>
        <w:pStyle w:val="ListParagraph"/>
        <w:numPr>
          <w:ilvl w:val="0"/>
          <w:numId w:val="2"/>
        </w:numPr>
        <w:spacing w:after="0" w:line="240" w:lineRule="auto"/>
        <w:ind w:left="0" w:firstLine="0"/>
        <w:jc w:val="both"/>
        <w:rPr>
          <w:rFonts w:ascii="Times New Roman" w:hAnsi="Times New Roman"/>
          <w:noProof/>
          <w:sz w:val="24"/>
          <w:szCs w:val="26"/>
        </w:rPr>
      </w:pPr>
      <w:r w:rsidRPr="003C0DF0">
        <w:rPr>
          <w:rFonts w:ascii="Times New Roman" w:hAnsi="Times New Roman"/>
          <w:noProof/>
          <w:sz w:val="24"/>
        </w:rPr>
        <w:t>State funding for studies and research (allocation of State budget funds via funding for study places and research);</w:t>
      </w:r>
    </w:p>
    <w:p w14:paraId="448544E3" w14:textId="77777777" w:rsidR="006E539B" w:rsidRPr="003C0DF0" w:rsidRDefault="00ED16B1" w:rsidP="006E539B">
      <w:pPr>
        <w:pStyle w:val="ListParagraph"/>
        <w:numPr>
          <w:ilvl w:val="0"/>
          <w:numId w:val="2"/>
        </w:numPr>
        <w:spacing w:after="0" w:line="240" w:lineRule="auto"/>
        <w:ind w:left="0" w:firstLine="0"/>
        <w:jc w:val="both"/>
        <w:rPr>
          <w:rFonts w:ascii="Times New Roman" w:hAnsi="Times New Roman"/>
          <w:noProof/>
          <w:sz w:val="24"/>
          <w:szCs w:val="26"/>
        </w:rPr>
      </w:pPr>
      <w:r w:rsidRPr="003C0DF0">
        <w:rPr>
          <w:rFonts w:ascii="Times New Roman" w:hAnsi="Times New Roman"/>
          <w:noProof/>
          <w:sz w:val="24"/>
        </w:rPr>
        <w:t>Diversification of financial sources for institutions of higher education (Structural Funds, tuition fees, market revenues, external research income);</w:t>
      </w:r>
    </w:p>
    <w:p w14:paraId="59BF5A86" w14:textId="73CE1840" w:rsidR="00ED16B1" w:rsidRPr="003C0DF0" w:rsidRDefault="00ED16B1" w:rsidP="006E539B">
      <w:pPr>
        <w:pStyle w:val="ListParagraph"/>
        <w:numPr>
          <w:ilvl w:val="0"/>
          <w:numId w:val="2"/>
        </w:numPr>
        <w:spacing w:after="0" w:line="240" w:lineRule="auto"/>
        <w:ind w:left="0" w:firstLine="0"/>
        <w:jc w:val="both"/>
        <w:rPr>
          <w:rFonts w:ascii="Times New Roman" w:hAnsi="Times New Roman"/>
          <w:noProof/>
          <w:sz w:val="24"/>
          <w:szCs w:val="26"/>
        </w:rPr>
      </w:pPr>
      <w:r w:rsidRPr="003C0DF0">
        <w:rPr>
          <w:rFonts w:ascii="Times New Roman" w:hAnsi="Times New Roman"/>
          <w:noProof/>
          <w:sz w:val="24"/>
        </w:rPr>
        <w:t>Financial autonomy of institutions of higher education (lump-sum as opposed to line-item allocations, freedom to spend the funds flexibly and build financial reserves, discretion to set salaries);</w:t>
      </w:r>
    </w:p>
    <w:p w14:paraId="5CF2001C" w14:textId="77777777" w:rsidR="006E539B" w:rsidRPr="003C0DF0" w:rsidRDefault="00ED16B1" w:rsidP="006E539B">
      <w:pPr>
        <w:pStyle w:val="ListParagraph"/>
        <w:numPr>
          <w:ilvl w:val="0"/>
          <w:numId w:val="2"/>
        </w:numPr>
        <w:spacing w:after="0" w:line="240" w:lineRule="auto"/>
        <w:ind w:left="0" w:firstLine="0"/>
        <w:jc w:val="both"/>
        <w:rPr>
          <w:rFonts w:ascii="Times New Roman" w:hAnsi="Times New Roman"/>
          <w:noProof/>
          <w:sz w:val="24"/>
          <w:szCs w:val="26"/>
        </w:rPr>
      </w:pPr>
      <w:r w:rsidRPr="003C0DF0">
        <w:rPr>
          <w:rFonts w:ascii="Times New Roman" w:hAnsi="Times New Roman"/>
          <w:noProof/>
          <w:sz w:val="24"/>
        </w:rPr>
        <w:t>Student support system (scholarships, subsidised study places, rotation, tuition fees, loans) (Figure 1).</w:t>
      </w:r>
    </w:p>
    <w:p w14:paraId="51F149E1" w14:textId="77777777" w:rsidR="00EE17B5" w:rsidRDefault="00EE17B5" w:rsidP="00EE17B5">
      <w:pPr>
        <w:spacing w:after="0" w:line="240" w:lineRule="auto"/>
        <w:jc w:val="both"/>
        <w:rPr>
          <w:rFonts w:ascii="Times New Roman" w:hAnsi="Times New Roman"/>
          <w:noProof/>
          <w:sz w:val="24"/>
          <w:szCs w:val="26"/>
        </w:rPr>
      </w:pPr>
    </w:p>
    <w:p w14:paraId="56EE3537" w14:textId="6CF7F04C" w:rsidR="00BB175A" w:rsidRDefault="00BB175A" w:rsidP="00BB175A">
      <w:pPr>
        <w:spacing w:after="0" w:line="240" w:lineRule="auto"/>
        <w:jc w:val="center"/>
        <w:rPr>
          <w:rFonts w:ascii="Times New Roman" w:hAnsi="Times New Roman"/>
          <w:noProof/>
          <w:sz w:val="24"/>
          <w:szCs w:val="26"/>
        </w:rPr>
      </w:pPr>
      <w:r>
        <w:rPr>
          <w:rFonts w:ascii="Times New Roman" w:hAnsi="Times New Roman"/>
          <w:noProof/>
          <w:sz w:val="24"/>
          <w:szCs w:val="26"/>
          <w:lang w:val="lv-LV" w:eastAsia="lv-LV" w:bidi="ar-SA"/>
        </w:rPr>
        <w:drawing>
          <wp:inline distT="0" distB="0" distL="0" distR="0" wp14:anchorId="385B2D70" wp14:editId="07FF6CA7">
            <wp:extent cx="4200525" cy="30003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00525" cy="3000375"/>
                    </a:xfrm>
                    <a:prstGeom prst="rect">
                      <a:avLst/>
                    </a:prstGeom>
                    <a:noFill/>
                    <a:ln>
                      <a:noFill/>
                    </a:ln>
                  </pic:spPr>
                </pic:pic>
              </a:graphicData>
            </a:graphic>
          </wp:inline>
        </w:drawing>
      </w:r>
    </w:p>
    <w:p w14:paraId="0B7C56CD" w14:textId="77777777" w:rsidR="00BB175A" w:rsidRDefault="00BB175A" w:rsidP="00EE17B5">
      <w:pPr>
        <w:spacing w:after="0" w:line="240" w:lineRule="auto"/>
        <w:jc w:val="both"/>
        <w:rPr>
          <w:rFonts w:ascii="Times New Roman" w:hAnsi="Times New Roman"/>
          <w:noProof/>
          <w:sz w:val="24"/>
          <w:szCs w:val="26"/>
        </w:rPr>
      </w:pPr>
    </w:p>
    <w:p w14:paraId="14B5291D" w14:textId="77777777" w:rsidR="00ED16B1" w:rsidRPr="003C0DF0" w:rsidRDefault="00ED16B1" w:rsidP="00D85172">
      <w:pPr>
        <w:spacing w:after="0" w:line="240" w:lineRule="auto"/>
        <w:ind w:firstLine="709"/>
        <w:jc w:val="both"/>
        <w:rPr>
          <w:rFonts w:ascii="Times New Roman" w:hAnsi="Times New Roman"/>
          <w:b/>
          <w:noProof/>
          <w:sz w:val="24"/>
          <w:szCs w:val="24"/>
        </w:rPr>
      </w:pPr>
      <w:r w:rsidRPr="003C0DF0">
        <w:rPr>
          <w:rFonts w:ascii="Times New Roman" w:hAnsi="Times New Roman"/>
          <w:i/>
          <w:noProof/>
          <w:sz w:val="24"/>
        </w:rPr>
        <w:t xml:space="preserve">Figure 1. </w:t>
      </w:r>
      <w:r w:rsidRPr="003C0DF0">
        <w:rPr>
          <w:rFonts w:ascii="Times New Roman" w:hAnsi="Times New Roman"/>
          <w:b/>
          <w:noProof/>
          <w:sz w:val="24"/>
        </w:rPr>
        <w:t>Higher Education Financing Aspects</w:t>
      </w:r>
    </w:p>
    <w:p w14:paraId="46FA1106" w14:textId="77777777" w:rsidR="00EE17B5" w:rsidRDefault="00EE17B5" w:rsidP="006E539B">
      <w:pPr>
        <w:spacing w:after="0" w:line="240" w:lineRule="auto"/>
        <w:jc w:val="both"/>
        <w:rPr>
          <w:rFonts w:ascii="Times New Roman" w:hAnsi="Times New Roman"/>
          <w:b/>
          <w:noProof/>
          <w:sz w:val="24"/>
          <w:szCs w:val="24"/>
        </w:rPr>
      </w:pPr>
    </w:p>
    <w:p w14:paraId="5251D987" w14:textId="77777777" w:rsidR="00BB175A" w:rsidRPr="003C0DF0" w:rsidRDefault="00BB175A" w:rsidP="006E539B">
      <w:pPr>
        <w:spacing w:after="0" w:line="240" w:lineRule="auto"/>
        <w:jc w:val="both"/>
        <w:rPr>
          <w:rFonts w:ascii="Times New Roman" w:hAnsi="Times New Roman"/>
          <w:b/>
          <w:noProof/>
          <w:sz w:val="24"/>
          <w:szCs w:val="24"/>
        </w:rPr>
      </w:pPr>
    </w:p>
    <w:p w14:paraId="04F7064B" w14:textId="198B4917" w:rsidR="00ED16B1" w:rsidRPr="00BB175A" w:rsidRDefault="00EE17B5" w:rsidP="00BB175A">
      <w:pPr>
        <w:pStyle w:val="Heading2"/>
      </w:pPr>
      <w:bookmarkStart w:id="8" w:name="_Toc421550728"/>
      <w:bookmarkStart w:id="9" w:name="_Toc453155032"/>
      <w:r w:rsidRPr="00BB175A">
        <w:t>1.3. Results of the Evaluation of the Higher Education Financing Model</w:t>
      </w:r>
      <w:bookmarkEnd w:id="8"/>
      <w:bookmarkEnd w:id="9"/>
    </w:p>
    <w:p w14:paraId="419AF4E3" w14:textId="77777777" w:rsidR="00EE17B5" w:rsidRPr="003C0DF0" w:rsidRDefault="00EE17B5" w:rsidP="006E539B">
      <w:pPr>
        <w:spacing w:after="0" w:line="240" w:lineRule="auto"/>
        <w:jc w:val="both"/>
        <w:rPr>
          <w:rFonts w:ascii="Times New Roman" w:hAnsi="Times New Roman"/>
          <w:noProof/>
          <w:sz w:val="24"/>
          <w:szCs w:val="26"/>
        </w:rPr>
      </w:pPr>
    </w:p>
    <w:p w14:paraId="13B92D09" w14:textId="77777777" w:rsidR="00ED16B1" w:rsidRPr="003C0DF0" w:rsidRDefault="00ED16B1" w:rsidP="00EE17B5">
      <w:pPr>
        <w:spacing w:after="0" w:line="240" w:lineRule="auto"/>
        <w:ind w:firstLine="709"/>
        <w:jc w:val="both"/>
        <w:rPr>
          <w:rFonts w:ascii="Times New Roman" w:hAnsi="Times New Roman"/>
          <w:noProof/>
          <w:sz w:val="24"/>
          <w:szCs w:val="26"/>
        </w:rPr>
      </w:pPr>
      <w:r w:rsidRPr="003C0DF0">
        <w:rPr>
          <w:rFonts w:ascii="Times New Roman" w:hAnsi="Times New Roman"/>
          <w:noProof/>
          <w:sz w:val="24"/>
        </w:rPr>
        <w:t>According to the Latvian laws and regulations in the field of financing of higher education and research</w:t>
      </w:r>
      <w:r w:rsidRPr="003C0DF0">
        <w:rPr>
          <w:rFonts w:ascii="Times New Roman" w:hAnsi="Times New Roman"/>
          <w:noProof/>
          <w:sz w:val="24"/>
          <w:vertAlign w:val="superscript"/>
        </w:rPr>
        <w:footnoteReference w:id="6"/>
      </w:r>
      <w:r w:rsidRPr="003C0DF0">
        <w:rPr>
          <w:rFonts w:ascii="Times New Roman" w:hAnsi="Times New Roman"/>
          <w:noProof/>
          <w:sz w:val="24"/>
        </w:rPr>
        <w:t xml:space="preserve">, the current financing procedure consists of the following components of State funding: 1) formula funding (basic funding of studies), which is related to the number of study places; 2) performance agreements for preparation of a certain number of specialists and for development of scientific activity; 3) formula funding (basic funding of science) for institutions of higher education, scientific institutions, and scientific institutes established by institutions of higher education; 4) funding to scientific activities through competitions. In the study of the World Bank it was concluded that, although result-oriented elements can be identified in the current system, these mechanisms do not work efficiently. Formula funding that is based on the number of study places has no performance-oriented components. Although the performance agreements, which are concluded between institutions of higher education and the ministry, include certain performance indicators (the number of specialists to be prepared), the agreements have no real effect on the allocation of funding, namely, non-compliance with the agreement provisions does not foresee any effective sanctions. The annual determination of places limits the opportunities of the institutions of higher education to plan preparation of specialists in the long term. The current methodology for calculation of study costs is not clear – what is the purpose of determining the minimum and optimum study cost coefficient and why there are such significant differences between the study costs in breakdown by the field of studies. The study cost coefficients are outdated, and do not reflect the real costs in the fields </w:t>
      </w:r>
      <w:r w:rsidRPr="003C0DF0">
        <w:rPr>
          <w:rFonts w:ascii="Times New Roman" w:hAnsi="Times New Roman"/>
          <w:noProof/>
          <w:sz w:val="24"/>
        </w:rPr>
        <w:lastRenderedPageBreak/>
        <w:t>of studies. Science funding is not linked to the study funding and joint development strategy of institutions of higher education.</w:t>
      </w:r>
    </w:p>
    <w:p w14:paraId="4B7C0D4C" w14:textId="77777777" w:rsidR="00EE17B5" w:rsidRPr="003C0DF0" w:rsidRDefault="00EE17B5" w:rsidP="00EE17B5">
      <w:pPr>
        <w:spacing w:after="0" w:line="240" w:lineRule="auto"/>
        <w:ind w:firstLine="709"/>
        <w:jc w:val="both"/>
        <w:rPr>
          <w:rFonts w:ascii="Times New Roman" w:hAnsi="Times New Roman"/>
          <w:noProof/>
          <w:sz w:val="24"/>
          <w:szCs w:val="26"/>
        </w:rPr>
      </w:pPr>
    </w:p>
    <w:p w14:paraId="7890E729" w14:textId="474D8F21" w:rsidR="006E539B" w:rsidRPr="00BB175A" w:rsidRDefault="00EE17B5" w:rsidP="00BB175A">
      <w:pPr>
        <w:pStyle w:val="Heading3"/>
      </w:pPr>
      <w:bookmarkStart w:id="10" w:name="_Toc421550729"/>
      <w:bookmarkStart w:id="11" w:name="_Toc453155033"/>
      <w:r w:rsidRPr="00BB175A">
        <w:t>1.3.1. Strengths and Weaknesses</w:t>
      </w:r>
      <w:bookmarkEnd w:id="10"/>
      <w:bookmarkEnd w:id="11"/>
    </w:p>
    <w:p w14:paraId="6A332634" w14:textId="77777777" w:rsidR="00EE17B5" w:rsidRPr="003C0DF0" w:rsidRDefault="00EE17B5" w:rsidP="006E539B">
      <w:pPr>
        <w:spacing w:after="0" w:line="240" w:lineRule="auto"/>
        <w:jc w:val="both"/>
        <w:rPr>
          <w:rFonts w:ascii="Times New Roman" w:hAnsi="Times New Roman"/>
          <w:noProof/>
          <w:sz w:val="24"/>
          <w:szCs w:val="26"/>
          <w:shd w:val="clear" w:color="auto" w:fill="FFFFFF"/>
        </w:rPr>
      </w:pPr>
    </w:p>
    <w:p w14:paraId="4D6C423E" w14:textId="27801ACD" w:rsidR="00ED16B1" w:rsidRPr="003C0DF0" w:rsidRDefault="00ED16B1" w:rsidP="00EE17B5">
      <w:pPr>
        <w:spacing w:after="0" w:line="240" w:lineRule="auto"/>
        <w:ind w:firstLine="709"/>
        <w:jc w:val="both"/>
        <w:rPr>
          <w:rFonts w:ascii="Times New Roman" w:hAnsi="Times New Roman"/>
          <w:noProof/>
          <w:sz w:val="24"/>
          <w:szCs w:val="26"/>
          <w:shd w:val="clear" w:color="auto" w:fill="FFFFFF"/>
        </w:rPr>
      </w:pPr>
      <w:r w:rsidRPr="003C0DF0">
        <w:rPr>
          <w:rFonts w:ascii="Times New Roman" w:hAnsi="Times New Roman"/>
          <w:noProof/>
          <w:sz w:val="24"/>
          <w:shd w:val="clear" w:color="auto" w:fill="FFFFFF"/>
        </w:rPr>
        <w:t xml:space="preserve">The World Bank experts have concluded that the current State funding model appears as a mainly input based “one-pillar” model, which does not ensure balance between stability, performance, and orientation towards innovations. The study also shows that the system relies heavily on the Structural Funds of the European Union, in particular in the field of research and development, which cannot be a long-term solution for stable research funding. Concurrently the funding from sectors and other private sources is underdeveloped. The experts point out: “While, in principle, State funding is allocated according to study places, i.e., for educational needs, this is </w:t>
      </w:r>
      <w:r w:rsidRPr="003C0DF0">
        <w:rPr>
          <w:rFonts w:ascii="Times New Roman" w:hAnsi="Times New Roman"/>
          <w:i/>
          <w:noProof/>
          <w:sz w:val="24"/>
          <w:shd w:val="clear" w:color="auto" w:fill="FFFFFF"/>
        </w:rPr>
        <w:t>de-facto</w:t>
      </w:r>
      <w:r w:rsidRPr="003C0DF0">
        <w:rPr>
          <w:rFonts w:ascii="Times New Roman" w:hAnsi="Times New Roman"/>
          <w:noProof/>
          <w:sz w:val="24"/>
          <w:shd w:val="clear" w:color="auto" w:fill="FFFFFF"/>
        </w:rPr>
        <w:t xml:space="preserve"> nearly the only State financing instrument, and thus has to accommodate many competing needs of universities. The small performance-oriented elements, for example, small competitive research funds, are based on the criteria which are not transparent to the stakeholders and thus miss the desired effects. (..) The cost basis for the study places in legislation is outdated, besides universities only receive approximately eighty percent of the determined basic costs.” Summary of the evaluation of the strengths and weaknesses of the Latvian higher education financing model is given in Table 3.</w:t>
      </w:r>
    </w:p>
    <w:p w14:paraId="5A94C18D" w14:textId="77777777" w:rsidR="00EE17B5" w:rsidRPr="003C0DF0" w:rsidRDefault="00EE17B5" w:rsidP="00EE17B5">
      <w:pPr>
        <w:spacing w:after="0" w:line="240" w:lineRule="auto"/>
        <w:ind w:firstLine="709"/>
        <w:jc w:val="both"/>
        <w:rPr>
          <w:rFonts w:ascii="Times New Roman" w:hAnsi="Times New Roman"/>
          <w:noProof/>
          <w:sz w:val="24"/>
          <w:szCs w:val="26"/>
          <w:shd w:val="clear" w:color="auto" w:fill="FFFFFF"/>
        </w:rPr>
      </w:pPr>
    </w:p>
    <w:p w14:paraId="4D3633F1" w14:textId="77777777" w:rsidR="00ED16B1" w:rsidRPr="003C0DF0" w:rsidRDefault="00ED16B1" w:rsidP="00EE17B5">
      <w:pPr>
        <w:spacing w:after="0" w:line="240" w:lineRule="auto"/>
        <w:jc w:val="right"/>
        <w:rPr>
          <w:rFonts w:ascii="Times New Roman" w:hAnsi="Times New Roman"/>
          <w:b/>
          <w:noProof/>
          <w:sz w:val="24"/>
          <w:szCs w:val="24"/>
        </w:rPr>
      </w:pPr>
      <w:r w:rsidRPr="003C0DF0">
        <w:rPr>
          <w:rFonts w:ascii="Times New Roman" w:hAnsi="Times New Roman"/>
          <w:i/>
          <w:noProof/>
          <w:sz w:val="24"/>
        </w:rPr>
        <w:t xml:space="preserve">Table 3. </w:t>
      </w:r>
      <w:r w:rsidRPr="003C0DF0">
        <w:rPr>
          <w:rFonts w:ascii="Times New Roman" w:hAnsi="Times New Roman"/>
          <w:b/>
          <w:noProof/>
          <w:sz w:val="24"/>
        </w:rPr>
        <w:t>Evaluation of the Latvian Higher Education Financing Model</w:t>
      </w:r>
    </w:p>
    <w:p w14:paraId="17D22447" w14:textId="77777777" w:rsidR="00EE17B5" w:rsidRPr="003C0DF0" w:rsidRDefault="00EE17B5" w:rsidP="006E539B">
      <w:pPr>
        <w:spacing w:after="0" w:line="240" w:lineRule="auto"/>
        <w:jc w:val="both"/>
        <w:rPr>
          <w:rFonts w:ascii="Times New Roman" w:hAnsi="Times New Roman"/>
          <w:b/>
          <w:noProof/>
          <w:sz w:val="24"/>
          <w:szCs w:val="24"/>
        </w:rPr>
      </w:pPr>
    </w:p>
    <w:tbl>
      <w:tblPr>
        <w:tblW w:w="5000" w:type="pct"/>
        <w:tblCellMar>
          <w:left w:w="40" w:type="dxa"/>
          <w:right w:w="40" w:type="dxa"/>
        </w:tblCellMar>
        <w:tblLook w:val="0000" w:firstRow="0" w:lastRow="0" w:firstColumn="0" w:lastColumn="0" w:noHBand="0" w:noVBand="0"/>
      </w:tblPr>
      <w:tblGrid>
        <w:gridCol w:w="4618"/>
        <w:gridCol w:w="11"/>
        <w:gridCol w:w="4426"/>
      </w:tblGrid>
      <w:tr w:rsidR="00ED16B1" w:rsidRPr="003C0DF0" w14:paraId="3875B5D0" w14:textId="77777777" w:rsidTr="00BB175A">
        <w:tc>
          <w:tcPr>
            <w:tcW w:w="2556" w:type="pct"/>
            <w:gridSpan w:val="2"/>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33738236" w14:textId="77777777" w:rsidR="00ED16B1" w:rsidRPr="003C0DF0" w:rsidRDefault="00ED16B1" w:rsidP="00EE17B5">
            <w:pPr>
              <w:pStyle w:val="Style13"/>
              <w:widowControl/>
              <w:jc w:val="center"/>
              <w:rPr>
                <w:rFonts w:ascii="Times New Roman" w:hAnsi="Times New Roman"/>
                <w:b/>
                <w:noProof/>
              </w:rPr>
            </w:pPr>
            <w:r w:rsidRPr="003C0DF0">
              <w:rPr>
                <w:rFonts w:ascii="Times New Roman" w:hAnsi="Times New Roman"/>
                <w:b/>
                <w:noProof/>
              </w:rPr>
              <w:t>STRENGTHS</w:t>
            </w:r>
          </w:p>
        </w:tc>
        <w:tc>
          <w:tcPr>
            <w:tcW w:w="2444" w:type="pct"/>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73C67A67" w14:textId="77777777" w:rsidR="00ED16B1" w:rsidRPr="003C0DF0" w:rsidRDefault="00ED16B1" w:rsidP="00EE17B5">
            <w:pPr>
              <w:pStyle w:val="Style13"/>
              <w:widowControl/>
              <w:jc w:val="center"/>
              <w:rPr>
                <w:rFonts w:ascii="Times New Roman" w:hAnsi="Times New Roman"/>
                <w:b/>
                <w:noProof/>
              </w:rPr>
            </w:pPr>
            <w:r w:rsidRPr="003C0DF0">
              <w:rPr>
                <w:rFonts w:ascii="Times New Roman" w:hAnsi="Times New Roman"/>
                <w:b/>
                <w:noProof/>
              </w:rPr>
              <w:t>WEAKNESSES</w:t>
            </w:r>
          </w:p>
          <w:p w14:paraId="71572D67" w14:textId="77777777" w:rsidR="00EE17B5" w:rsidRPr="003C0DF0" w:rsidRDefault="00EE17B5" w:rsidP="00EE17B5">
            <w:pPr>
              <w:pStyle w:val="Style13"/>
              <w:widowControl/>
              <w:jc w:val="center"/>
              <w:rPr>
                <w:rFonts w:ascii="Times New Roman" w:hAnsi="Times New Roman"/>
                <w:b/>
                <w:noProof/>
              </w:rPr>
            </w:pPr>
          </w:p>
        </w:tc>
      </w:tr>
      <w:tr w:rsidR="00ED16B1" w:rsidRPr="003C0DF0" w14:paraId="4A03A228" w14:textId="77777777" w:rsidTr="00BB175A">
        <w:tc>
          <w:tcPr>
            <w:tcW w:w="5000" w:type="pct"/>
            <w:gridSpan w:val="3"/>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16CCCDE6" w14:textId="5CB583D3" w:rsidR="00521EDB" w:rsidRPr="003C0DF0" w:rsidRDefault="00ED16B1" w:rsidP="00BB175A">
            <w:pPr>
              <w:pStyle w:val="Style12"/>
              <w:widowControl/>
              <w:jc w:val="center"/>
              <w:rPr>
                <w:rFonts w:ascii="Times New Roman" w:hAnsi="Times New Roman"/>
                <w:b/>
                <w:i/>
                <w:noProof/>
              </w:rPr>
            </w:pPr>
            <w:r w:rsidRPr="003C0DF0">
              <w:rPr>
                <w:rFonts w:ascii="Times New Roman" w:hAnsi="Times New Roman"/>
                <w:b/>
                <w:i/>
                <w:noProof/>
              </w:rPr>
              <w:t>Context: strategic orientation</w:t>
            </w:r>
          </w:p>
        </w:tc>
      </w:tr>
      <w:tr w:rsidR="00ED16B1" w:rsidRPr="003C0DF0" w14:paraId="01A78FC6" w14:textId="77777777" w:rsidTr="00BB175A">
        <w:tc>
          <w:tcPr>
            <w:tcW w:w="2556" w:type="pct"/>
            <w:gridSpan w:val="2"/>
            <w:tcBorders>
              <w:top w:val="single" w:sz="6" w:space="0" w:color="auto"/>
              <w:left w:val="single" w:sz="6" w:space="0" w:color="auto"/>
              <w:bottom w:val="single" w:sz="6" w:space="0" w:color="auto"/>
              <w:right w:val="single" w:sz="6" w:space="0" w:color="auto"/>
            </w:tcBorders>
            <w:shd w:val="clear" w:color="auto" w:fill="auto"/>
          </w:tcPr>
          <w:p w14:paraId="0870BBD1" w14:textId="77777777" w:rsidR="00ED16B1" w:rsidRPr="003C0DF0" w:rsidRDefault="00ED16B1" w:rsidP="00BB175A">
            <w:pPr>
              <w:pStyle w:val="Style11"/>
              <w:widowControl/>
              <w:numPr>
                <w:ilvl w:val="0"/>
                <w:numId w:val="6"/>
              </w:numPr>
              <w:ind w:left="0" w:firstLine="0"/>
              <w:rPr>
                <w:rFonts w:ascii="Times New Roman" w:hAnsi="Times New Roman"/>
                <w:noProof/>
              </w:rPr>
            </w:pPr>
            <w:r w:rsidRPr="003C0DF0">
              <w:rPr>
                <w:rFonts w:ascii="Times New Roman" w:hAnsi="Times New Roman"/>
                <w:noProof/>
              </w:rPr>
              <w:t>Diverse system of HE (many institutions, niche players, different profiles, public/private);</w:t>
            </w:r>
          </w:p>
          <w:p w14:paraId="67E1E7E3" w14:textId="77777777" w:rsidR="00ED16B1" w:rsidRPr="003C0DF0" w:rsidRDefault="00ED16B1" w:rsidP="00BB175A">
            <w:pPr>
              <w:pStyle w:val="Style8"/>
              <w:widowControl/>
              <w:numPr>
                <w:ilvl w:val="0"/>
                <w:numId w:val="6"/>
              </w:numPr>
              <w:ind w:left="0" w:firstLine="0"/>
              <w:rPr>
                <w:rFonts w:ascii="Times New Roman" w:hAnsi="Times New Roman"/>
                <w:noProof/>
              </w:rPr>
            </w:pPr>
            <w:r w:rsidRPr="003C0DF0">
              <w:rPr>
                <w:rFonts w:ascii="Times New Roman" w:hAnsi="Times New Roman"/>
                <w:noProof/>
              </w:rPr>
              <w:t>Substantial number of private IHE;</w:t>
            </w:r>
          </w:p>
          <w:p w14:paraId="6089DAB0" w14:textId="77777777" w:rsidR="00ED16B1" w:rsidRPr="003C0DF0" w:rsidRDefault="00ED16B1" w:rsidP="00BB175A">
            <w:pPr>
              <w:pStyle w:val="Style8"/>
              <w:widowControl/>
              <w:numPr>
                <w:ilvl w:val="0"/>
                <w:numId w:val="6"/>
              </w:numPr>
              <w:ind w:left="0" w:firstLine="0"/>
              <w:rPr>
                <w:rFonts w:ascii="Times New Roman" w:hAnsi="Times New Roman"/>
                <w:noProof/>
              </w:rPr>
            </w:pPr>
            <w:r w:rsidRPr="003C0DF0">
              <w:rPr>
                <w:rFonts w:ascii="Times New Roman" w:hAnsi="Times New Roman"/>
                <w:noProof/>
              </w:rPr>
              <w:t>Start-up of quality assurance for study programmes and research institutes;</w:t>
            </w:r>
          </w:p>
          <w:p w14:paraId="23976902" w14:textId="77777777" w:rsidR="00ED16B1" w:rsidRPr="003C0DF0" w:rsidRDefault="00ED16B1" w:rsidP="00BB175A">
            <w:pPr>
              <w:pStyle w:val="Style8"/>
              <w:widowControl/>
              <w:numPr>
                <w:ilvl w:val="0"/>
                <w:numId w:val="6"/>
              </w:numPr>
              <w:ind w:left="0" w:firstLine="0"/>
              <w:rPr>
                <w:rFonts w:ascii="Times New Roman" w:hAnsi="Times New Roman"/>
                <w:noProof/>
              </w:rPr>
            </w:pPr>
            <w:r w:rsidRPr="003C0DF0">
              <w:rPr>
                <w:rFonts w:ascii="Times New Roman" w:hAnsi="Times New Roman"/>
                <w:noProof/>
              </w:rPr>
              <w:t>Research institutes with a larger critical mass of material and technical and human resources and a clear operational focus;</w:t>
            </w:r>
          </w:p>
          <w:p w14:paraId="02A427C1" w14:textId="77777777" w:rsidR="00ED16B1" w:rsidRPr="003C0DF0" w:rsidRDefault="00ED16B1" w:rsidP="00BB175A">
            <w:pPr>
              <w:pStyle w:val="Style8"/>
              <w:widowControl/>
              <w:numPr>
                <w:ilvl w:val="0"/>
                <w:numId w:val="6"/>
              </w:numPr>
              <w:ind w:left="0" w:firstLine="0"/>
              <w:rPr>
                <w:rFonts w:ascii="Times New Roman" w:hAnsi="Times New Roman"/>
                <w:noProof/>
              </w:rPr>
            </w:pPr>
            <w:r w:rsidRPr="003C0DF0">
              <w:rPr>
                <w:rFonts w:ascii="Times New Roman" w:hAnsi="Times New Roman"/>
                <w:noProof/>
              </w:rPr>
              <w:t>Large number of young people who acquire HE;</w:t>
            </w:r>
          </w:p>
          <w:p w14:paraId="6E95C92A" w14:textId="77777777" w:rsidR="00ED16B1" w:rsidRPr="003C0DF0" w:rsidRDefault="00ED16B1" w:rsidP="00BB175A">
            <w:pPr>
              <w:pStyle w:val="Style8"/>
              <w:widowControl/>
              <w:numPr>
                <w:ilvl w:val="0"/>
                <w:numId w:val="6"/>
              </w:numPr>
              <w:ind w:left="0" w:firstLine="0"/>
              <w:rPr>
                <w:rFonts w:ascii="Times New Roman" w:hAnsi="Times New Roman"/>
                <w:noProof/>
              </w:rPr>
            </w:pPr>
            <w:r w:rsidRPr="003C0DF0">
              <w:rPr>
                <w:rFonts w:ascii="Times New Roman" w:hAnsi="Times New Roman"/>
                <w:noProof/>
              </w:rPr>
              <w:t>High employment rate and high rate of return on HE;</w:t>
            </w:r>
          </w:p>
          <w:p w14:paraId="035336FE" w14:textId="36A305CB" w:rsidR="00ED16B1" w:rsidRPr="003C0DF0" w:rsidRDefault="00ED16B1" w:rsidP="00BB175A">
            <w:pPr>
              <w:pStyle w:val="Style8"/>
              <w:widowControl/>
              <w:numPr>
                <w:ilvl w:val="0"/>
                <w:numId w:val="6"/>
              </w:numPr>
              <w:ind w:left="0" w:firstLine="0"/>
              <w:rPr>
                <w:rFonts w:ascii="Times New Roman" w:hAnsi="Times New Roman"/>
                <w:noProof/>
              </w:rPr>
            </w:pPr>
            <w:r w:rsidRPr="003C0DF0">
              <w:rPr>
                <w:rFonts w:ascii="Times New Roman" w:hAnsi="Times New Roman"/>
                <w:noProof/>
              </w:rPr>
              <w:t>Functioning data monitoring system (including performance and financial data);</w:t>
            </w:r>
          </w:p>
          <w:p w14:paraId="2A715384" w14:textId="77777777" w:rsidR="00ED16B1" w:rsidRPr="003C0DF0" w:rsidRDefault="00ED16B1" w:rsidP="00BB175A">
            <w:pPr>
              <w:pStyle w:val="Style8"/>
              <w:widowControl/>
              <w:numPr>
                <w:ilvl w:val="0"/>
                <w:numId w:val="6"/>
              </w:numPr>
              <w:ind w:left="0" w:firstLine="0"/>
              <w:rPr>
                <w:rFonts w:ascii="Times New Roman" w:hAnsi="Times New Roman"/>
                <w:noProof/>
              </w:rPr>
            </w:pPr>
            <w:r w:rsidRPr="003C0DF0">
              <w:rPr>
                <w:rFonts w:ascii="Times New Roman" w:hAnsi="Times New Roman"/>
                <w:noProof/>
              </w:rPr>
              <w:t>High adaptability of the system and IHE demonstrated in times of economic crisis;</w:t>
            </w:r>
          </w:p>
          <w:p w14:paraId="589DACFF" w14:textId="77777777" w:rsidR="00ED16B1" w:rsidRPr="003C0DF0" w:rsidRDefault="00ED16B1" w:rsidP="00BB175A">
            <w:pPr>
              <w:pStyle w:val="Style4"/>
              <w:widowControl/>
              <w:numPr>
                <w:ilvl w:val="0"/>
                <w:numId w:val="6"/>
              </w:numPr>
              <w:ind w:left="0" w:firstLine="0"/>
              <w:rPr>
                <w:rFonts w:ascii="Times New Roman" w:hAnsi="Times New Roman"/>
                <w:noProof/>
              </w:rPr>
            </w:pPr>
            <w:r w:rsidRPr="003C0DF0">
              <w:rPr>
                <w:rFonts w:ascii="Times New Roman" w:hAnsi="Times New Roman"/>
                <w:noProof/>
              </w:rPr>
              <w:t>MoES and sectoral ministries are multiple voices for the interests of IHE.</w:t>
            </w:r>
          </w:p>
        </w:tc>
        <w:tc>
          <w:tcPr>
            <w:tcW w:w="2444" w:type="pct"/>
            <w:tcBorders>
              <w:top w:val="single" w:sz="6" w:space="0" w:color="auto"/>
              <w:left w:val="single" w:sz="6" w:space="0" w:color="auto"/>
              <w:bottom w:val="single" w:sz="6" w:space="0" w:color="auto"/>
              <w:right w:val="single" w:sz="6" w:space="0" w:color="auto"/>
            </w:tcBorders>
            <w:shd w:val="clear" w:color="auto" w:fill="auto"/>
          </w:tcPr>
          <w:p w14:paraId="34028C67" w14:textId="77777777" w:rsidR="00ED16B1" w:rsidRPr="003C0DF0" w:rsidRDefault="00ED16B1" w:rsidP="00BB175A">
            <w:pPr>
              <w:pStyle w:val="Style11"/>
              <w:widowControl/>
              <w:numPr>
                <w:ilvl w:val="0"/>
                <w:numId w:val="6"/>
              </w:numPr>
              <w:ind w:left="0" w:firstLine="0"/>
              <w:rPr>
                <w:rFonts w:ascii="Times New Roman" w:hAnsi="Times New Roman"/>
                <w:noProof/>
              </w:rPr>
            </w:pPr>
            <w:r w:rsidRPr="003C0DF0">
              <w:rPr>
                <w:rFonts w:ascii="Times New Roman" w:hAnsi="Times New Roman"/>
                <w:noProof/>
              </w:rPr>
              <w:t>Apparently low political priority given to HE and science (taking into account low spending on HE, R&amp;D);</w:t>
            </w:r>
          </w:p>
          <w:p w14:paraId="60D1161F" w14:textId="77777777" w:rsidR="00ED16B1" w:rsidRPr="003C0DF0" w:rsidRDefault="00ED16B1" w:rsidP="00BB175A">
            <w:pPr>
              <w:pStyle w:val="Style8"/>
              <w:widowControl/>
              <w:numPr>
                <w:ilvl w:val="0"/>
                <w:numId w:val="6"/>
              </w:numPr>
              <w:ind w:left="0" w:firstLine="0"/>
              <w:rPr>
                <w:rFonts w:ascii="Times New Roman" w:hAnsi="Times New Roman"/>
                <w:noProof/>
              </w:rPr>
            </w:pPr>
            <w:r w:rsidRPr="003C0DF0">
              <w:rPr>
                <w:rFonts w:ascii="Times New Roman" w:hAnsi="Times New Roman"/>
                <w:noProof/>
              </w:rPr>
              <w:t>Inconsistent policy measures and blocking of political reform because of polarised discussions (public vs. private benefit);</w:t>
            </w:r>
          </w:p>
          <w:p w14:paraId="504A80C6" w14:textId="77777777" w:rsidR="00ED16B1" w:rsidRPr="003C0DF0" w:rsidRDefault="00ED16B1" w:rsidP="00BB175A">
            <w:pPr>
              <w:pStyle w:val="Style8"/>
              <w:widowControl/>
              <w:numPr>
                <w:ilvl w:val="0"/>
                <w:numId w:val="6"/>
              </w:numPr>
              <w:ind w:left="0" w:firstLine="0"/>
              <w:rPr>
                <w:rFonts w:ascii="Times New Roman" w:hAnsi="Times New Roman"/>
                <w:noProof/>
              </w:rPr>
            </w:pPr>
            <w:r w:rsidRPr="003C0DF0">
              <w:rPr>
                <w:rFonts w:ascii="Times New Roman" w:hAnsi="Times New Roman"/>
                <w:noProof/>
              </w:rPr>
              <w:t>Fragmentation of study programmes;</w:t>
            </w:r>
          </w:p>
          <w:p w14:paraId="553AF9C7" w14:textId="77777777" w:rsidR="00ED16B1" w:rsidRPr="003C0DF0" w:rsidRDefault="00ED16B1" w:rsidP="00BB175A">
            <w:pPr>
              <w:pStyle w:val="Style8"/>
              <w:widowControl/>
              <w:numPr>
                <w:ilvl w:val="0"/>
                <w:numId w:val="6"/>
              </w:numPr>
              <w:ind w:left="0" w:firstLine="0"/>
              <w:rPr>
                <w:rFonts w:ascii="Times New Roman" w:hAnsi="Times New Roman"/>
                <w:noProof/>
              </w:rPr>
            </w:pPr>
            <w:r w:rsidRPr="003C0DF0">
              <w:rPr>
                <w:rFonts w:ascii="Times New Roman" w:hAnsi="Times New Roman"/>
                <w:noProof/>
              </w:rPr>
              <w:t>Tendency to study abroad;</w:t>
            </w:r>
          </w:p>
          <w:p w14:paraId="528D3CEE" w14:textId="77777777" w:rsidR="00ED16B1" w:rsidRPr="003C0DF0" w:rsidRDefault="00ED16B1" w:rsidP="00BB175A">
            <w:pPr>
              <w:pStyle w:val="Style8"/>
              <w:widowControl/>
              <w:numPr>
                <w:ilvl w:val="0"/>
                <w:numId w:val="6"/>
              </w:numPr>
              <w:ind w:left="0" w:firstLine="0"/>
              <w:rPr>
                <w:rFonts w:ascii="Times New Roman" w:hAnsi="Times New Roman"/>
                <w:noProof/>
              </w:rPr>
            </w:pPr>
            <w:r w:rsidRPr="003C0DF0">
              <w:rPr>
                <w:rFonts w:ascii="Times New Roman" w:hAnsi="Times New Roman"/>
                <w:noProof/>
              </w:rPr>
              <w:t>Unclear human resources policy, with opportunities to have more than one job;</w:t>
            </w:r>
          </w:p>
          <w:p w14:paraId="0F67570C" w14:textId="77777777" w:rsidR="00ED16B1" w:rsidRPr="003C0DF0" w:rsidRDefault="00ED16B1" w:rsidP="00BB175A">
            <w:pPr>
              <w:pStyle w:val="Style8"/>
              <w:widowControl/>
              <w:numPr>
                <w:ilvl w:val="0"/>
                <w:numId w:val="6"/>
              </w:numPr>
              <w:ind w:left="0" w:firstLine="0"/>
              <w:rPr>
                <w:rFonts w:ascii="Times New Roman" w:hAnsi="Times New Roman"/>
                <w:noProof/>
              </w:rPr>
            </w:pPr>
            <w:r w:rsidRPr="003C0DF0">
              <w:rPr>
                <w:rFonts w:ascii="Times New Roman" w:hAnsi="Times New Roman"/>
                <w:noProof/>
              </w:rPr>
              <w:t>High teaching load for personnel, little time for research;</w:t>
            </w:r>
          </w:p>
          <w:p w14:paraId="0A832002" w14:textId="77777777" w:rsidR="00ED16B1" w:rsidRPr="003C0DF0" w:rsidRDefault="00ED16B1" w:rsidP="00BB175A">
            <w:pPr>
              <w:pStyle w:val="Style8"/>
              <w:widowControl/>
              <w:numPr>
                <w:ilvl w:val="0"/>
                <w:numId w:val="6"/>
              </w:numPr>
              <w:ind w:left="0" w:firstLine="0"/>
              <w:rPr>
                <w:rFonts w:ascii="Times New Roman" w:hAnsi="Times New Roman"/>
                <w:noProof/>
              </w:rPr>
            </w:pPr>
            <w:r w:rsidRPr="003C0DF0">
              <w:rPr>
                <w:rFonts w:ascii="Times New Roman" w:hAnsi="Times New Roman"/>
                <w:noProof/>
              </w:rPr>
              <w:t>Quality assurance for teaching and research only in start-up phase;</w:t>
            </w:r>
          </w:p>
          <w:p w14:paraId="636FAC7D" w14:textId="77777777" w:rsidR="00ED16B1" w:rsidRPr="003C0DF0" w:rsidRDefault="00ED16B1" w:rsidP="00BB175A">
            <w:pPr>
              <w:pStyle w:val="Style8"/>
              <w:widowControl/>
              <w:numPr>
                <w:ilvl w:val="0"/>
                <w:numId w:val="6"/>
              </w:numPr>
              <w:ind w:left="0" w:firstLine="0"/>
              <w:rPr>
                <w:rFonts w:ascii="Times New Roman" w:hAnsi="Times New Roman"/>
                <w:noProof/>
              </w:rPr>
            </w:pPr>
            <w:r w:rsidRPr="003C0DF0">
              <w:rPr>
                <w:rFonts w:ascii="Times New Roman" w:hAnsi="Times New Roman"/>
                <w:noProof/>
              </w:rPr>
              <w:t>Many graduates seeking employment abroad;</w:t>
            </w:r>
          </w:p>
          <w:p w14:paraId="4E39275A" w14:textId="77777777" w:rsidR="00ED16B1" w:rsidRPr="003C0DF0" w:rsidRDefault="00ED16B1" w:rsidP="00BB175A">
            <w:pPr>
              <w:pStyle w:val="Style4"/>
              <w:widowControl/>
              <w:numPr>
                <w:ilvl w:val="0"/>
                <w:numId w:val="6"/>
              </w:numPr>
              <w:ind w:left="0" w:firstLine="0"/>
              <w:rPr>
                <w:rFonts w:ascii="Times New Roman" w:hAnsi="Times New Roman"/>
                <w:noProof/>
              </w:rPr>
            </w:pPr>
            <w:r w:rsidRPr="003C0DF0">
              <w:rPr>
                <w:rFonts w:ascii="Times New Roman" w:hAnsi="Times New Roman"/>
                <w:noProof/>
              </w:rPr>
              <w:t>No clear balance between consolidation and competition.</w:t>
            </w:r>
          </w:p>
        </w:tc>
      </w:tr>
      <w:tr w:rsidR="00ED16B1" w:rsidRPr="003C0DF0" w14:paraId="7774FDAA" w14:textId="77777777" w:rsidTr="00BB175A">
        <w:tc>
          <w:tcPr>
            <w:tcW w:w="5000" w:type="pct"/>
            <w:gridSpan w:val="3"/>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14435DDF" w14:textId="3A8F0CDF" w:rsidR="00521EDB" w:rsidRPr="003C0DF0" w:rsidRDefault="00ED16B1" w:rsidP="00BB175A">
            <w:pPr>
              <w:pStyle w:val="Style12"/>
              <w:widowControl/>
              <w:jc w:val="center"/>
              <w:rPr>
                <w:rFonts w:ascii="Times New Roman" w:hAnsi="Times New Roman"/>
                <w:b/>
                <w:i/>
                <w:noProof/>
              </w:rPr>
            </w:pPr>
            <w:r w:rsidRPr="003C0DF0">
              <w:rPr>
                <w:rFonts w:ascii="Times New Roman" w:hAnsi="Times New Roman"/>
                <w:b/>
                <w:i/>
                <w:noProof/>
              </w:rPr>
              <w:t>Financing: Incentive Orientation</w:t>
            </w:r>
          </w:p>
        </w:tc>
      </w:tr>
      <w:tr w:rsidR="00ED16B1" w:rsidRPr="003C0DF0" w14:paraId="186E49C1" w14:textId="77777777" w:rsidTr="00BB175A">
        <w:tc>
          <w:tcPr>
            <w:tcW w:w="2550" w:type="pct"/>
            <w:tcBorders>
              <w:top w:val="single" w:sz="6" w:space="0" w:color="auto"/>
              <w:left w:val="single" w:sz="6" w:space="0" w:color="auto"/>
              <w:bottom w:val="single" w:sz="6" w:space="0" w:color="auto"/>
              <w:right w:val="single" w:sz="6" w:space="0" w:color="auto"/>
            </w:tcBorders>
            <w:shd w:val="clear" w:color="auto" w:fill="auto"/>
          </w:tcPr>
          <w:p w14:paraId="5E345D4D" w14:textId="77777777" w:rsidR="00ED16B1" w:rsidRPr="003C0DF0" w:rsidRDefault="00ED16B1" w:rsidP="00BB175A">
            <w:pPr>
              <w:pStyle w:val="Style8"/>
              <w:widowControl/>
              <w:numPr>
                <w:ilvl w:val="0"/>
                <w:numId w:val="7"/>
              </w:numPr>
              <w:ind w:left="0" w:firstLine="0"/>
              <w:rPr>
                <w:rFonts w:ascii="Times New Roman" w:hAnsi="Times New Roman"/>
                <w:noProof/>
              </w:rPr>
            </w:pPr>
            <w:r w:rsidRPr="003C0DF0">
              <w:rPr>
                <w:rFonts w:ascii="Times New Roman" w:hAnsi="Times New Roman"/>
                <w:noProof/>
              </w:rPr>
              <w:t>Study places allow national planning according to the needs of the labour market;</w:t>
            </w:r>
          </w:p>
          <w:p w14:paraId="19EC42D8" w14:textId="77777777" w:rsidR="00ED16B1" w:rsidRPr="003C0DF0" w:rsidRDefault="00ED16B1" w:rsidP="00BB175A">
            <w:pPr>
              <w:pStyle w:val="Style8"/>
              <w:widowControl/>
              <w:numPr>
                <w:ilvl w:val="0"/>
                <w:numId w:val="7"/>
              </w:numPr>
              <w:ind w:left="0" w:firstLine="0"/>
              <w:rPr>
                <w:rFonts w:ascii="Times New Roman" w:hAnsi="Times New Roman"/>
                <w:noProof/>
              </w:rPr>
            </w:pPr>
            <w:r w:rsidRPr="003C0DF0">
              <w:rPr>
                <w:rFonts w:ascii="Times New Roman" w:hAnsi="Times New Roman"/>
                <w:noProof/>
              </w:rPr>
              <w:t>Study places offered on the basis of merit, including rotation possibilities that stimulate competition;</w:t>
            </w:r>
          </w:p>
          <w:p w14:paraId="17CD1337" w14:textId="1B99303F" w:rsidR="00ED16B1" w:rsidRPr="003C0DF0" w:rsidRDefault="00ED16B1" w:rsidP="00BB175A">
            <w:pPr>
              <w:pStyle w:val="Style8"/>
              <w:widowControl/>
              <w:numPr>
                <w:ilvl w:val="0"/>
                <w:numId w:val="7"/>
              </w:numPr>
              <w:ind w:left="0" w:firstLine="0"/>
              <w:rPr>
                <w:rFonts w:ascii="Times New Roman" w:hAnsi="Times New Roman"/>
                <w:noProof/>
              </w:rPr>
            </w:pPr>
            <w:r w:rsidRPr="003C0DF0">
              <w:rPr>
                <w:rFonts w:ascii="Times New Roman" w:hAnsi="Times New Roman"/>
                <w:noProof/>
              </w:rPr>
              <w:lastRenderedPageBreak/>
              <w:t>EU Structural Funds for research allocated with some element of competition;</w:t>
            </w:r>
          </w:p>
          <w:p w14:paraId="3166E80B" w14:textId="77777777" w:rsidR="00ED16B1" w:rsidRPr="003C0DF0" w:rsidRDefault="00ED16B1" w:rsidP="00BB175A">
            <w:pPr>
              <w:pStyle w:val="Style8"/>
              <w:widowControl/>
              <w:numPr>
                <w:ilvl w:val="0"/>
                <w:numId w:val="7"/>
              </w:numPr>
              <w:ind w:left="0" w:firstLine="0"/>
              <w:rPr>
                <w:rFonts w:ascii="Times New Roman" w:hAnsi="Times New Roman"/>
                <w:noProof/>
              </w:rPr>
            </w:pPr>
            <w:r w:rsidRPr="003C0DF0">
              <w:rPr>
                <w:rFonts w:ascii="Times New Roman" w:hAnsi="Times New Roman"/>
                <w:noProof/>
              </w:rPr>
              <w:t>Many paying students are attracted (willingness to pay/additional resources for IHE);</w:t>
            </w:r>
          </w:p>
          <w:p w14:paraId="53E0B746" w14:textId="77777777" w:rsidR="00ED16B1" w:rsidRPr="003C0DF0" w:rsidRDefault="00ED16B1" w:rsidP="00BB175A">
            <w:pPr>
              <w:pStyle w:val="Style8"/>
              <w:widowControl/>
              <w:numPr>
                <w:ilvl w:val="0"/>
                <w:numId w:val="7"/>
              </w:numPr>
              <w:ind w:left="0" w:firstLine="0"/>
              <w:rPr>
                <w:rFonts w:ascii="Times New Roman" w:hAnsi="Times New Roman"/>
                <w:noProof/>
              </w:rPr>
            </w:pPr>
            <w:r w:rsidRPr="003C0DF0">
              <w:rPr>
                <w:rFonts w:ascii="Times New Roman" w:hAnsi="Times New Roman"/>
                <w:noProof/>
              </w:rPr>
              <w:t>Existence of performance agreements between IHE and the MoES.</w:t>
            </w:r>
          </w:p>
        </w:tc>
        <w:tc>
          <w:tcPr>
            <w:tcW w:w="2450" w:type="pct"/>
            <w:gridSpan w:val="2"/>
            <w:tcBorders>
              <w:top w:val="single" w:sz="6" w:space="0" w:color="auto"/>
              <w:left w:val="single" w:sz="6" w:space="0" w:color="auto"/>
              <w:bottom w:val="single" w:sz="6" w:space="0" w:color="auto"/>
              <w:right w:val="single" w:sz="6" w:space="0" w:color="auto"/>
            </w:tcBorders>
            <w:shd w:val="clear" w:color="auto" w:fill="auto"/>
          </w:tcPr>
          <w:p w14:paraId="6EE3EAFE" w14:textId="77777777" w:rsidR="00ED16B1" w:rsidRPr="003C0DF0" w:rsidRDefault="00ED16B1" w:rsidP="00BB175A">
            <w:pPr>
              <w:pStyle w:val="Style8"/>
              <w:widowControl/>
              <w:numPr>
                <w:ilvl w:val="0"/>
                <w:numId w:val="7"/>
              </w:numPr>
              <w:ind w:left="0" w:firstLine="0"/>
              <w:rPr>
                <w:rFonts w:ascii="Times New Roman" w:hAnsi="Times New Roman"/>
                <w:noProof/>
              </w:rPr>
            </w:pPr>
            <w:r w:rsidRPr="003C0DF0">
              <w:rPr>
                <w:rFonts w:ascii="Times New Roman" w:hAnsi="Times New Roman"/>
                <w:noProof/>
              </w:rPr>
              <w:lastRenderedPageBreak/>
              <w:t>One-pillar model, which is based on the State funding for study places instead of a several pillar model with balanced functions;</w:t>
            </w:r>
          </w:p>
          <w:p w14:paraId="38BB0810" w14:textId="77777777" w:rsidR="00ED16B1" w:rsidRPr="003C0DF0" w:rsidRDefault="00ED16B1" w:rsidP="00BB175A">
            <w:pPr>
              <w:pStyle w:val="Style8"/>
              <w:widowControl/>
              <w:numPr>
                <w:ilvl w:val="0"/>
                <w:numId w:val="7"/>
              </w:numPr>
              <w:ind w:left="0" w:firstLine="0"/>
              <w:rPr>
                <w:rFonts w:ascii="Times New Roman" w:hAnsi="Times New Roman"/>
                <w:noProof/>
              </w:rPr>
            </w:pPr>
            <w:r w:rsidRPr="003C0DF0">
              <w:rPr>
                <w:rFonts w:ascii="Times New Roman" w:hAnsi="Times New Roman"/>
                <w:noProof/>
              </w:rPr>
              <w:lastRenderedPageBreak/>
              <w:t>No real performance orientation in State funding, hence also weak links to national and institutional strategies;</w:t>
            </w:r>
          </w:p>
          <w:p w14:paraId="7A3115F7" w14:textId="77777777" w:rsidR="00ED16B1" w:rsidRPr="003C0DF0" w:rsidRDefault="00ED16B1" w:rsidP="00BB175A">
            <w:pPr>
              <w:pStyle w:val="Style8"/>
              <w:widowControl/>
              <w:numPr>
                <w:ilvl w:val="0"/>
                <w:numId w:val="7"/>
              </w:numPr>
              <w:ind w:left="0" w:firstLine="0"/>
              <w:rPr>
                <w:rFonts w:ascii="Times New Roman" w:hAnsi="Times New Roman"/>
                <w:noProof/>
              </w:rPr>
            </w:pPr>
            <w:r w:rsidRPr="003C0DF0">
              <w:rPr>
                <w:rFonts w:ascii="Times New Roman" w:hAnsi="Times New Roman"/>
                <w:noProof/>
              </w:rPr>
              <w:t>Lack of funding for innovative initiatives;</w:t>
            </w:r>
          </w:p>
          <w:p w14:paraId="4824A1DC" w14:textId="77777777" w:rsidR="00ED16B1" w:rsidRPr="003C0DF0" w:rsidRDefault="00ED16B1" w:rsidP="00BB175A">
            <w:pPr>
              <w:pStyle w:val="Style8"/>
              <w:widowControl/>
              <w:numPr>
                <w:ilvl w:val="0"/>
                <w:numId w:val="7"/>
              </w:numPr>
              <w:ind w:left="0" w:firstLine="0"/>
              <w:rPr>
                <w:rFonts w:ascii="Times New Roman" w:hAnsi="Times New Roman"/>
                <w:noProof/>
              </w:rPr>
            </w:pPr>
            <w:r w:rsidRPr="003C0DF0">
              <w:rPr>
                <w:rFonts w:ascii="Times New Roman" w:hAnsi="Times New Roman"/>
                <w:noProof/>
              </w:rPr>
              <w:t>No clear approach to the role of State funding for private IHE;</w:t>
            </w:r>
          </w:p>
          <w:p w14:paraId="40625BF3" w14:textId="77777777" w:rsidR="00ED16B1" w:rsidRPr="003C0DF0" w:rsidRDefault="00ED16B1" w:rsidP="00BB175A">
            <w:pPr>
              <w:pStyle w:val="Style8"/>
              <w:widowControl/>
              <w:numPr>
                <w:ilvl w:val="0"/>
                <w:numId w:val="7"/>
              </w:numPr>
              <w:ind w:left="0" w:firstLine="0"/>
              <w:rPr>
                <w:rFonts w:ascii="Times New Roman" w:hAnsi="Times New Roman"/>
                <w:noProof/>
              </w:rPr>
            </w:pPr>
            <w:r w:rsidRPr="003C0DF0">
              <w:rPr>
                <w:rFonts w:ascii="Times New Roman" w:hAnsi="Times New Roman"/>
                <w:noProof/>
              </w:rPr>
              <w:t>No support for research-related development, e.g., post-doctoral studies, knowledge transfer activities, etc.</w:t>
            </w:r>
          </w:p>
        </w:tc>
      </w:tr>
      <w:tr w:rsidR="00ED16B1" w:rsidRPr="003C0DF0" w14:paraId="38D14119" w14:textId="77777777" w:rsidTr="00BB175A">
        <w:tc>
          <w:tcPr>
            <w:tcW w:w="5000" w:type="pct"/>
            <w:gridSpan w:val="3"/>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5A1027BC" w14:textId="1CED8AF9" w:rsidR="00521EDB" w:rsidRPr="003C0DF0" w:rsidRDefault="00ED16B1" w:rsidP="00BB175A">
            <w:pPr>
              <w:pStyle w:val="Style12"/>
              <w:widowControl/>
              <w:jc w:val="center"/>
              <w:rPr>
                <w:rFonts w:ascii="Times New Roman" w:hAnsi="Times New Roman"/>
                <w:b/>
                <w:i/>
                <w:noProof/>
              </w:rPr>
            </w:pPr>
            <w:r w:rsidRPr="003C0DF0">
              <w:rPr>
                <w:rFonts w:ascii="Times New Roman" w:hAnsi="Times New Roman"/>
                <w:b/>
                <w:i/>
                <w:noProof/>
              </w:rPr>
              <w:lastRenderedPageBreak/>
              <w:t>Financing: Sustainability</w:t>
            </w:r>
          </w:p>
        </w:tc>
      </w:tr>
      <w:tr w:rsidR="00ED16B1" w:rsidRPr="003C0DF0" w14:paraId="49273DE4" w14:textId="77777777" w:rsidTr="00BB175A">
        <w:tc>
          <w:tcPr>
            <w:tcW w:w="2550" w:type="pct"/>
            <w:tcBorders>
              <w:top w:val="single" w:sz="6" w:space="0" w:color="auto"/>
              <w:left w:val="single" w:sz="6" w:space="0" w:color="auto"/>
              <w:bottom w:val="single" w:sz="6" w:space="0" w:color="auto"/>
              <w:right w:val="single" w:sz="6" w:space="0" w:color="auto"/>
            </w:tcBorders>
            <w:shd w:val="clear" w:color="auto" w:fill="auto"/>
          </w:tcPr>
          <w:p w14:paraId="4EBB21D7" w14:textId="77777777" w:rsidR="00ED16B1" w:rsidRPr="003C0DF0" w:rsidRDefault="00ED16B1" w:rsidP="00BB175A">
            <w:pPr>
              <w:pStyle w:val="Style12"/>
              <w:widowControl/>
              <w:rPr>
                <w:rFonts w:ascii="Times New Roman" w:hAnsi="Times New Roman"/>
                <w:b/>
                <w:i/>
                <w:noProof/>
              </w:rPr>
            </w:pPr>
            <w:r w:rsidRPr="003C0DF0">
              <w:rPr>
                <w:rFonts w:ascii="Times New Roman" w:hAnsi="Times New Roman"/>
                <w:b/>
                <w:i/>
                <w:noProof/>
              </w:rPr>
              <w:t>Financing: Sustainability</w:t>
            </w:r>
          </w:p>
          <w:p w14:paraId="7C0E1310" w14:textId="77777777" w:rsidR="00ED16B1" w:rsidRPr="003C0DF0" w:rsidRDefault="00ED16B1" w:rsidP="00BB175A">
            <w:pPr>
              <w:pStyle w:val="Style8"/>
              <w:widowControl/>
              <w:numPr>
                <w:ilvl w:val="0"/>
                <w:numId w:val="8"/>
              </w:numPr>
              <w:ind w:left="0" w:firstLine="0"/>
              <w:rPr>
                <w:rFonts w:ascii="Times New Roman" w:hAnsi="Times New Roman"/>
                <w:noProof/>
              </w:rPr>
            </w:pPr>
            <w:r w:rsidRPr="003C0DF0">
              <w:rPr>
                <w:rFonts w:ascii="Times New Roman" w:hAnsi="Times New Roman"/>
                <w:noProof/>
              </w:rPr>
              <w:t>Funding for study places ensures cost-oriented stability in the system, with a “money follows student” element;</w:t>
            </w:r>
          </w:p>
          <w:p w14:paraId="42FE4479" w14:textId="77777777" w:rsidR="00ED16B1" w:rsidRPr="003C0DF0" w:rsidRDefault="00ED16B1" w:rsidP="00BB175A">
            <w:pPr>
              <w:pStyle w:val="Style8"/>
              <w:widowControl/>
              <w:numPr>
                <w:ilvl w:val="0"/>
                <w:numId w:val="8"/>
              </w:numPr>
              <w:ind w:left="0" w:firstLine="0"/>
              <w:rPr>
                <w:rFonts w:ascii="Times New Roman" w:hAnsi="Times New Roman"/>
                <w:noProof/>
              </w:rPr>
            </w:pPr>
            <w:r w:rsidRPr="003C0DF0">
              <w:rPr>
                <w:rFonts w:ascii="Times New Roman" w:hAnsi="Times New Roman"/>
                <w:noProof/>
              </w:rPr>
              <w:t>Availability of substantial EU Structural Funds for HE and R&amp;D (reason for survival during economic crisis).</w:t>
            </w:r>
          </w:p>
        </w:tc>
        <w:tc>
          <w:tcPr>
            <w:tcW w:w="2450" w:type="pct"/>
            <w:gridSpan w:val="2"/>
            <w:tcBorders>
              <w:top w:val="single" w:sz="6" w:space="0" w:color="auto"/>
              <w:left w:val="single" w:sz="6" w:space="0" w:color="auto"/>
              <w:bottom w:val="single" w:sz="6" w:space="0" w:color="auto"/>
              <w:right w:val="single" w:sz="6" w:space="0" w:color="auto"/>
            </w:tcBorders>
            <w:shd w:val="clear" w:color="auto" w:fill="auto"/>
          </w:tcPr>
          <w:p w14:paraId="2F95B2F2" w14:textId="77777777" w:rsidR="00ED16B1" w:rsidRPr="003C0DF0" w:rsidRDefault="00ED16B1" w:rsidP="00BB175A">
            <w:pPr>
              <w:pStyle w:val="Style8"/>
              <w:widowControl/>
              <w:numPr>
                <w:ilvl w:val="0"/>
                <w:numId w:val="8"/>
              </w:numPr>
              <w:ind w:left="0" w:firstLine="0"/>
              <w:rPr>
                <w:rFonts w:ascii="Times New Roman" w:hAnsi="Times New Roman"/>
                <w:noProof/>
              </w:rPr>
            </w:pPr>
            <w:r w:rsidRPr="003C0DF0">
              <w:rPr>
                <w:rFonts w:ascii="Times New Roman" w:hAnsi="Times New Roman"/>
                <w:noProof/>
              </w:rPr>
              <w:t>Underfunding of the HE and research system compared to most other European countries and to governmental objectives;</w:t>
            </w:r>
          </w:p>
          <w:p w14:paraId="1CFEB15A" w14:textId="77777777" w:rsidR="00ED16B1" w:rsidRPr="003C0DF0" w:rsidRDefault="00ED16B1" w:rsidP="00BB175A">
            <w:pPr>
              <w:pStyle w:val="Style8"/>
              <w:widowControl/>
              <w:numPr>
                <w:ilvl w:val="0"/>
                <w:numId w:val="8"/>
              </w:numPr>
              <w:ind w:left="0" w:firstLine="0"/>
              <w:rPr>
                <w:rFonts w:ascii="Times New Roman" w:hAnsi="Times New Roman"/>
                <w:noProof/>
              </w:rPr>
            </w:pPr>
            <w:r w:rsidRPr="003C0DF0">
              <w:rPr>
                <w:rFonts w:ascii="Times New Roman" w:hAnsi="Times New Roman"/>
                <w:noProof/>
              </w:rPr>
              <w:t>The promised funding increase not yet effectuated;</w:t>
            </w:r>
          </w:p>
          <w:p w14:paraId="71E68F73" w14:textId="77777777" w:rsidR="00ED16B1" w:rsidRPr="003C0DF0" w:rsidRDefault="00ED16B1" w:rsidP="00BB175A">
            <w:pPr>
              <w:pStyle w:val="Style8"/>
              <w:widowControl/>
              <w:numPr>
                <w:ilvl w:val="0"/>
                <w:numId w:val="8"/>
              </w:numPr>
              <w:ind w:left="0" w:firstLine="0"/>
              <w:rPr>
                <w:rFonts w:ascii="Times New Roman" w:hAnsi="Times New Roman"/>
                <w:noProof/>
              </w:rPr>
            </w:pPr>
            <w:r w:rsidRPr="003C0DF0">
              <w:rPr>
                <w:rFonts w:ascii="Times New Roman" w:hAnsi="Times New Roman"/>
                <w:noProof/>
              </w:rPr>
              <w:t>Lower financing tariffs for HE students compared to primary and secondary education;</w:t>
            </w:r>
          </w:p>
          <w:p w14:paraId="351A331A" w14:textId="77777777" w:rsidR="00ED16B1" w:rsidRPr="003C0DF0" w:rsidRDefault="00ED16B1" w:rsidP="00BB175A">
            <w:pPr>
              <w:pStyle w:val="Style8"/>
              <w:widowControl/>
              <w:numPr>
                <w:ilvl w:val="0"/>
                <w:numId w:val="8"/>
              </w:numPr>
              <w:ind w:left="0" w:firstLine="0"/>
              <w:rPr>
                <w:rFonts w:ascii="Times New Roman" w:hAnsi="Times New Roman"/>
                <w:noProof/>
              </w:rPr>
            </w:pPr>
            <w:r w:rsidRPr="003C0DF0">
              <w:rPr>
                <w:rFonts w:ascii="Times New Roman" w:hAnsi="Times New Roman"/>
                <w:noProof/>
              </w:rPr>
              <w:t>Cost basis for subsidised study places is outdated.</w:t>
            </w:r>
          </w:p>
        </w:tc>
      </w:tr>
      <w:tr w:rsidR="00ED16B1" w:rsidRPr="003C0DF0" w14:paraId="63374D6F" w14:textId="77777777" w:rsidTr="00BB175A">
        <w:tc>
          <w:tcPr>
            <w:tcW w:w="5000" w:type="pct"/>
            <w:gridSpan w:val="3"/>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017E3EAE" w14:textId="5FF942A1" w:rsidR="00521EDB" w:rsidRPr="003C0DF0" w:rsidRDefault="00ED16B1" w:rsidP="00BB175A">
            <w:pPr>
              <w:pStyle w:val="Style12"/>
              <w:widowControl/>
              <w:jc w:val="center"/>
              <w:rPr>
                <w:rFonts w:ascii="Times New Roman" w:hAnsi="Times New Roman"/>
                <w:b/>
                <w:i/>
                <w:noProof/>
              </w:rPr>
            </w:pPr>
            <w:r w:rsidRPr="003C0DF0">
              <w:rPr>
                <w:rFonts w:ascii="Times New Roman" w:hAnsi="Times New Roman"/>
                <w:b/>
                <w:i/>
                <w:noProof/>
              </w:rPr>
              <w:t>Financing: Conformity with Legislation</w:t>
            </w:r>
          </w:p>
        </w:tc>
      </w:tr>
      <w:tr w:rsidR="00ED16B1" w:rsidRPr="003C0DF0" w14:paraId="29BE56B3" w14:textId="77777777" w:rsidTr="00BB175A">
        <w:tc>
          <w:tcPr>
            <w:tcW w:w="2550" w:type="pct"/>
            <w:tcBorders>
              <w:top w:val="single" w:sz="6" w:space="0" w:color="auto"/>
              <w:left w:val="single" w:sz="6" w:space="0" w:color="auto"/>
              <w:bottom w:val="single" w:sz="6" w:space="0" w:color="auto"/>
              <w:right w:val="single" w:sz="6" w:space="0" w:color="auto"/>
            </w:tcBorders>
            <w:shd w:val="clear" w:color="auto" w:fill="auto"/>
          </w:tcPr>
          <w:p w14:paraId="5BA28C51" w14:textId="77777777" w:rsidR="00ED16B1" w:rsidRPr="003C0DF0" w:rsidRDefault="00ED16B1" w:rsidP="00BB175A">
            <w:pPr>
              <w:pStyle w:val="Style11"/>
              <w:widowControl/>
              <w:numPr>
                <w:ilvl w:val="0"/>
                <w:numId w:val="9"/>
              </w:numPr>
              <w:ind w:left="0" w:firstLine="0"/>
              <w:rPr>
                <w:rFonts w:ascii="Times New Roman" w:hAnsi="Times New Roman"/>
                <w:noProof/>
              </w:rPr>
            </w:pPr>
            <w:r w:rsidRPr="003C0DF0">
              <w:rPr>
                <w:rFonts w:ascii="Times New Roman" w:hAnsi="Times New Roman"/>
                <w:noProof/>
              </w:rPr>
              <w:t>Availability of student loans for many students with attractive repayment conditions;</w:t>
            </w:r>
          </w:p>
          <w:p w14:paraId="05EDE170" w14:textId="77777777" w:rsidR="00ED16B1" w:rsidRPr="003C0DF0" w:rsidRDefault="00ED16B1" w:rsidP="00BB175A">
            <w:pPr>
              <w:pStyle w:val="Style4"/>
              <w:widowControl/>
              <w:numPr>
                <w:ilvl w:val="0"/>
                <w:numId w:val="9"/>
              </w:numPr>
              <w:ind w:left="0" w:firstLine="0"/>
              <w:rPr>
                <w:rFonts w:ascii="Times New Roman" w:hAnsi="Times New Roman"/>
                <w:noProof/>
              </w:rPr>
            </w:pPr>
            <w:r w:rsidRPr="003C0DF0">
              <w:rPr>
                <w:rFonts w:ascii="Times New Roman" w:hAnsi="Times New Roman"/>
                <w:noProof/>
              </w:rPr>
              <w:t>Full-fee paying option creates access opportunities.</w:t>
            </w:r>
          </w:p>
        </w:tc>
        <w:tc>
          <w:tcPr>
            <w:tcW w:w="2450" w:type="pct"/>
            <w:gridSpan w:val="2"/>
            <w:tcBorders>
              <w:top w:val="single" w:sz="6" w:space="0" w:color="auto"/>
              <w:left w:val="single" w:sz="6" w:space="0" w:color="auto"/>
              <w:bottom w:val="single" w:sz="6" w:space="0" w:color="auto"/>
              <w:right w:val="single" w:sz="6" w:space="0" w:color="auto"/>
            </w:tcBorders>
            <w:shd w:val="clear" w:color="auto" w:fill="auto"/>
          </w:tcPr>
          <w:p w14:paraId="11EE2948" w14:textId="77777777" w:rsidR="00ED16B1" w:rsidRPr="003C0DF0" w:rsidRDefault="00ED16B1" w:rsidP="00BB175A">
            <w:pPr>
              <w:pStyle w:val="Style11"/>
              <w:widowControl/>
              <w:numPr>
                <w:ilvl w:val="0"/>
                <w:numId w:val="9"/>
              </w:numPr>
              <w:ind w:left="0" w:firstLine="0"/>
              <w:rPr>
                <w:rFonts w:ascii="Times New Roman" w:hAnsi="Times New Roman"/>
                <w:noProof/>
              </w:rPr>
            </w:pPr>
            <w:r w:rsidRPr="003C0DF0">
              <w:rPr>
                <w:rFonts w:ascii="Times New Roman" w:hAnsi="Times New Roman"/>
                <w:noProof/>
              </w:rPr>
              <w:t>Many competing needs in case of budget increases (better quality in teaching, doctoral schools, post-doctoral careers, triple helix model, etc.);</w:t>
            </w:r>
          </w:p>
          <w:p w14:paraId="78B26D58" w14:textId="77777777" w:rsidR="00ED16B1" w:rsidRPr="003C0DF0" w:rsidRDefault="00ED16B1" w:rsidP="00BB175A">
            <w:pPr>
              <w:pStyle w:val="Style8"/>
              <w:widowControl/>
              <w:numPr>
                <w:ilvl w:val="0"/>
                <w:numId w:val="9"/>
              </w:numPr>
              <w:ind w:left="0" w:firstLine="0"/>
              <w:rPr>
                <w:rFonts w:ascii="Times New Roman" w:hAnsi="Times New Roman"/>
                <w:noProof/>
              </w:rPr>
            </w:pPr>
            <w:r w:rsidRPr="003C0DF0">
              <w:rPr>
                <w:rFonts w:ascii="Times New Roman" w:hAnsi="Times New Roman"/>
                <w:noProof/>
              </w:rPr>
              <w:t>Opaqueness and subjectivity in allocation of subsidised study places, planning problems as a result of annual interventions;</w:t>
            </w:r>
          </w:p>
          <w:p w14:paraId="7019C007" w14:textId="52568160" w:rsidR="00ED16B1" w:rsidRPr="003C0DF0" w:rsidRDefault="00ED16B1" w:rsidP="00BB175A">
            <w:pPr>
              <w:pStyle w:val="Style8"/>
              <w:widowControl/>
              <w:numPr>
                <w:ilvl w:val="0"/>
                <w:numId w:val="9"/>
              </w:numPr>
              <w:ind w:left="0" w:firstLine="0"/>
              <w:rPr>
                <w:rFonts w:ascii="Times New Roman" w:hAnsi="Times New Roman"/>
                <w:noProof/>
              </w:rPr>
            </w:pPr>
            <w:r w:rsidRPr="003C0DF0">
              <w:rPr>
                <w:rFonts w:ascii="Times New Roman" w:hAnsi="Times New Roman"/>
                <w:noProof/>
              </w:rPr>
              <w:t>Subsidised study places particularly benefit students from better socio-economic groups;</w:t>
            </w:r>
          </w:p>
          <w:p w14:paraId="26E8BE83" w14:textId="77777777" w:rsidR="00ED16B1" w:rsidRPr="003C0DF0" w:rsidRDefault="00ED16B1" w:rsidP="00BB175A">
            <w:pPr>
              <w:pStyle w:val="Style8"/>
              <w:widowControl/>
              <w:numPr>
                <w:ilvl w:val="0"/>
                <w:numId w:val="9"/>
              </w:numPr>
              <w:ind w:left="0" w:firstLine="0"/>
              <w:rPr>
                <w:rFonts w:ascii="Times New Roman" w:hAnsi="Times New Roman"/>
                <w:noProof/>
              </w:rPr>
            </w:pPr>
            <w:r w:rsidRPr="003C0DF0">
              <w:rPr>
                <w:rFonts w:ascii="Times New Roman" w:hAnsi="Times New Roman"/>
                <w:noProof/>
              </w:rPr>
              <w:t>No subsidised study places for part-time students;</w:t>
            </w:r>
          </w:p>
          <w:p w14:paraId="49E165B5" w14:textId="77777777" w:rsidR="00ED16B1" w:rsidRPr="003C0DF0" w:rsidRDefault="00ED16B1" w:rsidP="00BB175A">
            <w:pPr>
              <w:pStyle w:val="Style8"/>
              <w:widowControl/>
              <w:numPr>
                <w:ilvl w:val="0"/>
                <w:numId w:val="9"/>
              </w:numPr>
              <w:ind w:left="0" w:firstLine="0"/>
              <w:rPr>
                <w:rFonts w:ascii="Times New Roman" w:hAnsi="Times New Roman"/>
                <w:noProof/>
              </w:rPr>
            </w:pPr>
            <w:r w:rsidRPr="003C0DF0">
              <w:rPr>
                <w:rFonts w:ascii="Times New Roman" w:hAnsi="Times New Roman"/>
                <w:noProof/>
              </w:rPr>
              <w:t>Student loans not attractive to some groups, e.g., the “guarantor requirement” forms a significant hurdle;</w:t>
            </w:r>
          </w:p>
          <w:p w14:paraId="67079A7B" w14:textId="77777777" w:rsidR="00ED16B1" w:rsidRPr="003C0DF0" w:rsidRDefault="00ED16B1" w:rsidP="00BB175A">
            <w:pPr>
              <w:pStyle w:val="Style4"/>
              <w:widowControl/>
              <w:numPr>
                <w:ilvl w:val="0"/>
                <w:numId w:val="9"/>
              </w:numPr>
              <w:ind w:left="0" w:firstLine="0"/>
              <w:rPr>
                <w:rFonts w:ascii="Times New Roman" w:hAnsi="Times New Roman"/>
                <w:noProof/>
              </w:rPr>
            </w:pPr>
            <w:r w:rsidRPr="003C0DF0">
              <w:rPr>
                <w:rFonts w:ascii="Times New Roman" w:hAnsi="Times New Roman"/>
                <w:noProof/>
              </w:rPr>
              <w:t>Hardly any neither social needs-based support nor means-testing mechanism for students from low-income families.</w:t>
            </w:r>
          </w:p>
        </w:tc>
      </w:tr>
      <w:tr w:rsidR="00ED16B1" w:rsidRPr="003C0DF0" w14:paraId="4CCAF4F9" w14:textId="77777777" w:rsidTr="00BB175A">
        <w:tc>
          <w:tcPr>
            <w:tcW w:w="5000" w:type="pct"/>
            <w:gridSpan w:val="3"/>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0610C7BB" w14:textId="787E01F6" w:rsidR="00521EDB" w:rsidRPr="003C0DF0" w:rsidRDefault="00ED16B1" w:rsidP="00BB175A">
            <w:pPr>
              <w:pStyle w:val="Style12"/>
              <w:widowControl/>
              <w:jc w:val="center"/>
              <w:rPr>
                <w:rFonts w:ascii="Times New Roman" w:hAnsi="Times New Roman"/>
                <w:b/>
                <w:i/>
                <w:noProof/>
              </w:rPr>
            </w:pPr>
            <w:r w:rsidRPr="003C0DF0">
              <w:rPr>
                <w:rFonts w:ascii="Times New Roman" w:hAnsi="Times New Roman"/>
                <w:b/>
                <w:i/>
                <w:noProof/>
              </w:rPr>
              <w:t>Financing: Autonomy and freedom</w:t>
            </w:r>
          </w:p>
        </w:tc>
      </w:tr>
      <w:tr w:rsidR="00ED16B1" w:rsidRPr="003C0DF0" w14:paraId="0B1626AF" w14:textId="77777777" w:rsidTr="00BB175A">
        <w:tc>
          <w:tcPr>
            <w:tcW w:w="2550" w:type="pct"/>
            <w:tcBorders>
              <w:top w:val="single" w:sz="6" w:space="0" w:color="auto"/>
              <w:left w:val="single" w:sz="6" w:space="0" w:color="auto"/>
              <w:bottom w:val="single" w:sz="6" w:space="0" w:color="auto"/>
              <w:right w:val="single" w:sz="6" w:space="0" w:color="auto"/>
            </w:tcBorders>
            <w:shd w:val="clear" w:color="auto" w:fill="auto"/>
          </w:tcPr>
          <w:p w14:paraId="2124DC76" w14:textId="77777777" w:rsidR="00ED16B1" w:rsidRPr="003C0DF0" w:rsidRDefault="00ED16B1" w:rsidP="00BB175A">
            <w:pPr>
              <w:pStyle w:val="Style4"/>
              <w:widowControl/>
              <w:numPr>
                <w:ilvl w:val="0"/>
                <w:numId w:val="10"/>
              </w:numPr>
              <w:ind w:left="0" w:firstLine="0"/>
              <w:rPr>
                <w:rFonts w:ascii="Times New Roman" w:hAnsi="Times New Roman"/>
                <w:noProof/>
              </w:rPr>
            </w:pPr>
            <w:r w:rsidRPr="003C0DF0">
              <w:rPr>
                <w:rFonts w:ascii="Times New Roman" w:hAnsi="Times New Roman"/>
                <w:noProof/>
              </w:rPr>
              <w:t>Large degree of (financial) autonomy for IHE;</w:t>
            </w:r>
          </w:p>
          <w:p w14:paraId="1E2A52D7" w14:textId="77777777" w:rsidR="00ED16B1" w:rsidRPr="003C0DF0" w:rsidRDefault="00ED16B1" w:rsidP="00BB175A">
            <w:pPr>
              <w:pStyle w:val="Style8"/>
              <w:widowControl/>
              <w:numPr>
                <w:ilvl w:val="0"/>
                <w:numId w:val="10"/>
              </w:numPr>
              <w:ind w:left="0" w:firstLine="0"/>
              <w:rPr>
                <w:rFonts w:ascii="Times New Roman" w:hAnsi="Times New Roman"/>
                <w:noProof/>
              </w:rPr>
            </w:pPr>
            <w:r w:rsidRPr="003C0DF0">
              <w:rPr>
                <w:rFonts w:ascii="Times New Roman" w:hAnsi="Times New Roman"/>
                <w:noProof/>
              </w:rPr>
              <w:t>Financial autonomy allows entrepreneurial freedom;</w:t>
            </w:r>
          </w:p>
          <w:p w14:paraId="58B8CFE1" w14:textId="77777777" w:rsidR="00ED16B1" w:rsidRPr="003C0DF0" w:rsidRDefault="00ED16B1" w:rsidP="00BB175A">
            <w:pPr>
              <w:pStyle w:val="Style8"/>
              <w:widowControl/>
              <w:numPr>
                <w:ilvl w:val="0"/>
                <w:numId w:val="10"/>
              </w:numPr>
              <w:ind w:left="0" w:firstLine="0"/>
              <w:rPr>
                <w:rFonts w:ascii="Times New Roman" w:hAnsi="Times New Roman"/>
                <w:noProof/>
              </w:rPr>
            </w:pPr>
            <w:r w:rsidRPr="003C0DF0">
              <w:rPr>
                <w:rFonts w:ascii="Times New Roman" w:hAnsi="Times New Roman"/>
                <w:noProof/>
              </w:rPr>
              <w:t>Good preconditions of resource diversification.</w:t>
            </w:r>
          </w:p>
        </w:tc>
        <w:tc>
          <w:tcPr>
            <w:tcW w:w="2450" w:type="pct"/>
            <w:gridSpan w:val="2"/>
            <w:tcBorders>
              <w:top w:val="single" w:sz="6" w:space="0" w:color="auto"/>
              <w:left w:val="single" w:sz="6" w:space="0" w:color="auto"/>
              <w:bottom w:val="single" w:sz="6" w:space="0" w:color="auto"/>
              <w:right w:val="single" w:sz="6" w:space="0" w:color="auto"/>
            </w:tcBorders>
            <w:shd w:val="clear" w:color="auto" w:fill="auto"/>
          </w:tcPr>
          <w:p w14:paraId="450BD968" w14:textId="77777777" w:rsidR="00ED16B1" w:rsidRPr="003C0DF0" w:rsidRDefault="00ED16B1" w:rsidP="00BB175A">
            <w:pPr>
              <w:pStyle w:val="Style8"/>
              <w:widowControl/>
              <w:numPr>
                <w:ilvl w:val="0"/>
                <w:numId w:val="10"/>
              </w:numPr>
              <w:ind w:left="0" w:firstLine="0"/>
              <w:rPr>
                <w:rFonts w:ascii="Times New Roman" w:hAnsi="Times New Roman"/>
                <w:noProof/>
              </w:rPr>
            </w:pPr>
            <w:r w:rsidRPr="003C0DF0">
              <w:rPr>
                <w:rFonts w:ascii="Times New Roman" w:hAnsi="Times New Roman"/>
                <w:noProof/>
              </w:rPr>
              <w:t>Heavy reliance on EU Structural Funds for R&amp;D, which may not be a sustainable long-term situation. Co-financing problem.</w:t>
            </w:r>
          </w:p>
          <w:p w14:paraId="72A04F7B" w14:textId="77777777" w:rsidR="00ED16B1" w:rsidRPr="003C0DF0" w:rsidRDefault="00ED16B1" w:rsidP="00BB175A">
            <w:pPr>
              <w:pStyle w:val="Style8"/>
              <w:widowControl/>
              <w:numPr>
                <w:ilvl w:val="0"/>
                <w:numId w:val="10"/>
              </w:numPr>
              <w:ind w:left="0" w:firstLine="0"/>
              <w:rPr>
                <w:rFonts w:ascii="Times New Roman" w:hAnsi="Times New Roman"/>
                <w:noProof/>
              </w:rPr>
            </w:pPr>
            <w:r w:rsidRPr="003C0DF0">
              <w:rPr>
                <w:rFonts w:ascii="Times New Roman" w:hAnsi="Times New Roman"/>
                <w:noProof/>
              </w:rPr>
              <w:t>Relatively low financing from sectors/enterprises.</w:t>
            </w:r>
          </w:p>
        </w:tc>
      </w:tr>
      <w:tr w:rsidR="00ED16B1" w:rsidRPr="003C0DF0" w14:paraId="2A3417FB" w14:textId="77777777" w:rsidTr="00BB175A">
        <w:tc>
          <w:tcPr>
            <w:tcW w:w="5000" w:type="pct"/>
            <w:gridSpan w:val="3"/>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6BD6CAEF" w14:textId="151E34A7" w:rsidR="00521EDB" w:rsidRPr="003C0DF0" w:rsidRDefault="00ED16B1" w:rsidP="00BB175A">
            <w:pPr>
              <w:pStyle w:val="Style12"/>
              <w:widowControl/>
              <w:jc w:val="center"/>
              <w:rPr>
                <w:rFonts w:ascii="Times New Roman" w:hAnsi="Times New Roman"/>
                <w:b/>
                <w:i/>
                <w:noProof/>
              </w:rPr>
            </w:pPr>
            <w:r w:rsidRPr="003C0DF0">
              <w:rPr>
                <w:rFonts w:ascii="Times New Roman" w:hAnsi="Times New Roman"/>
                <w:b/>
                <w:i/>
                <w:noProof/>
              </w:rPr>
              <w:t>Financing: Practical feasibility</w:t>
            </w:r>
          </w:p>
        </w:tc>
      </w:tr>
      <w:tr w:rsidR="00ED16B1" w:rsidRPr="003C0DF0" w14:paraId="2FF7AC00" w14:textId="77777777" w:rsidTr="00BB175A">
        <w:tc>
          <w:tcPr>
            <w:tcW w:w="2550" w:type="pct"/>
            <w:tcBorders>
              <w:top w:val="single" w:sz="6" w:space="0" w:color="auto"/>
              <w:left w:val="single" w:sz="6" w:space="0" w:color="auto"/>
              <w:bottom w:val="single" w:sz="6" w:space="0" w:color="auto"/>
              <w:right w:val="single" w:sz="6" w:space="0" w:color="auto"/>
            </w:tcBorders>
            <w:shd w:val="clear" w:color="auto" w:fill="auto"/>
          </w:tcPr>
          <w:p w14:paraId="2B88B40E" w14:textId="77777777" w:rsidR="00ED16B1" w:rsidRPr="003C0DF0" w:rsidRDefault="00ED16B1" w:rsidP="00BB175A">
            <w:pPr>
              <w:pStyle w:val="Style4"/>
              <w:widowControl/>
              <w:numPr>
                <w:ilvl w:val="0"/>
                <w:numId w:val="11"/>
              </w:numPr>
              <w:ind w:left="0" w:firstLine="0"/>
              <w:rPr>
                <w:rFonts w:ascii="Times New Roman" w:hAnsi="Times New Roman"/>
                <w:noProof/>
              </w:rPr>
            </w:pPr>
            <w:r w:rsidRPr="003C0DF0">
              <w:rPr>
                <w:rFonts w:ascii="Times New Roman" w:hAnsi="Times New Roman"/>
                <w:noProof/>
              </w:rPr>
              <w:t xml:space="preserve">Substantial student mobility (many systems have problems to send students </w:t>
            </w:r>
            <w:r w:rsidRPr="003C0DF0">
              <w:rPr>
                <w:rFonts w:ascii="Times New Roman" w:hAnsi="Times New Roman"/>
                <w:noProof/>
              </w:rPr>
              <w:lastRenderedPageBreak/>
              <w:t>abroad). This means other countries pay tuition costs.</w:t>
            </w:r>
          </w:p>
        </w:tc>
        <w:tc>
          <w:tcPr>
            <w:tcW w:w="2450" w:type="pct"/>
            <w:gridSpan w:val="2"/>
            <w:tcBorders>
              <w:top w:val="single" w:sz="6" w:space="0" w:color="auto"/>
              <w:left w:val="single" w:sz="6" w:space="0" w:color="auto"/>
              <w:bottom w:val="single" w:sz="6" w:space="0" w:color="auto"/>
              <w:right w:val="single" w:sz="6" w:space="0" w:color="auto"/>
            </w:tcBorders>
            <w:shd w:val="clear" w:color="auto" w:fill="auto"/>
          </w:tcPr>
          <w:p w14:paraId="36703595" w14:textId="77777777" w:rsidR="00ED16B1" w:rsidRPr="003C0DF0" w:rsidRDefault="00ED16B1" w:rsidP="00BB175A">
            <w:pPr>
              <w:pStyle w:val="Style8"/>
              <w:widowControl/>
              <w:numPr>
                <w:ilvl w:val="0"/>
                <w:numId w:val="11"/>
              </w:numPr>
              <w:ind w:left="0" w:firstLine="0"/>
              <w:rPr>
                <w:rFonts w:ascii="Times New Roman" w:hAnsi="Times New Roman"/>
                <w:noProof/>
              </w:rPr>
            </w:pPr>
            <w:r w:rsidRPr="003C0DF0">
              <w:rPr>
                <w:rFonts w:ascii="Times New Roman" w:hAnsi="Times New Roman"/>
                <w:noProof/>
              </w:rPr>
              <w:lastRenderedPageBreak/>
              <w:t xml:space="preserve">Decentralised system for student loans and scholarships (efficiency risks and </w:t>
            </w:r>
            <w:r w:rsidRPr="003C0DF0">
              <w:rPr>
                <w:rFonts w:ascii="Times New Roman" w:hAnsi="Times New Roman"/>
                <w:noProof/>
              </w:rPr>
              <w:lastRenderedPageBreak/>
              <w:t>problems for IHE in relation to evaluation of needs);</w:t>
            </w:r>
          </w:p>
          <w:p w14:paraId="09C46D53" w14:textId="77777777" w:rsidR="00ED16B1" w:rsidRPr="003C0DF0" w:rsidRDefault="00ED16B1" w:rsidP="00BB175A">
            <w:pPr>
              <w:pStyle w:val="Style4"/>
              <w:widowControl/>
              <w:numPr>
                <w:ilvl w:val="0"/>
                <w:numId w:val="11"/>
              </w:numPr>
              <w:ind w:left="0" w:firstLine="0"/>
              <w:rPr>
                <w:rFonts w:ascii="Times New Roman" w:hAnsi="Times New Roman"/>
                <w:noProof/>
              </w:rPr>
            </w:pPr>
            <w:r w:rsidRPr="003C0DF0">
              <w:rPr>
                <w:rFonts w:ascii="Times New Roman" w:hAnsi="Times New Roman"/>
                <w:noProof/>
              </w:rPr>
              <w:t>Debt cancellation mechanisms too generous;</w:t>
            </w:r>
          </w:p>
          <w:p w14:paraId="4FA2B49C" w14:textId="77777777" w:rsidR="00ED16B1" w:rsidRPr="003C0DF0" w:rsidRDefault="00ED16B1" w:rsidP="00BB175A">
            <w:pPr>
              <w:pStyle w:val="Style8"/>
              <w:widowControl/>
              <w:numPr>
                <w:ilvl w:val="0"/>
                <w:numId w:val="11"/>
              </w:numPr>
              <w:ind w:left="0" w:firstLine="0"/>
              <w:rPr>
                <w:rFonts w:ascii="Times New Roman" w:hAnsi="Times New Roman"/>
                <w:noProof/>
              </w:rPr>
            </w:pPr>
            <w:r w:rsidRPr="003C0DF0">
              <w:rPr>
                <w:rFonts w:ascii="Times New Roman" w:hAnsi="Times New Roman"/>
                <w:noProof/>
              </w:rPr>
              <w:t>Mismatch between academic year and fiscal year.</w:t>
            </w:r>
          </w:p>
        </w:tc>
      </w:tr>
    </w:tbl>
    <w:p w14:paraId="4B8E41FC" w14:textId="77777777" w:rsidR="00ED16B1" w:rsidRPr="003C0DF0" w:rsidRDefault="00ED16B1" w:rsidP="006E539B">
      <w:pPr>
        <w:spacing w:after="0" w:line="240" w:lineRule="auto"/>
        <w:jc w:val="both"/>
        <w:rPr>
          <w:rFonts w:ascii="Times New Roman" w:hAnsi="Times New Roman"/>
          <w:noProof/>
          <w:sz w:val="20"/>
          <w:szCs w:val="20"/>
          <w:shd w:val="clear" w:color="auto" w:fill="FFFFFF"/>
        </w:rPr>
      </w:pPr>
      <w:r w:rsidRPr="003C0DF0">
        <w:rPr>
          <w:rFonts w:ascii="Times New Roman" w:hAnsi="Times New Roman"/>
          <w:noProof/>
          <w:sz w:val="20"/>
          <w:shd w:val="clear" w:color="auto" w:fill="FFFFFF"/>
        </w:rPr>
        <w:lastRenderedPageBreak/>
        <w:t>(Abbreviations used in tables and figures: EU – European Union; HE – higher education; IHE – institution of higher education; MoES – Ministry of Education and Science; R&amp;D – research and development)</w:t>
      </w:r>
    </w:p>
    <w:p w14:paraId="3DD8057A" w14:textId="77777777" w:rsidR="00521EDB" w:rsidRPr="003C0DF0" w:rsidRDefault="00521EDB" w:rsidP="006E539B">
      <w:pPr>
        <w:spacing w:after="0" w:line="240" w:lineRule="auto"/>
        <w:jc w:val="both"/>
        <w:rPr>
          <w:rFonts w:ascii="Times New Roman" w:hAnsi="Times New Roman"/>
          <w:noProof/>
          <w:sz w:val="24"/>
          <w:szCs w:val="20"/>
          <w:shd w:val="clear" w:color="auto" w:fill="FFFFFF"/>
        </w:rPr>
      </w:pPr>
    </w:p>
    <w:p w14:paraId="2B862D0D" w14:textId="616C5B12" w:rsidR="00ED16B1" w:rsidRPr="003C0DF0" w:rsidRDefault="00521EDB" w:rsidP="00BB175A">
      <w:pPr>
        <w:pStyle w:val="Heading3"/>
        <w:rPr>
          <w:noProof/>
          <w:szCs w:val="26"/>
          <w:shd w:val="clear" w:color="auto" w:fill="FFFFFF"/>
        </w:rPr>
      </w:pPr>
      <w:bookmarkStart w:id="12" w:name="_Toc421550730"/>
      <w:bookmarkStart w:id="13" w:name="_Toc453155034"/>
      <w:r w:rsidRPr="003C0DF0">
        <w:t>1.3.2. Compliance with the Strategic Directions of Development</w:t>
      </w:r>
      <w:bookmarkEnd w:id="12"/>
      <w:bookmarkEnd w:id="13"/>
    </w:p>
    <w:p w14:paraId="180DB884" w14:textId="77777777" w:rsidR="00521EDB" w:rsidRPr="003C0DF0" w:rsidRDefault="00521EDB" w:rsidP="006E539B">
      <w:pPr>
        <w:spacing w:after="0" w:line="240" w:lineRule="auto"/>
        <w:jc w:val="both"/>
        <w:rPr>
          <w:rFonts w:ascii="Times New Roman" w:hAnsi="Times New Roman"/>
          <w:noProof/>
          <w:sz w:val="24"/>
          <w:szCs w:val="26"/>
          <w:shd w:val="clear" w:color="auto" w:fill="FFFFFF" w:themeFill="background1"/>
        </w:rPr>
      </w:pPr>
    </w:p>
    <w:p w14:paraId="2B08BA9C" w14:textId="77777777" w:rsidR="006E539B" w:rsidRPr="003C0DF0" w:rsidRDefault="00ED16B1" w:rsidP="00521EDB">
      <w:pPr>
        <w:spacing w:after="0" w:line="240" w:lineRule="auto"/>
        <w:ind w:firstLine="709"/>
        <w:jc w:val="both"/>
        <w:rPr>
          <w:rFonts w:ascii="Times New Roman" w:hAnsi="Times New Roman"/>
          <w:noProof/>
          <w:sz w:val="24"/>
          <w:szCs w:val="26"/>
          <w:shd w:val="clear" w:color="auto" w:fill="FFFFFF" w:themeFill="background1"/>
        </w:rPr>
      </w:pPr>
      <w:r w:rsidRPr="003C0DF0">
        <w:rPr>
          <w:rFonts w:ascii="Times New Roman" w:hAnsi="Times New Roman"/>
          <w:noProof/>
          <w:sz w:val="24"/>
          <w:shd w:val="clear" w:color="auto" w:fill="FFFFFF" w:themeFill="background1"/>
        </w:rPr>
        <w:t>The study evaluated the compliance of the Latvian higher education financing aspects (public financing instruments, diversification of financial sources, financial autonomy of institutions of higher education and support to students) with the strategic directions of action and objectives laid down in the Latvian higher education and research policies, i.e., to raise the quality of higher education and its link with the labour market, to increase the research quality and (international) competitiveness, to promote efficiency of the higher education sector, to ensure technological development, innovations, creativity, and entrepreneurship, to restore and develop human resources of institutions of higher education, to promote access to higher education, to promote international recognition of higher education, to strengthen basis of the higher education financing, to create a new and transparent higher education quality assurance system.</w:t>
      </w:r>
    </w:p>
    <w:p w14:paraId="4691184B" w14:textId="77777777" w:rsidR="006E539B" w:rsidRPr="003C0DF0" w:rsidRDefault="00ED16B1" w:rsidP="00521EDB">
      <w:pPr>
        <w:spacing w:after="0" w:line="240" w:lineRule="auto"/>
        <w:ind w:firstLine="709"/>
        <w:jc w:val="both"/>
        <w:rPr>
          <w:rFonts w:ascii="Times New Roman" w:hAnsi="Times New Roman"/>
          <w:noProof/>
          <w:sz w:val="24"/>
          <w:szCs w:val="26"/>
        </w:rPr>
      </w:pPr>
      <w:r w:rsidRPr="003C0DF0">
        <w:rPr>
          <w:rFonts w:ascii="Times New Roman" w:hAnsi="Times New Roman"/>
          <w:noProof/>
          <w:sz w:val="24"/>
        </w:rPr>
        <w:t>The evaluation results show that the current financing system is not strategically oriented, i.e., the conditions for allocation of funding are poorly linked to the priorities of the higher education policy and do not contribute to meeting the strategic objectives. The weakest point of the system from the perspective of strategic relevance is insufficient public funding, which poses a threat to the quality of education and research and limits efficiency of the sector. Lack of stable financing, particularly in research, hinders achievement of the objectives in the development of technologies, innovations, and entrepreneurship. Insufficient financing contributes to excessive reliance on other sources of income, such as tuition fees and Structural Funds of the European Union, which should be invested in development.</w:t>
      </w:r>
    </w:p>
    <w:p w14:paraId="05F2F372" w14:textId="6A01150A" w:rsidR="00ED16B1" w:rsidRPr="003C0DF0" w:rsidRDefault="00ED16B1" w:rsidP="00521EDB">
      <w:pPr>
        <w:spacing w:after="0" w:line="240" w:lineRule="auto"/>
        <w:ind w:firstLine="709"/>
        <w:jc w:val="both"/>
        <w:rPr>
          <w:rFonts w:ascii="Times New Roman" w:hAnsi="Times New Roman"/>
          <w:noProof/>
          <w:sz w:val="24"/>
          <w:szCs w:val="26"/>
        </w:rPr>
      </w:pPr>
      <w:r w:rsidRPr="003C0DF0">
        <w:rPr>
          <w:rFonts w:ascii="Times New Roman" w:hAnsi="Times New Roman"/>
          <w:noProof/>
          <w:sz w:val="24"/>
        </w:rPr>
        <w:t>The weak strategic attraction is also affected by the one-sidedness of the system. The financing conditions are primarily focused on the input parameters, besides the control of performance of liabilities is incomplete. The system lacks the elements that are directed to reaching specific policy objectives, for example, the attraction of young scientists to research or improvements in international publication indicators. In the absence of efficient elements that motivate institutions of higher education to diversify their sources of income, to develop co-operation with external partners, the system becomes seemingly self-sufficient and is not focused on development. And finally, the current financing procedures have a negative impact on access to higher education, which is a pre-set condition of the Latvian higher education policy. Subsidised study places are provided only to about a half of the students (in State founded institutions of higher education), and in the allocation thereof social accessibility criteria are not applied. In the implementation of a new financing model of institutions of higher education also interests of students must be taken into account, evaluating how it is possible to diversify the student support system and expand opportunities for acquiring higher education by diversifying the income sources of institutions of higher education.</w:t>
      </w:r>
    </w:p>
    <w:p w14:paraId="2B131BE8" w14:textId="77777777" w:rsidR="00521EDB" w:rsidRPr="003C0DF0" w:rsidRDefault="00521EDB" w:rsidP="00521EDB">
      <w:pPr>
        <w:spacing w:after="0" w:line="240" w:lineRule="auto"/>
        <w:ind w:firstLine="709"/>
        <w:jc w:val="both"/>
        <w:rPr>
          <w:rFonts w:ascii="Times New Roman" w:hAnsi="Times New Roman"/>
          <w:noProof/>
          <w:sz w:val="24"/>
          <w:szCs w:val="26"/>
        </w:rPr>
      </w:pPr>
    </w:p>
    <w:p w14:paraId="54720EFD" w14:textId="1F340AC3" w:rsidR="00ED16B1" w:rsidRPr="003C0DF0" w:rsidRDefault="00521EDB" w:rsidP="00BB175A">
      <w:pPr>
        <w:pStyle w:val="Heading3"/>
        <w:rPr>
          <w:rFonts w:eastAsia="Times New Roman"/>
          <w:noProof/>
          <w:szCs w:val="26"/>
        </w:rPr>
      </w:pPr>
      <w:bookmarkStart w:id="14" w:name="_Toc421550731"/>
      <w:bookmarkStart w:id="15" w:name="_Toc453155035"/>
      <w:r w:rsidRPr="003C0DF0">
        <w:t>1.3.3. Proposals for Implementation of a New “Three-Pillar” Financing Model</w:t>
      </w:r>
      <w:bookmarkStart w:id="16" w:name="_Toc399793614"/>
      <w:bookmarkStart w:id="17" w:name="_Toc399793613"/>
      <w:bookmarkStart w:id="18" w:name="_Toc399793612"/>
      <w:bookmarkStart w:id="19" w:name="_Toc399793549"/>
      <w:bookmarkStart w:id="20" w:name="_Toc399793548"/>
      <w:bookmarkStart w:id="21" w:name="_Toc399793547"/>
      <w:bookmarkStart w:id="22" w:name="_Toc399793393"/>
      <w:bookmarkStart w:id="23" w:name="_Toc399793392"/>
      <w:bookmarkStart w:id="24" w:name="_Toc399793391"/>
      <w:bookmarkStart w:id="25" w:name="_Toc399793030"/>
      <w:bookmarkStart w:id="26" w:name="_Toc399791755"/>
      <w:bookmarkEnd w:id="14"/>
      <w:bookmarkEnd w:id="16"/>
      <w:bookmarkEnd w:id="17"/>
      <w:bookmarkEnd w:id="18"/>
      <w:bookmarkEnd w:id="19"/>
      <w:bookmarkEnd w:id="20"/>
      <w:bookmarkEnd w:id="21"/>
      <w:bookmarkEnd w:id="22"/>
      <w:bookmarkEnd w:id="23"/>
      <w:bookmarkEnd w:id="24"/>
      <w:bookmarkEnd w:id="25"/>
      <w:bookmarkEnd w:id="26"/>
      <w:bookmarkEnd w:id="15"/>
    </w:p>
    <w:p w14:paraId="1722701F" w14:textId="77777777" w:rsidR="00521EDB" w:rsidRPr="003C0DF0" w:rsidRDefault="00521EDB" w:rsidP="006E539B">
      <w:pPr>
        <w:tabs>
          <w:tab w:val="left" w:pos="709"/>
        </w:tabs>
        <w:spacing w:after="0" w:line="240" w:lineRule="auto"/>
        <w:jc w:val="both"/>
        <w:rPr>
          <w:rFonts w:ascii="Times New Roman" w:hAnsi="Times New Roman"/>
          <w:noProof/>
          <w:sz w:val="24"/>
          <w:szCs w:val="26"/>
        </w:rPr>
      </w:pPr>
    </w:p>
    <w:p w14:paraId="4B0B9080" w14:textId="77777777" w:rsidR="006E539B" w:rsidRPr="003C0DF0" w:rsidRDefault="00ED16B1" w:rsidP="00521EDB">
      <w:pPr>
        <w:spacing w:after="0" w:line="240" w:lineRule="auto"/>
        <w:ind w:firstLine="709"/>
        <w:jc w:val="both"/>
        <w:rPr>
          <w:rFonts w:ascii="Times New Roman" w:hAnsi="Times New Roman"/>
          <w:noProof/>
          <w:sz w:val="24"/>
          <w:szCs w:val="26"/>
        </w:rPr>
      </w:pPr>
      <w:r w:rsidRPr="003C0DF0">
        <w:rPr>
          <w:rFonts w:ascii="Times New Roman" w:hAnsi="Times New Roman"/>
          <w:noProof/>
          <w:sz w:val="24"/>
        </w:rPr>
        <w:t xml:space="preserve">The financing proposal made by the World Bank for improvement of the Latvian financing system is aimed at the development of the system, which is characterised by </w:t>
      </w:r>
      <w:r w:rsidRPr="003C0DF0">
        <w:rPr>
          <w:rFonts w:ascii="Times New Roman" w:hAnsi="Times New Roman"/>
          <w:b/>
          <w:noProof/>
          <w:sz w:val="24"/>
        </w:rPr>
        <w:t xml:space="preserve">investments that correspond to the strategy, dynamics, possibility of adjustment and openness to attraction of external resources, rational utilisation of resources. </w:t>
      </w:r>
      <w:r w:rsidRPr="003C0DF0">
        <w:rPr>
          <w:rFonts w:ascii="Times New Roman" w:hAnsi="Times New Roman"/>
          <w:noProof/>
          <w:sz w:val="24"/>
        </w:rPr>
        <w:t xml:space="preserve">This includes </w:t>
      </w:r>
      <w:r w:rsidRPr="003C0DF0">
        <w:rPr>
          <w:rFonts w:ascii="Times New Roman" w:hAnsi="Times New Roman"/>
          <w:noProof/>
          <w:sz w:val="24"/>
        </w:rPr>
        <w:lastRenderedPageBreak/>
        <w:t>a targeted increase in State funding for higher education and science, closer integration of funding for studies and research, introduction of performance and competition-oriented components in the financing mechanism, efficient monitoring of performance indicators of the systems, support in meeting the strategic development objectives of institutions of higher education, creating room for innovations, implementation of financing instruments to motivate institutions of higher education to extend their co-operation with external partners, contributing to income diversity of institutions of higher education, as well as implementation of financing mechanisms for the attraction of new academic and research personnel.</w:t>
      </w:r>
    </w:p>
    <w:p w14:paraId="489C06B7" w14:textId="77777777" w:rsidR="00521EDB" w:rsidRPr="003C0DF0" w:rsidRDefault="00521EDB" w:rsidP="00521EDB">
      <w:pPr>
        <w:spacing w:after="0" w:line="240" w:lineRule="auto"/>
        <w:ind w:firstLine="709"/>
        <w:jc w:val="both"/>
        <w:rPr>
          <w:rFonts w:ascii="Times New Roman" w:hAnsi="Times New Roman"/>
          <w:noProof/>
          <w:sz w:val="24"/>
          <w:szCs w:val="26"/>
        </w:rPr>
      </w:pPr>
    </w:p>
    <w:p w14:paraId="75542B5C" w14:textId="77777777" w:rsidR="006E539B" w:rsidRPr="003C0DF0" w:rsidRDefault="00ED16B1" w:rsidP="00521EDB">
      <w:pPr>
        <w:tabs>
          <w:tab w:val="left" w:pos="709"/>
        </w:tabs>
        <w:spacing w:after="0" w:line="240" w:lineRule="auto"/>
        <w:ind w:firstLine="709"/>
        <w:jc w:val="both"/>
        <w:rPr>
          <w:rFonts w:ascii="Times New Roman" w:hAnsi="Times New Roman"/>
          <w:noProof/>
          <w:sz w:val="24"/>
          <w:szCs w:val="26"/>
        </w:rPr>
      </w:pPr>
      <w:r w:rsidRPr="003C0DF0">
        <w:rPr>
          <w:rFonts w:ascii="Times New Roman" w:hAnsi="Times New Roman"/>
          <w:b/>
          <w:noProof/>
          <w:sz w:val="24"/>
        </w:rPr>
        <w:t xml:space="preserve">The World Bank proposes to introduce a three-pillar model for research financing of higher education and institutions of higher education where the basic funding ensures sustainability of the system, performance funding contributes to achievement of results, while development funding contributes to the link with long-term economic development needs. </w:t>
      </w:r>
      <w:r w:rsidRPr="003C0DF0">
        <w:rPr>
          <w:rFonts w:ascii="Times New Roman" w:hAnsi="Times New Roman"/>
          <w:noProof/>
          <w:sz w:val="24"/>
        </w:rPr>
        <w:t>The proposed financing model balances the following aspects:</w:t>
      </w:r>
    </w:p>
    <w:p w14:paraId="3A29E89F" w14:textId="475DD228" w:rsidR="00ED16B1" w:rsidRPr="003C0DF0" w:rsidRDefault="00ED16B1" w:rsidP="00521EDB">
      <w:pPr>
        <w:pStyle w:val="ListParagraph"/>
        <w:numPr>
          <w:ilvl w:val="0"/>
          <w:numId w:val="1"/>
        </w:numPr>
        <w:spacing w:after="0" w:line="240" w:lineRule="auto"/>
        <w:ind w:left="0" w:firstLine="709"/>
        <w:jc w:val="both"/>
        <w:rPr>
          <w:rFonts w:ascii="Times New Roman" w:hAnsi="Times New Roman"/>
          <w:noProof/>
          <w:sz w:val="24"/>
          <w:szCs w:val="26"/>
        </w:rPr>
      </w:pPr>
      <w:r w:rsidRPr="003C0DF0">
        <w:rPr>
          <w:rFonts w:ascii="Times New Roman" w:hAnsi="Times New Roman"/>
          <w:noProof/>
          <w:sz w:val="24"/>
        </w:rPr>
        <w:t>Conformity with the public and economic development needs;</w:t>
      </w:r>
    </w:p>
    <w:p w14:paraId="74CDEB68" w14:textId="77777777" w:rsidR="00ED16B1" w:rsidRPr="003C0DF0" w:rsidRDefault="00ED16B1" w:rsidP="00521EDB">
      <w:pPr>
        <w:pStyle w:val="ListParagraph"/>
        <w:numPr>
          <w:ilvl w:val="0"/>
          <w:numId w:val="1"/>
        </w:numPr>
        <w:spacing w:after="0" w:line="240" w:lineRule="auto"/>
        <w:ind w:left="0" w:firstLine="709"/>
        <w:jc w:val="both"/>
        <w:rPr>
          <w:rFonts w:ascii="Times New Roman" w:hAnsi="Times New Roman"/>
          <w:noProof/>
          <w:sz w:val="24"/>
          <w:szCs w:val="26"/>
        </w:rPr>
      </w:pPr>
      <w:r w:rsidRPr="003C0DF0">
        <w:rPr>
          <w:rFonts w:ascii="Times New Roman" w:hAnsi="Times New Roman"/>
          <w:noProof/>
          <w:sz w:val="24"/>
        </w:rPr>
        <w:t>Stability and growth incentives;</w:t>
      </w:r>
    </w:p>
    <w:p w14:paraId="1ACCF835" w14:textId="77777777" w:rsidR="00ED16B1" w:rsidRPr="003C0DF0" w:rsidRDefault="00ED16B1" w:rsidP="00521EDB">
      <w:pPr>
        <w:pStyle w:val="ListParagraph"/>
        <w:numPr>
          <w:ilvl w:val="0"/>
          <w:numId w:val="1"/>
        </w:numPr>
        <w:spacing w:after="0" w:line="240" w:lineRule="auto"/>
        <w:ind w:left="0" w:firstLine="709"/>
        <w:jc w:val="both"/>
        <w:rPr>
          <w:rFonts w:ascii="Times New Roman" w:hAnsi="Times New Roman"/>
          <w:noProof/>
          <w:sz w:val="24"/>
          <w:szCs w:val="26"/>
        </w:rPr>
      </w:pPr>
      <w:r w:rsidRPr="003C0DF0">
        <w:rPr>
          <w:rFonts w:ascii="Times New Roman" w:hAnsi="Times New Roman"/>
          <w:noProof/>
          <w:sz w:val="24"/>
        </w:rPr>
        <w:t>Orientation towards investments and results;</w:t>
      </w:r>
    </w:p>
    <w:p w14:paraId="445AD3CF" w14:textId="77777777" w:rsidR="00ED16B1" w:rsidRPr="003C0DF0" w:rsidRDefault="00ED16B1" w:rsidP="00521EDB">
      <w:pPr>
        <w:pStyle w:val="ListParagraph"/>
        <w:numPr>
          <w:ilvl w:val="0"/>
          <w:numId w:val="1"/>
        </w:numPr>
        <w:spacing w:after="0" w:line="240" w:lineRule="auto"/>
        <w:ind w:left="0" w:firstLine="709"/>
        <w:jc w:val="both"/>
        <w:rPr>
          <w:rFonts w:ascii="Times New Roman" w:hAnsi="Times New Roman"/>
          <w:noProof/>
          <w:sz w:val="24"/>
          <w:szCs w:val="26"/>
        </w:rPr>
      </w:pPr>
      <w:r w:rsidRPr="003C0DF0">
        <w:rPr>
          <w:rFonts w:ascii="Times New Roman" w:hAnsi="Times New Roman"/>
          <w:noProof/>
          <w:sz w:val="24"/>
        </w:rPr>
        <w:t>Funding to achieve the objectives in the future (</w:t>
      </w:r>
      <w:r w:rsidRPr="003C0DF0">
        <w:rPr>
          <w:rFonts w:ascii="Times New Roman" w:hAnsi="Times New Roman"/>
          <w:i/>
          <w:noProof/>
          <w:sz w:val="24"/>
        </w:rPr>
        <w:t>ex ante</w:t>
      </w:r>
      <w:r w:rsidRPr="003C0DF0">
        <w:rPr>
          <w:rFonts w:ascii="Times New Roman" w:hAnsi="Times New Roman"/>
          <w:noProof/>
          <w:sz w:val="24"/>
        </w:rPr>
        <w:t>) and funding for the progress achieved (</w:t>
      </w:r>
      <w:r w:rsidRPr="003C0DF0">
        <w:rPr>
          <w:rFonts w:ascii="Times New Roman" w:hAnsi="Times New Roman"/>
          <w:i/>
          <w:noProof/>
          <w:sz w:val="24"/>
        </w:rPr>
        <w:t>ex post</w:t>
      </w:r>
      <w:r w:rsidRPr="003C0DF0">
        <w:rPr>
          <w:rFonts w:ascii="Times New Roman" w:hAnsi="Times New Roman"/>
          <w:noProof/>
          <w:sz w:val="24"/>
        </w:rPr>
        <w:t>);</w:t>
      </w:r>
    </w:p>
    <w:p w14:paraId="6B7C7BC5" w14:textId="77777777" w:rsidR="00ED16B1" w:rsidRPr="003C0DF0" w:rsidRDefault="00ED16B1" w:rsidP="00521EDB">
      <w:pPr>
        <w:pStyle w:val="ListParagraph"/>
        <w:numPr>
          <w:ilvl w:val="0"/>
          <w:numId w:val="1"/>
        </w:numPr>
        <w:spacing w:after="0" w:line="240" w:lineRule="auto"/>
        <w:ind w:left="0" w:firstLine="709"/>
        <w:jc w:val="both"/>
        <w:rPr>
          <w:rFonts w:ascii="Times New Roman" w:hAnsi="Times New Roman"/>
          <w:noProof/>
          <w:sz w:val="24"/>
          <w:szCs w:val="26"/>
        </w:rPr>
      </w:pPr>
      <w:r w:rsidRPr="003C0DF0">
        <w:rPr>
          <w:rFonts w:ascii="Times New Roman" w:hAnsi="Times New Roman"/>
          <w:noProof/>
          <w:sz w:val="24"/>
        </w:rPr>
        <w:t>National objectives and institutional missions;</w:t>
      </w:r>
    </w:p>
    <w:p w14:paraId="21A53106" w14:textId="77777777" w:rsidR="00ED16B1" w:rsidRPr="003C0DF0" w:rsidRDefault="00ED16B1" w:rsidP="00521EDB">
      <w:pPr>
        <w:pStyle w:val="ListParagraph"/>
        <w:numPr>
          <w:ilvl w:val="0"/>
          <w:numId w:val="1"/>
        </w:numPr>
        <w:spacing w:after="0" w:line="240" w:lineRule="auto"/>
        <w:ind w:left="0" w:firstLine="709"/>
        <w:jc w:val="both"/>
        <w:rPr>
          <w:rFonts w:ascii="Times New Roman" w:hAnsi="Times New Roman"/>
          <w:noProof/>
          <w:sz w:val="24"/>
          <w:szCs w:val="26"/>
        </w:rPr>
      </w:pPr>
      <w:r w:rsidRPr="003C0DF0">
        <w:rPr>
          <w:rFonts w:ascii="Times New Roman" w:hAnsi="Times New Roman"/>
          <w:noProof/>
          <w:sz w:val="24"/>
        </w:rPr>
        <w:t>Financing of basic functions of research and targeted financing of priority research areas;</w:t>
      </w:r>
    </w:p>
    <w:p w14:paraId="595681C7" w14:textId="77777777" w:rsidR="00ED16B1" w:rsidRPr="003C0DF0" w:rsidRDefault="00ED16B1" w:rsidP="00521EDB">
      <w:pPr>
        <w:pStyle w:val="ListParagraph"/>
        <w:numPr>
          <w:ilvl w:val="0"/>
          <w:numId w:val="1"/>
        </w:numPr>
        <w:spacing w:after="0" w:line="240" w:lineRule="auto"/>
        <w:ind w:left="0" w:firstLine="709"/>
        <w:jc w:val="both"/>
        <w:rPr>
          <w:rFonts w:ascii="Times New Roman" w:hAnsi="Times New Roman"/>
          <w:noProof/>
          <w:sz w:val="24"/>
          <w:szCs w:val="26"/>
        </w:rPr>
      </w:pPr>
      <w:r w:rsidRPr="003C0DF0">
        <w:rPr>
          <w:rFonts w:ascii="Times New Roman" w:hAnsi="Times New Roman"/>
          <w:noProof/>
          <w:sz w:val="24"/>
        </w:rPr>
        <w:t>Public and private investments;</w:t>
      </w:r>
    </w:p>
    <w:p w14:paraId="66BD9DE3" w14:textId="77777777" w:rsidR="00ED16B1" w:rsidRPr="003C0DF0" w:rsidRDefault="00ED16B1" w:rsidP="00521EDB">
      <w:pPr>
        <w:pStyle w:val="ListParagraph"/>
        <w:numPr>
          <w:ilvl w:val="0"/>
          <w:numId w:val="1"/>
        </w:numPr>
        <w:spacing w:after="0" w:line="240" w:lineRule="auto"/>
        <w:ind w:left="0" w:firstLine="709"/>
        <w:jc w:val="both"/>
        <w:rPr>
          <w:rFonts w:ascii="Times New Roman" w:hAnsi="Times New Roman"/>
          <w:noProof/>
          <w:sz w:val="24"/>
          <w:szCs w:val="26"/>
        </w:rPr>
      </w:pPr>
      <w:r w:rsidRPr="003C0DF0">
        <w:rPr>
          <w:rFonts w:ascii="Times New Roman" w:hAnsi="Times New Roman"/>
          <w:noProof/>
          <w:sz w:val="24"/>
        </w:rPr>
        <w:t>Student financing, taking into account both social needs and achievements;</w:t>
      </w:r>
    </w:p>
    <w:p w14:paraId="713602E0" w14:textId="77777777" w:rsidR="006E539B" w:rsidRPr="003C0DF0" w:rsidRDefault="00ED16B1" w:rsidP="00521EDB">
      <w:pPr>
        <w:pStyle w:val="ListParagraph"/>
        <w:spacing w:after="0" w:line="240" w:lineRule="auto"/>
        <w:ind w:left="0" w:firstLine="709"/>
        <w:jc w:val="both"/>
        <w:rPr>
          <w:rFonts w:ascii="Times New Roman" w:hAnsi="Times New Roman"/>
          <w:noProof/>
          <w:sz w:val="24"/>
          <w:szCs w:val="26"/>
        </w:rPr>
      </w:pPr>
      <w:r w:rsidRPr="003C0DF0">
        <w:rPr>
          <w:rFonts w:ascii="Times New Roman" w:hAnsi="Times New Roman"/>
          <w:noProof/>
          <w:sz w:val="24"/>
        </w:rPr>
        <w:t>Financial autonomy and responsibility for the utilisation of funds and quality.</w:t>
      </w:r>
    </w:p>
    <w:p w14:paraId="1B9C416F" w14:textId="7ECEC41E" w:rsidR="00ED16B1" w:rsidRPr="003C0DF0" w:rsidRDefault="00ED16B1" w:rsidP="006E539B">
      <w:pPr>
        <w:shd w:val="clear" w:color="auto" w:fill="FFFFFF"/>
        <w:spacing w:after="0" w:line="240" w:lineRule="auto"/>
        <w:jc w:val="both"/>
        <w:rPr>
          <w:rFonts w:ascii="Times New Roman" w:eastAsia="Times New Roman" w:hAnsi="Times New Roman"/>
          <w:noProof/>
          <w:sz w:val="24"/>
          <w:szCs w:val="24"/>
        </w:rPr>
      </w:pPr>
    </w:p>
    <w:p w14:paraId="40F75106" w14:textId="1F7920B4" w:rsidR="006E539B" w:rsidRPr="003C0DF0" w:rsidRDefault="00ED16B1" w:rsidP="00521EDB">
      <w:pPr>
        <w:spacing w:after="0" w:line="240" w:lineRule="auto"/>
        <w:ind w:firstLine="709"/>
        <w:jc w:val="both"/>
        <w:rPr>
          <w:rFonts w:ascii="Times New Roman" w:hAnsi="Times New Roman"/>
          <w:noProof/>
          <w:sz w:val="24"/>
          <w:szCs w:val="26"/>
        </w:rPr>
      </w:pPr>
      <w:r w:rsidRPr="003C0DF0">
        <w:rPr>
          <w:rFonts w:ascii="Times New Roman" w:hAnsi="Times New Roman"/>
          <w:noProof/>
          <w:sz w:val="24"/>
        </w:rPr>
        <w:t>The new financing model preserves the study places as the basis of the system, supplementing it with funding to stimulate institutional performance, development, and competition for the best results in studies and research. The three financing elements (basic activity, performance, and development) of the State funding are differentiated, and conforming balanced quality criteria are designed. The model links the study and research funding, and thus ensures a scope for the different missions of institutions of higher education. An institution of higher education receives a budget grant for studies and scientific activity in a single allocation, the structure and utilisation of which is provided for in the performance agreement. The performance agreement includes reporting requirements for the results achieved that comply with the allocation conditions.</w:t>
      </w:r>
    </w:p>
    <w:p w14:paraId="4C3B0FF6" w14:textId="77777777" w:rsidR="00521EDB" w:rsidRPr="003C0DF0" w:rsidRDefault="00521EDB" w:rsidP="006E539B">
      <w:pPr>
        <w:spacing w:after="0" w:line="240" w:lineRule="auto"/>
        <w:jc w:val="both"/>
        <w:rPr>
          <w:rFonts w:ascii="Times New Roman" w:hAnsi="Times New Roman"/>
          <w:b/>
          <w:noProof/>
          <w:sz w:val="24"/>
          <w:szCs w:val="26"/>
        </w:rPr>
      </w:pPr>
    </w:p>
    <w:p w14:paraId="594B4690" w14:textId="5C83A254" w:rsidR="00ED16B1" w:rsidRPr="003C0DF0" w:rsidRDefault="00ED16B1" w:rsidP="00521EDB">
      <w:pPr>
        <w:spacing w:after="0" w:line="240" w:lineRule="auto"/>
        <w:ind w:firstLine="709"/>
        <w:jc w:val="both"/>
        <w:rPr>
          <w:rFonts w:ascii="Times New Roman" w:hAnsi="Times New Roman"/>
          <w:b/>
          <w:noProof/>
          <w:sz w:val="24"/>
          <w:szCs w:val="26"/>
        </w:rPr>
      </w:pPr>
      <w:r w:rsidRPr="003C0DF0">
        <w:rPr>
          <w:rFonts w:ascii="Times New Roman" w:hAnsi="Times New Roman"/>
          <w:b/>
          <w:noProof/>
          <w:sz w:val="24"/>
        </w:rPr>
        <w:t xml:space="preserve">Upon full implementation, the new </w:t>
      </w:r>
      <w:r w:rsidRPr="003C0DF0">
        <w:rPr>
          <w:rFonts w:ascii="Times New Roman" w:hAnsi="Times New Roman"/>
          <w:b/>
          <w:i/>
          <w:noProof/>
          <w:sz w:val="24"/>
        </w:rPr>
        <w:t>three-pillar</w:t>
      </w:r>
      <w:r w:rsidRPr="003C0DF0">
        <w:rPr>
          <w:rFonts w:ascii="Times New Roman" w:hAnsi="Times New Roman"/>
          <w:b/>
          <w:noProof/>
          <w:sz w:val="24"/>
        </w:rPr>
        <w:t xml:space="preserve"> financing model can be characterised as follows:</w:t>
      </w:r>
    </w:p>
    <w:p w14:paraId="10E02EDB" w14:textId="77777777" w:rsidR="00521EDB" w:rsidRPr="003C0DF0" w:rsidRDefault="00521EDB" w:rsidP="00521EDB">
      <w:pPr>
        <w:spacing w:after="0" w:line="240" w:lineRule="auto"/>
        <w:ind w:firstLine="709"/>
        <w:jc w:val="both"/>
        <w:rPr>
          <w:rFonts w:ascii="Times New Roman" w:hAnsi="Times New Roman"/>
          <w:noProof/>
          <w:sz w:val="24"/>
          <w:szCs w:val="26"/>
        </w:rPr>
      </w:pPr>
    </w:p>
    <w:p w14:paraId="0142ED99" w14:textId="77777777" w:rsidR="006E539B" w:rsidRPr="003C0DF0" w:rsidRDefault="00ED16B1" w:rsidP="00521EDB">
      <w:pPr>
        <w:spacing w:after="0" w:line="240" w:lineRule="auto"/>
        <w:ind w:firstLine="709"/>
        <w:jc w:val="both"/>
        <w:rPr>
          <w:rFonts w:ascii="Times New Roman" w:hAnsi="Times New Roman"/>
          <w:noProof/>
          <w:sz w:val="24"/>
          <w:szCs w:val="26"/>
        </w:rPr>
      </w:pPr>
      <w:r w:rsidRPr="003C0DF0">
        <w:rPr>
          <w:rFonts w:ascii="Times New Roman" w:hAnsi="Times New Roman"/>
          <w:noProof/>
          <w:sz w:val="24"/>
        </w:rPr>
        <w:t xml:space="preserve">The first pillar is formed by the base funding for studies and research for ensuring the basic activity of institutions of higher education in studies and research. This is the stability financing, which ensures operation of the higher education system. The base funding for studies is determined by the number of places, taking into account the costs of studies in the specific area and level of studies. The allocation of study places in breakdown by field is determined by public and economic development priorities and profile of the institution of higher education. Private institutions of higher education may apply for a small proportion of study places, receiving a State budget funding for high-quality and innovative study programmes that are not offered at State institutions of higher education. Funding to the scientific activity of an institution of higher education is linked to the study funding, ending the practice that the scientific activity is separated from the academic activity, and allocating funding to scientific activity in institutions of higher education rather than to scientific institutes founded by </w:t>
      </w:r>
      <w:r w:rsidRPr="003C0DF0">
        <w:rPr>
          <w:rFonts w:ascii="Times New Roman" w:hAnsi="Times New Roman"/>
          <w:noProof/>
          <w:sz w:val="24"/>
        </w:rPr>
        <w:lastRenderedPageBreak/>
        <w:t>institutions of higher education. An institution of higher education receives funding for its scientific activity, which is calculated, using the number of personnel involved in research and costs of scientific sectors in the specific field of research. For the first pillar funding an institution of higher education concludes a medium-term performance agreement with the ministry and (where applicable) sectoral ministry, strengthening the agreement enforcement supervision.</w:t>
      </w:r>
    </w:p>
    <w:p w14:paraId="77F33F92" w14:textId="62CD84CC" w:rsidR="006E539B" w:rsidRPr="003C0DF0" w:rsidRDefault="00ED16B1" w:rsidP="00521EDB">
      <w:pPr>
        <w:spacing w:after="0" w:line="240" w:lineRule="auto"/>
        <w:ind w:firstLine="709"/>
        <w:jc w:val="both"/>
        <w:rPr>
          <w:rFonts w:ascii="Times New Roman" w:hAnsi="Times New Roman"/>
          <w:noProof/>
          <w:sz w:val="24"/>
          <w:szCs w:val="26"/>
        </w:rPr>
      </w:pPr>
      <w:r w:rsidRPr="003C0DF0">
        <w:rPr>
          <w:rFonts w:ascii="Times New Roman" w:hAnsi="Times New Roman"/>
          <w:noProof/>
          <w:sz w:val="24"/>
        </w:rPr>
        <w:t xml:space="preserve">The second pillar is the performance funding or </w:t>
      </w:r>
      <w:r w:rsidRPr="003C0DF0">
        <w:rPr>
          <w:rFonts w:ascii="Times New Roman" w:hAnsi="Times New Roman"/>
          <w:i/>
          <w:noProof/>
          <w:sz w:val="24"/>
        </w:rPr>
        <w:t>ex post</w:t>
      </w:r>
      <w:r w:rsidRPr="003C0DF0">
        <w:rPr>
          <w:rFonts w:ascii="Times New Roman" w:hAnsi="Times New Roman"/>
          <w:noProof/>
          <w:sz w:val="24"/>
        </w:rPr>
        <w:t xml:space="preserve"> funding, which is awarded for the operational results achieved. This is a competition and growth funding that promotes competition in the sector. This funding is granted on the basis of performance indicators conforming to certain policies, which are embedded in the financing framework (for example, the number of scientific publications, industry funding attracted, the number of graduates in a given field). The amount of funding to be used as performance funding is determined by the ministry. Performance indicators reflect the study and research results; the percentage of the funding (weight) to be allocated thereto is determined taking into account the policy priorities. In addition to the general indicators during the negotiation process with the institutions of higher education such indicators may also be determined, which meet the profile and strategic objectives of institutions of higher education, for example, employment rate, provided that there is access to objective data on employment of graduates.</w:t>
      </w:r>
    </w:p>
    <w:p w14:paraId="1E4958CF" w14:textId="7FA1A992" w:rsidR="00ED16B1" w:rsidRPr="003C0DF0" w:rsidRDefault="00ED16B1" w:rsidP="00521EDB">
      <w:pPr>
        <w:spacing w:after="0" w:line="240" w:lineRule="auto"/>
        <w:ind w:firstLine="709"/>
        <w:jc w:val="both"/>
        <w:rPr>
          <w:rFonts w:ascii="Times New Roman" w:hAnsi="Times New Roman"/>
          <w:noProof/>
          <w:sz w:val="24"/>
          <w:szCs w:val="26"/>
        </w:rPr>
      </w:pPr>
      <w:r w:rsidRPr="003C0DF0">
        <w:rPr>
          <w:rFonts w:ascii="Times New Roman" w:hAnsi="Times New Roman"/>
          <w:noProof/>
          <w:sz w:val="24"/>
        </w:rPr>
        <w:t>The World Bank experts suggest that performance funding should be granted according to the following indicators:</w:t>
      </w:r>
    </w:p>
    <w:p w14:paraId="7EE0B9F6" w14:textId="77777777" w:rsidR="00ED16B1" w:rsidRPr="003C0DF0" w:rsidRDefault="00ED16B1" w:rsidP="00521EDB">
      <w:pPr>
        <w:pStyle w:val="ListParagraph"/>
        <w:numPr>
          <w:ilvl w:val="0"/>
          <w:numId w:val="21"/>
        </w:numPr>
        <w:autoSpaceDE w:val="0"/>
        <w:autoSpaceDN w:val="0"/>
        <w:adjustRightInd w:val="0"/>
        <w:spacing w:after="0" w:line="240" w:lineRule="auto"/>
        <w:ind w:left="0" w:firstLine="709"/>
        <w:jc w:val="both"/>
        <w:rPr>
          <w:rFonts w:ascii="Times New Roman" w:hAnsi="Times New Roman"/>
          <w:noProof/>
          <w:sz w:val="24"/>
          <w:szCs w:val="26"/>
        </w:rPr>
      </w:pPr>
      <w:r w:rsidRPr="003C0DF0">
        <w:rPr>
          <w:rFonts w:ascii="Times New Roman" w:hAnsi="Times New Roman"/>
          <w:noProof/>
          <w:sz w:val="24"/>
        </w:rPr>
        <w:t>Proportion of graduates, duration of studies, employment of graduates, in order to create incentives to reduce the drop-out rates or timely detect drop-out risks;</w:t>
      </w:r>
    </w:p>
    <w:p w14:paraId="0E4B1E7D" w14:textId="77777777" w:rsidR="00ED16B1" w:rsidRPr="003C0DF0" w:rsidRDefault="00ED16B1" w:rsidP="00521EDB">
      <w:pPr>
        <w:pStyle w:val="ListParagraph"/>
        <w:numPr>
          <w:ilvl w:val="0"/>
          <w:numId w:val="21"/>
        </w:numPr>
        <w:autoSpaceDE w:val="0"/>
        <w:autoSpaceDN w:val="0"/>
        <w:adjustRightInd w:val="0"/>
        <w:spacing w:after="0" w:line="240" w:lineRule="auto"/>
        <w:ind w:left="0" w:firstLine="709"/>
        <w:jc w:val="both"/>
        <w:rPr>
          <w:rFonts w:ascii="Times New Roman" w:hAnsi="Times New Roman"/>
          <w:noProof/>
          <w:sz w:val="24"/>
          <w:szCs w:val="26"/>
        </w:rPr>
      </w:pPr>
      <w:r w:rsidRPr="003C0DF0">
        <w:rPr>
          <w:rFonts w:ascii="Times New Roman" w:hAnsi="Times New Roman"/>
          <w:noProof/>
          <w:sz w:val="24"/>
        </w:rPr>
        <w:t>Number of students who have acquired master and doctoral degree, number of participants of post doctoral programmes in order to promote preparation of highly qualified specialists and renewal of human resources in higher education and research;</w:t>
      </w:r>
    </w:p>
    <w:p w14:paraId="72DD484C" w14:textId="77777777" w:rsidR="00ED16B1" w:rsidRPr="003C0DF0" w:rsidRDefault="00ED16B1" w:rsidP="00521EDB">
      <w:pPr>
        <w:pStyle w:val="ListParagraph"/>
        <w:numPr>
          <w:ilvl w:val="0"/>
          <w:numId w:val="21"/>
        </w:numPr>
        <w:autoSpaceDE w:val="0"/>
        <w:autoSpaceDN w:val="0"/>
        <w:adjustRightInd w:val="0"/>
        <w:spacing w:after="0" w:line="240" w:lineRule="auto"/>
        <w:ind w:left="0" w:firstLine="709"/>
        <w:jc w:val="both"/>
        <w:rPr>
          <w:rFonts w:ascii="Times New Roman" w:hAnsi="Times New Roman"/>
          <w:noProof/>
          <w:sz w:val="24"/>
          <w:szCs w:val="26"/>
        </w:rPr>
      </w:pPr>
      <w:r w:rsidRPr="003C0DF0">
        <w:rPr>
          <w:rFonts w:ascii="Times New Roman" w:hAnsi="Times New Roman"/>
          <w:noProof/>
          <w:sz w:val="24"/>
        </w:rPr>
        <w:t>Number of incoming and outgoing students, as well as guest lecturers, international research and educational co-operation projects in order to promote international co-operation in the study and research work (internationalisation);</w:t>
      </w:r>
    </w:p>
    <w:p w14:paraId="2E2B6FDD" w14:textId="77777777" w:rsidR="00ED16B1" w:rsidRPr="003C0DF0" w:rsidRDefault="00ED16B1" w:rsidP="00521EDB">
      <w:pPr>
        <w:pStyle w:val="ListParagraph"/>
        <w:numPr>
          <w:ilvl w:val="0"/>
          <w:numId w:val="21"/>
        </w:numPr>
        <w:autoSpaceDE w:val="0"/>
        <w:autoSpaceDN w:val="0"/>
        <w:adjustRightInd w:val="0"/>
        <w:spacing w:after="0" w:line="240" w:lineRule="auto"/>
        <w:ind w:left="0" w:firstLine="709"/>
        <w:jc w:val="both"/>
        <w:rPr>
          <w:rFonts w:ascii="Times New Roman" w:hAnsi="Times New Roman"/>
          <w:noProof/>
          <w:sz w:val="24"/>
          <w:szCs w:val="26"/>
        </w:rPr>
      </w:pPr>
      <w:r w:rsidRPr="003C0DF0">
        <w:rPr>
          <w:rFonts w:ascii="Times New Roman" w:hAnsi="Times New Roman"/>
          <w:noProof/>
          <w:sz w:val="24"/>
        </w:rPr>
        <w:t>Bibliometric indicators, to stimulate dissemination and quality of research findings;</w:t>
      </w:r>
    </w:p>
    <w:p w14:paraId="536F4C9F" w14:textId="77777777" w:rsidR="00ED16B1" w:rsidRPr="003C0DF0" w:rsidRDefault="00ED16B1" w:rsidP="00521EDB">
      <w:pPr>
        <w:pStyle w:val="ListParagraph"/>
        <w:numPr>
          <w:ilvl w:val="0"/>
          <w:numId w:val="21"/>
        </w:numPr>
        <w:autoSpaceDE w:val="0"/>
        <w:autoSpaceDN w:val="0"/>
        <w:adjustRightInd w:val="0"/>
        <w:spacing w:after="0" w:line="240" w:lineRule="auto"/>
        <w:ind w:left="0" w:firstLine="709"/>
        <w:jc w:val="both"/>
        <w:rPr>
          <w:rFonts w:ascii="Times New Roman" w:hAnsi="Times New Roman"/>
          <w:noProof/>
          <w:sz w:val="24"/>
          <w:szCs w:val="26"/>
        </w:rPr>
      </w:pPr>
      <w:r w:rsidRPr="003C0DF0">
        <w:rPr>
          <w:rFonts w:ascii="Times New Roman" w:hAnsi="Times New Roman"/>
          <w:noProof/>
          <w:sz w:val="24"/>
        </w:rPr>
        <w:t>The proportion of students who participate in academic and application research;</w:t>
      </w:r>
    </w:p>
    <w:p w14:paraId="6FDB59B5" w14:textId="77777777" w:rsidR="00ED16B1" w:rsidRPr="003C0DF0" w:rsidRDefault="00ED16B1" w:rsidP="00521EDB">
      <w:pPr>
        <w:pStyle w:val="ListParagraph"/>
        <w:numPr>
          <w:ilvl w:val="0"/>
          <w:numId w:val="21"/>
        </w:numPr>
        <w:autoSpaceDE w:val="0"/>
        <w:autoSpaceDN w:val="0"/>
        <w:adjustRightInd w:val="0"/>
        <w:spacing w:after="0" w:line="240" w:lineRule="auto"/>
        <w:ind w:left="0" w:firstLine="709"/>
        <w:jc w:val="both"/>
        <w:rPr>
          <w:rFonts w:ascii="Times New Roman" w:hAnsi="Times New Roman"/>
          <w:noProof/>
          <w:sz w:val="24"/>
          <w:szCs w:val="26"/>
        </w:rPr>
      </w:pPr>
      <w:r w:rsidRPr="003C0DF0">
        <w:rPr>
          <w:rFonts w:ascii="Times New Roman" w:hAnsi="Times New Roman"/>
          <w:noProof/>
          <w:sz w:val="24"/>
        </w:rPr>
        <w:t>Third-party funding attracted for research in order to stimulate the attraction of external funding and promotion of higher education and research link with the industry;</w:t>
      </w:r>
    </w:p>
    <w:p w14:paraId="68345571" w14:textId="77777777" w:rsidR="006E539B" w:rsidRPr="003C0DF0" w:rsidRDefault="00ED16B1" w:rsidP="00521EDB">
      <w:pPr>
        <w:pStyle w:val="ListParagraph"/>
        <w:numPr>
          <w:ilvl w:val="0"/>
          <w:numId w:val="21"/>
        </w:numPr>
        <w:spacing w:after="0" w:line="240" w:lineRule="auto"/>
        <w:ind w:left="0" w:firstLine="709"/>
        <w:jc w:val="both"/>
        <w:rPr>
          <w:rFonts w:ascii="Times New Roman" w:hAnsi="Times New Roman"/>
          <w:noProof/>
          <w:sz w:val="24"/>
          <w:szCs w:val="26"/>
        </w:rPr>
      </w:pPr>
      <w:r w:rsidRPr="003C0DF0">
        <w:rPr>
          <w:rFonts w:ascii="Times New Roman" w:hAnsi="Times New Roman"/>
          <w:noProof/>
          <w:sz w:val="24"/>
        </w:rPr>
        <w:t>Applied research and implemented co-operation projects with the industry to stimulate the transfer of research results, including master and doctoral works developed for the needs of the industry, etc.</w:t>
      </w:r>
    </w:p>
    <w:p w14:paraId="1760F75C" w14:textId="236B91EA" w:rsidR="00ED16B1" w:rsidRPr="003C0DF0" w:rsidRDefault="00ED16B1" w:rsidP="00521EDB">
      <w:pPr>
        <w:spacing w:after="0" w:line="240" w:lineRule="auto"/>
        <w:ind w:firstLine="709"/>
        <w:jc w:val="both"/>
        <w:rPr>
          <w:rFonts w:ascii="Times New Roman" w:hAnsi="Times New Roman"/>
          <w:noProof/>
          <w:sz w:val="24"/>
          <w:szCs w:val="26"/>
        </w:rPr>
      </w:pPr>
      <w:r w:rsidRPr="003C0DF0">
        <w:rPr>
          <w:rFonts w:ascii="Times New Roman" w:hAnsi="Times New Roman"/>
          <w:noProof/>
          <w:sz w:val="24"/>
        </w:rPr>
        <w:t xml:space="preserve">Performance indicators are aligned with the performance parameters of institutions of higher education included in the comparison tool of institutions of higher education </w:t>
      </w:r>
      <w:r w:rsidRPr="003C0DF0">
        <w:rPr>
          <w:rFonts w:ascii="Times New Roman" w:hAnsi="Times New Roman"/>
          <w:i/>
          <w:noProof/>
          <w:sz w:val="24"/>
        </w:rPr>
        <w:t>U-Multirank</w:t>
      </w:r>
      <w:r w:rsidRPr="003C0DF0">
        <w:rPr>
          <w:rStyle w:val="FootnoteReference"/>
          <w:rFonts w:ascii="Times New Roman" w:hAnsi="Times New Roman"/>
          <w:noProof/>
          <w:sz w:val="24"/>
        </w:rPr>
        <w:footnoteReference w:id="7"/>
      </w:r>
      <w:r w:rsidRPr="003C0DF0">
        <w:rPr>
          <w:rFonts w:ascii="Times New Roman" w:hAnsi="Times New Roman"/>
          <w:noProof/>
          <w:sz w:val="24"/>
        </w:rPr>
        <w:t>.</w:t>
      </w:r>
    </w:p>
    <w:p w14:paraId="42376297" w14:textId="77777777" w:rsidR="006E539B" w:rsidRPr="003C0DF0" w:rsidRDefault="00ED16B1" w:rsidP="00521EDB">
      <w:pPr>
        <w:spacing w:after="0" w:line="240" w:lineRule="auto"/>
        <w:ind w:firstLine="709"/>
        <w:jc w:val="both"/>
        <w:rPr>
          <w:rFonts w:ascii="Times New Roman" w:hAnsi="Times New Roman"/>
          <w:noProof/>
          <w:sz w:val="24"/>
          <w:szCs w:val="26"/>
        </w:rPr>
      </w:pPr>
      <w:r w:rsidRPr="003C0DF0">
        <w:rPr>
          <w:rFonts w:ascii="Times New Roman" w:hAnsi="Times New Roman"/>
          <w:noProof/>
          <w:sz w:val="24"/>
        </w:rPr>
        <w:t xml:space="preserve">The third pillar is the funding that is provided for the development of higher education and research offer according to the strategic specialisation and research programme of the institution. Development funding is </w:t>
      </w:r>
      <w:r w:rsidRPr="003C0DF0">
        <w:rPr>
          <w:rFonts w:ascii="Times New Roman" w:hAnsi="Times New Roman"/>
          <w:i/>
          <w:noProof/>
          <w:sz w:val="24"/>
        </w:rPr>
        <w:t>ex ante</w:t>
      </w:r>
      <w:r w:rsidRPr="003C0DF0">
        <w:rPr>
          <w:rFonts w:ascii="Times New Roman" w:hAnsi="Times New Roman"/>
          <w:noProof/>
          <w:sz w:val="24"/>
        </w:rPr>
        <w:t xml:space="preserve"> funding, which is focused on reaching the strategic objectives in the future. It shall be granted to nationally strategically important projects, for example, centres of excellence, human capital development in the priority areas, implementation of research initiatives, promotion of knowledge transfer and co-operation with the industry. Development funding is granted by means of a competition. For sustainable development, support to study and research innovations must be provided both from the State budget and from the European Union Structural Funds.</w:t>
      </w:r>
    </w:p>
    <w:p w14:paraId="1C93A5A7" w14:textId="3ABEBBCC" w:rsidR="00ED16B1" w:rsidRPr="003C0DF0" w:rsidRDefault="00ED16B1" w:rsidP="00521EDB">
      <w:pPr>
        <w:shd w:val="clear" w:color="auto" w:fill="FFFFFF"/>
        <w:spacing w:after="0" w:line="240" w:lineRule="auto"/>
        <w:ind w:firstLine="709"/>
        <w:jc w:val="both"/>
        <w:rPr>
          <w:rFonts w:ascii="Times New Roman" w:eastAsia="Times New Roman" w:hAnsi="Times New Roman"/>
          <w:noProof/>
          <w:sz w:val="24"/>
          <w:szCs w:val="26"/>
        </w:rPr>
      </w:pPr>
      <w:r w:rsidRPr="003C0DF0">
        <w:rPr>
          <w:rFonts w:ascii="Times New Roman" w:hAnsi="Times New Roman"/>
          <w:noProof/>
          <w:sz w:val="24"/>
        </w:rPr>
        <w:lastRenderedPageBreak/>
        <w:t>The three-pillar financing model proposed by the Ministry of Education and Science based on the World Bank's proposal, is presented in Figure 2.</w:t>
      </w:r>
    </w:p>
    <w:p w14:paraId="7154BCFB" w14:textId="77777777" w:rsidR="00521EDB" w:rsidRDefault="00521EDB" w:rsidP="00D611E9">
      <w:pPr>
        <w:shd w:val="clear" w:color="auto" w:fill="FFFFFF"/>
        <w:spacing w:after="0" w:line="240" w:lineRule="auto"/>
        <w:jc w:val="both"/>
        <w:rPr>
          <w:rFonts w:ascii="Times New Roman" w:eastAsia="Times New Roman" w:hAnsi="Times New Roman"/>
          <w:noProof/>
          <w:sz w:val="24"/>
          <w:szCs w:val="26"/>
        </w:rPr>
      </w:pPr>
    </w:p>
    <w:p w14:paraId="1F3C779D" w14:textId="7F06D715" w:rsidR="00D611E9" w:rsidRDefault="00D611E9" w:rsidP="00D611E9">
      <w:pPr>
        <w:shd w:val="clear" w:color="auto" w:fill="FFFFFF"/>
        <w:spacing w:after="0" w:line="240" w:lineRule="auto"/>
        <w:jc w:val="center"/>
        <w:rPr>
          <w:rFonts w:ascii="Times New Roman" w:eastAsia="Times New Roman" w:hAnsi="Times New Roman"/>
          <w:noProof/>
          <w:sz w:val="24"/>
          <w:szCs w:val="26"/>
        </w:rPr>
      </w:pPr>
      <w:r>
        <w:rPr>
          <w:rFonts w:ascii="Times New Roman" w:eastAsia="Times New Roman" w:hAnsi="Times New Roman"/>
          <w:noProof/>
          <w:sz w:val="24"/>
          <w:szCs w:val="26"/>
          <w:lang w:val="lv-LV" w:eastAsia="lv-LV" w:bidi="ar-SA"/>
        </w:rPr>
        <w:drawing>
          <wp:inline distT="0" distB="0" distL="0" distR="0" wp14:anchorId="16EE3C84" wp14:editId="18BBFDDD">
            <wp:extent cx="5762625" cy="44672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2625" cy="4467225"/>
                    </a:xfrm>
                    <a:prstGeom prst="rect">
                      <a:avLst/>
                    </a:prstGeom>
                    <a:noFill/>
                    <a:ln>
                      <a:noFill/>
                    </a:ln>
                  </pic:spPr>
                </pic:pic>
              </a:graphicData>
            </a:graphic>
          </wp:inline>
        </w:drawing>
      </w:r>
    </w:p>
    <w:p w14:paraId="6DC57D73" w14:textId="77777777" w:rsidR="00D611E9" w:rsidRDefault="00D611E9" w:rsidP="00D611E9">
      <w:pPr>
        <w:shd w:val="clear" w:color="auto" w:fill="FFFFFF"/>
        <w:spacing w:after="0" w:line="240" w:lineRule="auto"/>
        <w:jc w:val="both"/>
        <w:rPr>
          <w:rFonts w:ascii="Times New Roman" w:eastAsia="Times New Roman" w:hAnsi="Times New Roman"/>
          <w:noProof/>
          <w:sz w:val="24"/>
          <w:szCs w:val="26"/>
        </w:rPr>
      </w:pPr>
    </w:p>
    <w:p w14:paraId="7EE37FF7" w14:textId="77777777" w:rsidR="00ED16B1" w:rsidRPr="003C0DF0" w:rsidRDefault="00ED16B1" w:rsidP="00D85172">
      <w:pPr>
        <w:shd w:val="clear" w:color="auto" w:fill="FFFFFF"/>
        <w:spacing w:after="0" w:line="240" w:lineRule="auto"/>
        <w:ind w:firstLine="709"/>
        <w:jc w:val="both"/>
        <w:rPr>
          <w:rFonts w:ascii="Times New Roman" w:eastAsia="Times New Roman" w:hAnsi="Times New Roman"/>
          <w:noProof/>
          <w:sz w:val="24"/>
          <w:szCs w:val="24"/>
        </w:rPr>
      </w:pPr>
      <w:r w:rsidRPr="003C0DF0">
        <w:rPr>
          <w:rFonts w:ascii="Times New Roman" w:hAnsi="Times New Roman"/>
          <w:i/>
          <w:noProof/>
          <w:sz w:val="24"/>
        </w:rPr>
        <w:t xml:space="preserve">Figure 2. </w:t>
      </w:r>
      <w:r w:rsidRPr="003C0DF0">
        <w:rPr>
          <w:rFonts w:ascii="Times New Roman" w:hAnsi="Times New Roman"/>
          <w:b/>
          <w:noProof/>
          <w:sz w:val="24"/>
        </w:rPr>
        <w:t>Three-pillar Higher Education Financing Model</w:t>
      </w:r>
      <w:r w:rsidRPr="003C0DF0">
        <w:rPr>
          <w:rFonts w:ascii="Times New Roman" w:hAnsi="Times New Roman"/>
          <w:b/>
          <w:noProof/>
          <w:sz w:val="24"/>
          <w:vertAlign w:val="superscript"/>
        </w:rPr>
        <w:footnoteReference w:id="8"/>
      </w:r>
    </w:p>
    <w:p w14:paraId="78B1353E" w14:textId="77777777" w:rsidR="00ED16B1" w:rsidRPr="003C0DF0" w:rsidRDefault="00ED16B1" w:rsidP="00D85172">
      <w:pPr>
        <w:spacing w:after="0" w:line="240" w:lineRule="auto"/>
        <w:ind w:firstLine="709"/>
        <w:jc w:val="both"/>
        <w:rPr>
          <w:rFonts w:ascii="Times New Roman" w:hAnsi="Times New Roman"/>
          <w:b/>
          <w:noProof/>
          <w:sz w:val="24"/>
          <w:szCs w:val="26"/>
        </w:rPr>
      </w:pPr>
    </w:p>
    <w:p w14:paraId="415477F2" w14:textId="77777777" w:rsidR="00ED16B1" w:rsidRPr="003C0DF0" w:rsidRDefault="00ED16B1" w:rsidP="00D85172">
      <w:pPr>
        <w:spacing w:after="0" w:line="240" w:lineRule="auto"/>
        <w:ind w:firstLine="709"/>
        <w:jc w:val="both"/>
        <w:rPr>
          <w:rFonts w:ascii="Times New Roman" w:hAnsi="Times New Roman"/>
          <w:noProof/>
          <w:sz w:val="24"/>
          <w:szCs w:val="26"/>
        </w:rPr>
      </w:pPr>
      <w:r w:rsidRPr="003C0DF0">
        <w:rPr>
          <w:rFonts w:ascii="Times New Roman" w:hAnsi="Times New Roman"/>
          <w:b/>
          <w:noProof/>
          <w:sz w:val="24"/>
        </w:rPr>
        <w:t xml:space="preserve">Despite the fact that upon introduction of the three-pillar financing model, the study places financed from the State budget remain a significant part of the Latvian higher education funding, the World Bank experts point out that it is necessary to revise the planning process of study places, making it more efficient and transparent. </w:t>
      </w:r>
      <w:r w:rsidRPr="003C0DF0">
        <w:rPr>
          <w:rFonts w:ascii="Times New Roman" w:hAnsi="Times New Roman"/>
          <w:noProof/>
          <w:sz w:val="24"/>
        </w:rPr>
        <w:t xml:space="preserve">Upon planning the study places both the investment priorities of the ministry according to the policies, and the overall performance indicators and performance indicators of the previous period of the institution of higher education are taken into account. Every three years, based on the priorities and offer of institutions of higher education, the ministry in co-operation with sectoral ministries agree with each institution of higher education on the medium-term allocation of subsidised study places. The purpose of the performance agreements concluded with institutions of higher education is to define the national objectives of the higher education sector, encouraging institutions of higher education to involve themselves in meeting these objectives. Concurrently the performance agreement allows more efficient implementation of </w:t>
      </w:r>
      <w:r w:rsidRPr="003C0DF0">
        <w:rPr>
          <w:rFonts w:ascii="Times New Roman" w:hAnsi="Times New Roman"/>
          <w:noProof/>
          <w:sz w:val="24"/>
        </w:rPr>
        <w:lastRenderedPageBreak/>
        <w:t>strategic planning of institutions and specialisation of institutions of higher education. Thus, the agreements have a co-ordinating role in alignment of national and institutional strategies.</w:t>
      </w:r>
    </w:p>
    <w:p w14:paraId="608A5275" w14:textId="680DCA8B" w:rsidR="00ED16B1" w:rsidRPr="003C0DF0" w:rsidRDefault="00ED16B1" w:rsidP="00D85172">
      <w:pPr>
        <w:spacing w:after="0" w:line="240" w:lineRule="auto"/>
        <w:ind w:firstLine="709"/>
        <w:jc w:val="both"/>
        <w:rPr>
          <w:rFonts w:ascii="Times New Roman" w:hAnsi="Times New Roman"/>
          <w:noProof/>
          <w:sz w:val="24"/>
          <w:szCs w:val="26"/>
        </w:rPr>
      </w:pPr>
      <w:r w:rsidRPr="003C0DF0">
        <w:rPr>
          <w:rFonts w:ascii="Times New Roman" w:hAnsi="Times New Roman"/>
          <w:noProof/>
          <w:sz w:val="24"/>
        </w:rPr>
        <w:t>The ministry annually evaluates the study place performance indicators and takes a decision on the amount of the first pillar funding, based on the available budget and the fulfilment of the requirements laid down in the performance agreement. Competition between institutions of higher education should be promoted, offering arguments for additional study places, including for development of new innovative programmes. The World Bank experts consider that private institutions of higher education should be encouraged to participate in the competition for budget funding for high-quality and innovative study programmes conforming to the economic development priorities, which are not offered in State institutions of higher education.</w:t>
      </w:r>
    </w:p>
    <w:p w14:paraId="3BCB8D84" w14:textId="77777777" w:rsidR="006E539B" w:rsidRPr="003C0DF0" w:rsidRDefault="00ED16B1" w:rsidP="00D85172">
      <w:pPr>
        <w:spacing w:after="0" w:line="240" w:lineRule="auto"/>
        <w:ind w:firstLine="709"/>
        <w:jc w:val="both"/>
        <w:rPr>
          <w:rFonts w:ascii="Times New Roman" w:hAnsi="Times New Roman"/>
          <w:noProof/>
          <w:sz w:val="24"/>
          <w:szCs w:val="26"/>
        </w:rPr>
      </w:pPr>
      <w:r w:rsidRPr="003C0DF0">
        <w:rPr>
          <w:rFonts w:ascii="Times New Roman" w:hAnsi="Times New Roman"/>
          <w:noProof/>
          <w:sz w:val="24"/>
        </w:rPr>
        <w:t>The amount allocated per study place in each discipline or field (e.g., social sciences, medicine, etc.) is based on the cost ratio between the study directions (i.e., cost coefficients) and on the available budget for study places (base funding). Their ratio is analysed and, if necessary, updated based on the cost structure. The ministry determines the minimum volume of programmes and cost efficiency indicators, and does not finance programmes that do not reach the minimum volume of a programme or cost-effectiveness threshold. The actual number of students in the study direction may vary (for example, +/- 5 to 10 percent). If fluctuations in the number of students exceed the set thresholds, it may affect allocation of the funding and the ministry's offer for the next period that is specified in the performance agreement. Periodically, the ministry conducts a review of the study places in a specific field (on a regular basis, every 3-5 years and when needed). Thus, the incremental approach to the allocation of study places in breakdown by field is examined on a regular basis in respect to the policies and achievement of objectives laid down in the performance agreement, and the results of the examination serve as the basis for restructuring the funds. The examination uses criteria such as the overall structure of study places, costs of study programmes, qualification of academic personnel, employment rates after graduation, research activities, involvement of employers in the development of the content of study programmes, satisfaction of students, and other aspects.</w:t>
      </w:r>
    </w:p>
    <w:p w14:paraId="4B4E54CC" w14:textId="0FB1C74D" w:rsidR="006E539B" w:rsidRPr="003C0DF0" w:rsidRDefault="00ED16B1" w:rsidP="00D85172">
      <w:pPr>
        <w:spacing w:after="0" w:line="240" w:lineRule="auto"/>
        <w:ind w:firstLine="709"/>
        <w:jc w:val="both"/>
        <w:rPr>
          <w:rFonts w:ascii="Times New Roman" w:hAnsi="Times New Roman"/>
          <w:noProof/>
          <w:sz w:val="24"/>
          <w:szCs w:val="26"/>
        </w:rPr>
      </w:pPr>
      <w:r w:rsidRPr="003C0DF0">
        <w:rPr>
          <w:rFonts w:ascii="Times New Roman" w:hAnsi="Times New Roman"/>
          <w:noProof/>
          <w:sz w:val="24"/>
        </w:rPr>
        <w:t>The co-operation with the sectoral associations and ministries is strengthened by involving them in the planning process of study places and in the planning of preparation of specialists needed for the sector. In addition to the process transparency, the Higher Education Council or an independent panel (representatives of the ministry, representatives of institutions, international experts) may act as consultants when assessing the allocation of study places. The compliance of the three-pillar financing model with the tasks of the financing system reform, namely, solving of the problems of the current financing model according to the results of the study conducted by the World Bank is presented in Table 4</w:t>
      </w:r>
      <w:r w:rsidRPr="003C0DF0">
        <w:rPr>
          <w:rStyle w:val="FootnoteReference"/>
          <w:rFonts w:ascii="Times New Roman" w:hAnsi="Times New Roman"/>
          <w:noProof/>
          <w:sz w:val="24"/>
        </w:rPr>
        <w:footnoteReference w:id="9"/>
      </w:r>
      <w:r w:rsidRPr="003C0DF0">
        <w:rPr>
          <w:rFonts w:ascii="Times New Roman" w:hAnsi="Times New Roman"/>
          <w:noProof/>
          <w:sz w:val="24"/>
        </w:rPr>
        <w:t>.</w:t>
      </w:r>
    </w:p>
    <w:p w14:paraId="66F5F790" w14:textId="77777777" w:rsidR="00D85172" w:rsidRPr="003C0DF0" w:rsidRDefault="00D85172" w:rsidP="006E539B">
      <w:pPr>
        <w:spacing w:after="0" w:line="240" w:lineRule="auto"/>
        <w:jc w:val="both"/>
        <w:rPr>
          <w:rFonts w:ascii="Times New Roman" w:hAnsi="Times New Roman"/>
          <w:i/>
          <w:noProof/>
          <w:sz w:val="24"/>
          <w:szCs w:val="24"/>
        </w:rPr>
      </w:pPr>
    </w:p>
    <w:p w14:paraId="13F184A6" w14:textId="77777777" w:rsidR="00D12977" w:rsidRDefault="00D12977">
      <w:pPr>
        <w:spacing w:after="0" w:line="240" w:lineRule="auto"/>
        <w:rPr>
          <w:rFonts w:ascii="Times New Roman" w:hAnsi="Times New Roman"/>
          <w:i/>
          <w:noProof/>
          <w:sz w:val="24"/>
        </w:rPr>
      </w:pPr>
      <w:r>
        <w:rPr>
          <w:rFonts w:ascii="Times New Roman" w:hAnsi="Times New Roman"/>
          <w:i/>
          <w:noProof/>
          <w:sz w:val="24"/>
        </w:rPr>
        <w:br w:type="page"/>
      </w:r>
    </w:p>
    <w:p w14:paraId="6C406E56" w14:textId="1C62C378" w:rsidR="00ED16B1" w:rsidRPr="003C0DF0" w:rsidRDefault="00ED16B1" w:rsidP="00D85172">
      <w:pPr>
        <w:spacing w:after="0" w:line="240" w:lineRule="auto"/>
        <w:jc w:val="right"/>
        <w:rPr>
          <w:rFonts w:ascii="Times New Roman" w:hAnsi="Times New Roman"/>
          <w:b/>
          <w:noProof/>
          <w:sz w:val="24"/>
          <w:szCs w:val="24"/>
        </w:rPr>
      </w:pPr>
      <w:r w:rsidRPr="003C0DF0">
        <w:rPr>
          <w:rFonts w:ascii="Times New Roman" w:hAnsi="Times New Roman"/>
          <w:i/>
          <w:noProof/>
          <w:sz w:val="24"/>
        </w:rPr>
        <w:lastRenderedPageBreak/>
        <w:t xml:space="preserve">Table 4. </w:t>
      </w:r>
      <w:r w:rsidRPr="003C0DF0">
        <w:rPr>
          <w:rFonts w:ascii="Times New Roman" w:hAnsi="Times New Roman"/>
          <w:b/>
          <w:noProof/>
          <w:sz w:val="24"/>
        </w:rPr>
        <w:t>Compliance of the New Financing Model with the Set Requirements</w:t>
      </w:r>
    </w:p>
    <w:p w14:paraId="7ED5C044" w14:textId="77777777" w:rsidR="00ED16B1" w:rsidRPr="003C0DF0" w:rsidRDefault="00ED16B1" w:rsidP="006E539B">
      <w:pPr>
        <w:spacing w:after="0" w:line="240" w:lineRule="auto"/>
        <w:jc w:val="both"/>
        <w:rPr>
          <w:rFonts w:ascii="Times New Roman" w:hAnsi="Times New Roman"/>
          <w:b/>
          <w:noProof/>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5"/>
        <w:gridCol w:w="2798"/>
        <w:gridCol w:w="3358"/>
      </w:tblGrid>
      <w:tr w:rsidR="00ED16B1" w:rsidRPr="003C0DF0" w14:paraId="0D1FC0E2" w14:textId="77777777" w:rsidTr="00D12977">
        <w:tc>
          <w:tcPr>
            <w:tcW w:w="1603" w:type="pct"/>
            <w:shd w:val="clear" w:color="auto" w:fill="DBE5F1" w:themeFill="accent1" w:themeFillTint="33"/>
            <w:vAlign w:val="center"/>
          </w:tcPr>
          <w:p w14:paraId="693DE79D" w14:textId="77777777" w:rsidR="00ED16B1" w:rsidRPr="003C0DF0" w:rsidRDefault="00ED16B1" w:rsidP="006E539B">
            <w:pPr>
              <w:tabs>
                <w:tab w:val="center" w:pos="4680"/>
                <w:tab w:val="right" w:pos="9360"/>
              </w:tabs>
              <w:spacing w:after="0" w:line="240" w:lineRule="auto"/>
              <w:jc w:val="both"/>
              <w:rPr>
                <w:rFonts w:ascii="Times New Roman" w:hAnsi="Times New Roman"/>
                <w:b/>
                <w:noProof/>
                <w:sz w:val="24"/>
                <w:szCs w:val="24"/>
              </w:rPr>
            </w:pPr>
            <w:r w:rsidRPr="003C0DF0">
              <w:rPr>
                <w:rFonts w:ascii="Times New Roman" w:hAnsi="Times New Roman"/>
                <w:b/>
                <w:noProof/>
                <w:sz w:val="24"/>
              </w:rPr>
              <w:t>Problems of the Current Model</w:t>
            </w:r>
          </w:p>
        </w:tc>
        <w:tc>
          <w:tcPr>
            <w:tcW w:w="1544" w:type="pct"/>
            <w:shd w:val="clear" w:color="auto" w:fill="DBE5F1" w:themeFill="accent1" w:themeFillTint="33"/>
            <w:vAlign w:val="center"/>
          </w:tcPr>
          <w:p w14:paraId="06EB5611" w14:textId="77777777" w:rsidR="00ED16B1" w:rsidRPr="003C0DF0" w:rsidRDefault="00ED16B1" w:rsidP="006E539B">
            <w:pPr>
              <w:spacing w:after="0" w:line="240" w:lineRule="auto"/>
              <w:jc w:val="both"/>
              <w:rPr>
                <w:rFonts w:ascii="Times New Roman" w:hAnsi="Times New Roman"/>
                <w:b/>
                <w:noProof/>
                <w:sz w:val="24"/>
                <w:szCs w:val="24"/>
              </w:rPr>
            </w:pPr>
            <w:r w:rsidRPr="003C0DF0">
              <w:rPr>
                <w:rFonts w:ascii="Times New Roman" w:hAnsi="Times New Roman"/>
                <w:b/>
                <w:noProof/>
                <w:sz w:val="24"/>
              </w:rPr>
              <w:t>New Model</w:t>
            </w:r>
          </w:p>
        </w:tc>
        <w:tc>
          <w:tcPr>
            <w:tcW w:w="1853" w:type="pct"/>
            <w:shd w:val="clear" w:color="auto" w:fill="DBE5F1" w:themeFill="accent1" w:themeFillTint="33"/>
            <w:vAlign w:val="center"/>
          </w:tcPr>
          <w:p w14:paraId="00A63F17" w14:textId="77777777" w:rsidR="00D12977" w:rsidRDefault="00ED16B1" w:rsidP="006E539B">
            <w:pPr>
              <w:spacing w:after="0" w:line="240" w:lineRule="auto"/>
              <w:jc w:val="both"/>
              <w:rPr>
                <w:rFonts w:ascii="Times New Roman" w:hAnsi="Times New Roman"/>
                <w:b/>
                <w:noProof/>
                <w:sz w:val="24"/>
              </w:rPr>
            </w:pPr>
            <w:r w:rsidRPr="003C0DF0">
              <w:rPr>
                <w:rFonts w:ascii="Times New Roman" w:hAnsi="Times New Roman"/>
                <w:b/>
                <w:noProof/>
                <w:sz w:val="24"/>
              </w:rPr>
              <w:t>Evaluation Criter</w:t>
            </w:r>
            <w:r w:rsidR="00D12977">
              <w:rPr>
                <w:rFonts w:ascii="Times New Roman" w:hAnsi="Times New Roman"/>
                <w:b/>
                <w:noProof/>
                <w:sz w:val="24"/>
              </w:rPr>
              <w:t>ia</w:t>
            </w:r>
          </w:p>
          <w:p w14:paraId="0D519076" w14:textId="337A94AB" w:rsidR="00ED16B1" w:rsidRPr="003C0DF0" w:rsidRDefault="00ED16B1" w:rsidP="006E539B">
            <w:pPr>
              <w:spacing w:after="0" w:line="240" w:lineRule="auto"/>
              <w:jc w:val="both"/>
              <w:rPr>
                <w:rFonts w:ascii="Times New Roman" w:hAnsi="Times New Roman"/>
                <w:b/>
                <w:noProof/>
                <w:sz w:val="24"/>
                <w:szCs w:val="24"/>
              </w:rPr>
            </w:pPr>
            <w:r w:rsidRPr="003C0DF0">
              <w:rPr>
                <w:rFonts w:ascii="Times New Roman" w:hAnsi="Times New Roman"/>
                <w:b/>
                <w:noProof/>
                <w:sz w:val="24"/>
              </w:rPr>
              <w:t>of the New Model</w:t>
            </w:r>
          </w:p>
        </w:tc>
      </w:tr>
      <w:tr w:rsidR="00ED16B1" w:rsidRPr="003C0DF0" w14:paraId="424770AD" w14:textId="77777777" w:rsidTr="00D12977">
        <w:tc>
          <w:tcPr>
            <w:tcW w:w="1603" w:type="pct"/>
          </w:tcPr>
          <w:p w14:paraId="1637528E" w14:textId="04CEF61A" w:rsidR="00ED16B1" w:rsidRPr="003C0DF0" w:rsidRDefault="00ED16B1" w:rsidP="006E539B">
            <w:pPr>
              <w:spacing w:after="0" w:line="240" w:lineRule="auto"/>
              <w:jc w:val="both"/>
              <w:rPr>
                <w:rFonts w:ascii="Times New Roman" w:hAnsi="Times New Roman"/>
                <w:noProof/>
                <w:sz w:val="24"/>
                <w:szCs w:val="24"/>
              </w:rPr>
            </w:pPr>
            <w:r w:rsidRPr="003C0DF0">
              <w:rPr>
                <w:rFonts w:ascii="Times New Roman" w:hAnsi="Times New Roman"/>
                <w:noProof/>
                <w:sz w:val="24"/>
              </w:rPr>
              <w:t>HE in Latvia is underfunded, especially in terms of public funding.</w:t>
            </w:r>
          </w:p>
        </w:tc>
        <w:tc>
          <w:tcPr>
            <w:tcW w:w="1544" w:type="pct"/>
          </w:tcPr>
          <w:p w14:paraId="6366CAC1" w14:textId="77777777" w:rsidR="00ED16B1" w:rsidRPr="003C0DF0" w:rsidRDefault="00ED16B1" w:rsidP="006E539B">
            <w:pPr>
              <w:spacing w:after="0" w:line="240" w:lineRule="auto"/>
              <w:jc w:val="both"/>
              <w:rPr>
                <w:rFonts w:ascii="Times New Roman" w:hAnsi="Times New Roman"/>
                <w:noProof/>
                <w:sz w:val="24"/>
                <w:szCs w:val="24"/>
              </w:rPr>
            </w:pPr>
            <w:r w:rsidRPr="003C0DF0">
              <w:rPr>
                <w:rFonts w:ascii="Times New Roman" w:hAnsi="Times New Roman"/>
                <w:noProof/>
                <w:sz w:val="24"/>
              </w:rPr>
              <w:t>Modernisation of the financing model and strengthening of its links with policy objectives to justify the possible increase of public funds.</w:t>
            </w:r>
          </w:p>
        </w:tc>
        <w:tc>
          <w:tcPr>
            <w:tcW w:w="1853" w:type="pct"/>
          </w:tcPr>
          <w:p w14:paraId="797D3EA7" w14:textId="77777777" w:rsidR="00ED16B1" w:rsidRPr="003C0DF0" w:rsidRDefault="00ED16B1" w:rsidP="006E539B">
            <w:pPr>
              <w:spacing w:after="0" w:line="240" w:lineRule="auto"/>
              <w:jc w:val="both"/>
              <w:rPr>
                <w:rFonts w:ascii="Times New Roman" w:hAnsi="Times New Roman"/>
                <w:noProof/>
                <w:sz w:val="24"/>
                <w:szCs w:val="24"/>
              </w:rPr>
            </w:pPr>
            <w:r w:rsidRPr="003C0DF0">
              <w:rPr>
                <w:rFonts w:ascii="Times New Roman" w:hAnsi="Times New Roman"/>
                <w:i/>
                <w:noProof/>
                <w:sz w:val="24"/>
              </w:rPr>
              <w:t xml:space="preserve">Strategic Orientation: </w:t>
            </w:r>
            <w:r w:rsidRPr="003C0DF0">
              <w:rPr>
                <w:rFonts w:ascii="Times New Roman" w:hAnsi="Times New Roman"/>
                <w:noProof/>
                <w:sz w:val="24"/>
              </w:rPr>
              <w:t>Promotes implementation of national strategies.</w:t>
            </w:r>
          </w:p>
          <w:p w14:paraId="54D98620" w14:textId="77777777" w:rsidR="00ED16B1" w:rsidRPr="003C0DF0" w:rsidRDefault="00ED16B1" w:rsidP="006E539B">
            <w:pPr>
              <w:spacing w:after="0" w:line="240" w:lineRule="auto"/>
              <w:jc w:val="both"/>
              <w:rPr>
                <w:rFonts w:ascii="Times New Roman" w:hAnsi="Times New Roman"/>
                <w:noProof/>
                <w:sz w:val="24"/>
                <w:szCs w:val="24"/>
              </w:rPr>
            </w:pPr>
            <w:r w:rsidRPr="003C0DF0">
              <w:rPr>
                <w:rFonts w:ascii="Times New Roman" w:hAnsi="Times New Roman"/>
                <w:i/>
                <w:noProof/>
                <w:sz w:val="24"/>
              </w:rPr>
              <w:t xml:space="preserve">Legitimisation: </w:t>
            </w:r>
            <w:r w:rsidRPr="003C0DF0">
              <w:rPr>
                <w:rFonts w:ascii="Times New Roman" w:hAnsi="Times New Roman"/>
                <w:noProof/>
                <w:sz w:val="24"/>
              </w:rPr>
              <w:t>Provides transparent and balanced financing structures.</w:t>
            </w:r>
          </w:p>
          <w:p w14:paraId="37FB6466" w14:textId="77777777" w:rsidR="00ED16B1" w:rsidRPr="003C0DF0" w:rsidRDefault="00ED16B1" w:rsidP="006E539B">
            <w:pPr>
              <w:spacing w:after="0" w:line="240" w:lineRule="auto"/>
              <w:jc w:val="both"/>
              <w:rPr>
                <w:rFonts w:ascii="Times New Roman" w:hAnsi="Times New Roman"/>
                <w:i/>
                <w:noProof/>
                <w:sz w:val="24"/>
                <w:szCs w:val="24"/>
              </w:rPr>
            </w:pPr>
            <w:r w:rsidRPr="003C0DF0">
              <w:rPr>
                <w:rFonts w:ascii="Times New Roman" w:hAnsi="Times New Roman"/>
                <w:i/>
                <w:noProof/>
                <w:sz w:val="24"/>
              </w:rPr>
              <w:t>Practical Feasibility:</w:t>
            </w:r>
            <w:r w:rsidRPr="003C0DF0">
              <w:rPr>
                <w:rFonts w:ascii="Times New Roman" w:hAnsi="Times New Roman"/>
                <w:noProof/>
                <w:sz w:val="24"/>
              </w:rPr>
              <w:t xml:space="preserve"> Ensures coherence with financing levels.</w:t>
            </w:r>
          </w:p>
        </w:tc>
      </w:tr>
      <w:tr w:rsidR="00ED16B1" w:rsidRPr="003C0DF0" w14:paraId="0EA667CB" w14:textId="77777777" w:rsidTr="00D12977">
        <w:tc>
          <w:tcPr>
            <w:tcW w:w="1603" w:type="pct"/>
          </w:tcPr>
          <w:p w14:paraId="49BA6B99" w14:textId="04BCEBF8" w:rsidR="00ED16B1" w:rsidRPr="003C0DF0" w:rsidRDefault="00ED16B1" w:rsidP="006E539B">
            <w:pPr>
              <w:spacing w:after="0" w:line="240" w:lineRule="auto"/>
              <w:jc w:val="both"/>
              <w:rPr>
                <w:rFonts w:ascii="Times New Roman" w:hAnsi="Times New Roman"/>
                <w:noProof/>
                <w:sz w:val="24"/>
                <w:szCs w:val="24"/>
              </w:rPr>
            </w:pPr>
            <w:r w:rsidRPr="003C0DF0">
              <w:rPr>
                <w:rFonts w:ascii="Times New Roman" w:hAnsi="Times New Roman"/>
                <w:noProof/>
                <w:sz w:val="24"/>
              </w:rPr>
              <w:t xml:space="preserve"> “One-pillar” and static state financing model lacking two important components, namely, performance-oriented funding and development-oriented funding.</w:t>
            </w:r>
          </w:p>
        </w:tc>
        <w:tc>
          <w:tcPr>
            <w:tcW w:w="1544" w:type="pct"/>
          </w:tcPr>
          <w:p w14:paraId="0FBEA2C1" w14:textId="6771BAC6" w:rsidR="00ED16B1" w:rsidRPr="003C0DF0" w:rsidRDefault="00ED16B1" w:rsidP="006E539B">
            <w:pPr>
              <w:spacing w:after="0" w:line="240" w:lineRule="auto"/>
              <w:jc w:val="both"/>
              <w:rPr>
                <w:rFonts w:ascii="Times New Roman" w:hAnsi="Times New Roman"/>
                <w:noProof/>
                <w:sz w:val="24"/>
                <w:szCs w:val="24"/>
              </w:rPr>
            </w:pPr>
            <w:r w:rsidRPr="003C0DF0">
              <w:rPr>
                <w:rFonts w:ascii="Times New Roman" w:hAnsi="Times New Roman"/>
                <w:noProof/>
                <w:sz w:val="24"/>
              </w:rPr>
              <w:t>Implementation of the three-pillar financing model consisting of basic funding, performance (result-oriented) funding, and development (innovation-oriented) funding.</w:t>
            </w:r>
          </w:p>
        </w:tc>
        <w:tc>
          <w:tcPr>
            <w:tcW w:w="1853" w:type="pct"/>
          </w:tcPr>
          <w:p w14:paraId="1F76753F" w14:textId="77777777" w:rsidR="00ED16B1" w:rsidRPr="003C0DF0" w:rsidRDefault="00ED16B1" w:rsidP="006E539B">
            <w:pPr>
              <w:spacing w:after="0" w:line="240" w:lineRule="auto"/>
              <w:jc w:val="both"/>
              <w:rPr>
                <w:rFonts w:ascii="Times New Roman" w:hAnsi="Times New Roman"/>
                <w:noProof/>
                <w:sz w:val="24"/>
                <w:szCs w:val="24"/>
              </w:rPr>
            </w:pPr>
            <w:r w:rsidRPr="003C0DF0">
              <w:rPr>
                <w:rFonts w:ascii="Times New Roman" w:hAnsi="Times New Roman"/>
                <w:i/>
                <w:noProof/>
                <w:sz w:val="24"/>
              </w:rPr>
              <w:t xml:space="preserve">Strategic Orientation: </w:t>
            </w:r>
            <w:r w:rsidRPr="003C0DF0">
              <w:rPr>
                <w:rFonts w:ascii="Times New Roman" w:hAnsi="Times New Roman"/>
                <w:noProof/>
                <w:sz w:val="24"/>
              </w:rPr>
              <w:t>Promotes implementation of national strategies and development of institutional profiles.</w:t>
            </w:r>
          </w:p>
          <w:p w14:paraId="1E7CAF08" w14:textId="77777777" w:rsidR="00ED16B1" w:rsidRPr="003C0DF0" w:rsidRDefault="00ED16B1" w:rsidP="006E539B">
            <w:pPr>
              <w:spacing w:after="0" w:line="240" w:lineRule="auto"/>
              <w:jc w:val="both"/>
              <w:rPr>
                <w:rFonts w:ascii="Times New Roman" w:hAnsi="Times New Roman"/>
                <w:noProof/>
                <w:sz w:val="24"/>
                <w:szCs w:val="24"/>
              </w:rPr>
            </w:pPr>
            <w:r w:rsidRPr="003C0DF0">
              <w:rPr>
                <w:rFonts w:ascii="Times New Roman" w:hAnsi="Times New Roman"/>
                <w:i/>
                <w:noProof/>
                <w:sz w:val="24"/>
              </w:rPr>
              <w:t xml:space="preserve">Incentive Orientation: </w:t>
            </w:r>
            <w:r w:rsidRPr="003C0DF0">
              <w:rPr>
                <w:rFonts w:ascii="Times New Roman" w:hAnsi="Times New Roman"/>
                <w:noProof/>
                <w:sz w:val="24"/>
              </w:rPr>
              <w:t xml:space="preserve">Ensures clear and non-fragmented financial incentives for performance, competitive environment, clear objectives, ensures balance between </w:t>
            </w:r>
            <w:r w:rsidRPr="003C0DF0">
              <w:rPr>
                <w:rFonts w:ascii="Times New Roman" w:hAnsi="Times New Roman"/>
                <w:i/>
                <w:noProof/>
                <w:sz w:val="24"/>
              </w:rPr>
              <w:t>ex post</w:t>
            </w:r>
            <w:r w:rsidRPr="003C0DF0">
              <w:rPr>
                <w:rFonts w:ascii="Times New Roman" w:hAnsi="Times New Roman"/>
                <w:noProof/>
                <w:sz w:val="24"/>
              </w:rPr>
              <w:t xml:space="preserve"> and </w:t>
            </w:r>
            <w:r w:rsidRPr="003C0DF0">
              <w:rPr>
                <w:rFonts w:ascii="Times New Roman" w:hAnsi="Times New Roman"/>
                <w:i/>
                <w:noProof/>
                <w:sz w:val="24"/>
              </w:rPr>
              <w:t>ex ante</w:t>
            </w:r>
            <w:r w:rsidRPr="003C0DF0">
              <w:rPr>
                <w:rFonts w:ascii="Times New Roman" w:hAnsi="Times New Roman"/>
                <w:noProof/>
                <w:sz w:val="24"/>
              </w:rPr>
              <w:t xml:space="preserve"> performance.</w:t>
            </w:r>
          </w:p>
          <w:p w14:paraId="305381C6" w14:textId="77777777" w:rsidR="00ED16B1" w:rsidRPr="003C0DF0" w:rsidRDefault="00ED16B1" w:rsidP="006E539B">
            <w:pPr>
              <w:spacing w:after="0" w:line="240" w:lineRule="auto"/>
              <w:jc w:val="both"/>
              <w:rPr>
                <w:rFonts w:ascii="Times New Roman" w:hAnsi="Times New Roman"/>
                <w:noProof/>
                <w:sz w:val="24"/>
                <w:szCs w:val="24"/>
              </w:rPr>
            </w:pPr>
            <w:r w:rsidRPr="003C0DF0">
              <w:rPr>
                <w:rFonts w:ascii="Times New Roman" w:hAnsi="Times New Roman"/>
                <w:i/>
                <w:noProof/>
                <w:sz w:val="24"/>
              </w:rPr>
              <w:t xml:space="preserve">Legitimisation: </w:t>
            </w:r>
            <w:r w:rsidRPr="003C0DF0">
              <w:rPr>
                <w:rFonts w:ascii="Times New Roman" w:hAnsi="Times New Roman"/>
                <w:noProof/>
                <w:sz w:val="24"/>
              </w:rPr>
              <w:t>Provides transparent and balanced financing structures.</w:t>
            </w:r>
          </w:p>
        </w:tc>
      </w:tr>
      <w:tr w:rsidR="00ED16B1" w:rsidRPr="003C0DF0" w14:paraId="7AAE3448" w14:textId="77777777" w:rsidTr="00D12977">
        <w:tc>
          <w:tcPr>
            <w:tcW w:w="1603" w:type="pct"/>
          </w:tcPr>
          <w:p w14:paraId="20E88893" w14:textId="77777777" w:rsidR="00ED16B1" w:rsidRPr="003C0DF0" w:rsidRDefault="00ED16B1" w:rsidP="006E539B">
            <w:pPr>
              <w:spacing w:after="0" w:line="240" w:lineRule="auto"/>
              <w:jc w:val="both"/>
              <w:rPr>
                <w:rFonts w:ascii="Times New Roman" w:hAnsi="Times New Roman"/>
                <w:noProof/>
                <w:sz w:val="24"/>
                <w:szCs w:val="24"/>
              </w:rPr>
            </w:pPr>
            <w:r w:rsidRPr="003C0DF0">
              <w:rPr>
                <w:rFonts w:ascii="Times New Roman" w:hAnsi="Times New Roman"/>
                <w:noProof/>
                <w:sz w:val="24"/>
              </w:rPr>
              <w:t>Financing model lacks alignment of basic funding for studies and research.</w:t>
            </w:r>
          </w:p>
        </w:tc>
        <w:tc>
          <w:tcPr>
            <w:tcW w:w="1544" w:type="pct"/>
          </w:tcPr>
          <w:p w14:paraId="13CC413A" w14:textId="77777777" w:rsidR="00ED16B1" w:rsidRPr="003C0DF0" w:rsidRDefault="00ED16B1" w:rsidP="006E539B">
            <w:pPr>
              <w:spacing w:after="0" w:line="240" w:lineRule="auto"/>
              <w:jc w:val="both"/>
              <w:rPr>
                <w:rFonts w:ascii="Times New Roman" w:hAnsi="Times New Roman"/>
                <w:noProof/>
                <w:sz w:val="24"/>
                <w:szCs w:val="24"/>
              </w:rPr>
            </w:pPr>
            <w:r w:rsidRPr="003C0DF0">
              <w:rPr>
                <w:rFonts w:ascii="Times New Roman" w:hAnsi="Times New Roman"/>
                <w:noProof/>
                <w:sz w:val="24"/>
              </w:rPr>
              <w:t xml:space="preserve">Implementation of the first pillar (basic funding) which aligns the study and research funding flows. </w:t>
            </w:r>
          </w:p>
        </w:tc>
        <w:tc>
          <w:tcPr>
            <w:tcW w:w="1853" w:type="pct"/>
          </w:tcPr>
          <w:p w14:paraId="1DEF0F09" w14:textId="77777777" w:rsidR="00ED16B1" w:rsidRPr="003C0DF0" w:rsidRDefault="00ED16B1" w:rsidP="006E539B">
            <w:pPr>
              <w:spacing w:after="0" w:line="240" w:lineRule="auto"/>
              <w:jc w:val="both"/>
              <w:rPr>
                <w:rFonts w:ascii="Times New Roman" w:hAnsi="Times New Roman"/>
                <w:noProof/>
                <w:sz w:val="24"/>
                <w:szCs w:val="24"/>
              </w:rPr>
            </w:pPr>
            <w:r w:rsidRPr="003C0DF0">
              <w:rPr>
                <w:rFonts w:ascii="Times New Roman" w:hAnsi="Times New Roman"/>
                <w:i/>
                <w:noProof/>
                <w:sz w:val="24"/>
              </w:rPr>
              <w:t xml:space="preserve">Sustainability: </w:t>
            </w:r>
            <w:r w:rsidRPr="003C0DF0">
              <w:rPr>
                <w:rFonts w:ascii="Times New Roman" w:hAnsi="Times New Roman"/>
                <w:noProof/>
                <w:sz w:val="24"/>
              </w:rPr>
              <w:t>Supports stability and takes into account cost differences.</w:t>
            </w:r>
          </w:p>
          <w:p w14:paraId="77209240" w14:textId="77777777" w:rsidR="00ED16B1" w:rsidRPr="003C0DF0" w:rsidRDefault="00ED16B1" w:rsidP="006E539B">
            <w:pPr>
              <w:spacing w:after="0" w:line="240" w:lineRule="auto"/>
              <w:jc w:val="both"/>
              <w:rPr>
                <w:rFonts w:ascii="Times New Roman" w:hAnsi="Times New Roman"/>
                <w:noProof/>
                <w:sz w:val="24"/>
                <w:szCs w:val="24"/>
              </w:rPr>
            </w:pPr>
            <w:r w:rsidRPr="003C0DF0">
              <w:rPr>
                <w:rFonts w:ascii="Times New Roman" w:hAnsi="Times New Roman"/>
                <w:i/>
                <w:noProof/>
                <w:sz w:val="24"/>
              </w:rPr>
              <w:t xml:space="preserve">Incentive Orientation: </w:t>
            </w:r>
            <w:r w:rsidRPr="003C0DF0">
              <w:rPr>
                <w:rFonts w:ascii="Times New Roman" w:hAnsi="Times New Roman"/>
                <w:noProof/>
                <w:sz w:val="24"/>
              </w:rPr>
              <w:t>Provides clear, non-fragmented incentives.</w:t>
            </w:r>
          </w:p>
          <w:p w14:paraId="4D1A07E8" w14:textId="05274255" w:rsidR="00ED16B1" w:rsidRPr="003C0DF0" w:rsidRDefault="00ED16B1" w:rsidP="00D85172">
            <w:pPr>
              <w:spacing w:after="0" w:line="240" w:lineRule="auto"/>
              <w:jc w:val="both"/>
              <w:rPr>
                <w:rFonts w:ascii="Times New Roman" w:hAnsi="Times New Roman"/>
                <w:noProof/>
                <w:sz w:val="24"/>
                <w:szCs w:val="24"/>
              </w:rPr>
            </w:pPr>
            <w:r w:rsidRPr="003C0DF0">
              <w:rPr>
                <w:rFonts w:ascii="Times New Roman" w:hAnsi="Times New Roman"/>
                <w:i/>
                <w:noProof/>
                <w:sz w:val="24"/>
              </w:rPr>
              <w:t>Practical Feasibility:</w:t>
            </w:r>
            <w:r w:rsidRPr="003C0DF0">
              <w:rPr>
                <w:rFonts w:ascii="Times New Roman" w:hAnsi="Times New Roman"/>
                <w:noProof/>
                <w:sz w:val="24"/>
              </w:rPr>
              <w:t xml:space="preserve"> Uses available data and ensures administrative efficiency.</w:t>
            </w:r>
          </w:p>
        </w:tc>
      </w:tr>
      <w:tr w:rsidR="00ED16B1" w:rsidRPr="003C0DF0" w14:paraId="7BC24943" w14:textId="77777777" w:rsidTr="00D12977">
        <w:tc>
          <w:tcPr>
            <w:tcW w:w="1603" w:type="pct"/>
          </w:tcPr>
          <w:p w14:paraId="0FAECF4B" w14:textId="1B65C57E" w:rsidR="00ED16B1" w:rsidRPr="003C0DF0" w:rsidRDefault="00ED16B1" w:rsidP="00D85172">
            <w:pPr>
              <w:spacing w:after="0" w:line="240" w:lineRule="auto"/>
              <w:jc w:val="both"/>
              <w:rPr>
                <w:rFonts w:ascii="Times New Roman" w:hAnsi="Times New Roman"/>
                <w:noProof/>
                <w:sz w:val="24"/>
                <w:szCs w:val="24"/>
              </w:rPr>
            </w:pPr>
            <w:r w:rsidRPr="003C0DF0">
              <w:rPr>
                <w:rFonts w:ascii="Times New Roman" w:hAnsi="Times New Roman"/>
                <w:noProof/>
                <w:sz w:val="24"/>
              </w:rPr>
              <w:t>Study place model and State research financing model do not create meaningful and appropriate performance incentives for IHE.</w:t>
            </w:r>
          </w:p>
        </w:tc>
        <w:tc>
          <w:tcPr>
            <w:tcW w:w="1544" w:type="pct"/>
          </w:tcPr>
          <w:p w14:paraId="40531DE1" w14:textId="77777777" w:rsidR="00ED16B1" w:rsidRPr="003C0DF0" w:rsidRDefault="00ED16B1" w:rsidP="006E539B">
            <w:pPr>
              <w:spacing w:after="0" w:line="240" w:lineRule="auto"/>
              <w:jc w:val="both"/>
              <w:rPr>
                <w:rFonts w:ascii="Times New Roman" w:hAnsi="Times New Roman"/>
                <w:noProof/>
                <w:sz w:val="24"/>
                <w:szCs w:val="24"/>
              </w:rPr>
            </w:pPr>
            <w:r w:rsidRPr="003C0DF0">
              <w:rPr>
                <w:rFonts w:ascii="Times New Roman" w:hAnsi="Times New Roman"/>
                <w:noProof/>
                <w:sz w:val="24"/>
              </w:rPr>
              <w:t xml:space="preserve">Implementation of the second pillar (performance-oriented funding) to create performance incentives for IHE. </w:t>
            </w:r>
          </w:p>
        </w:tc>
        <w:tc>
          <w:tcPr>
            <w:tcW w:w="1853" w:type="pct"/>
          </w:tcPr>
          <w:p w14:paraId="0BA3E9BC" w14:textId="77777777" w:rsidR="006E539B" w:rsidRPr="003C0DF0" w:rsidRDefault="00ED16B1" w:rsidP="006E539B">
            <w:pPr>
              <w:spacing w:after="0" w:line="240" w:lineRule="auto"/>
              <w:jc w:val="both"/>
              <w:rPr>
                <w:rFonts w:ascii="Times New Roman" w:hAnsi="Times New Roman"/>
                <w:noProof/>
                <w:sz w:val="24"/>
                <w:szCs w:val="24"/>
              </w:rPr>
            </w:pPr>
            <w:r w:rsidRPr="003C0DF0">
              <w:rPr>
                <w:rFonts w:ascii="Times New Roman" w:hAnsi="Times New Roman"/>
                <w:i/>
              </w:rPr>
              <w:t>Incentive Orientation:</w:t>
            </w:r>
            <w:r w:rsidRPr="003C0DF0">
              <w:rPr>
                <w:rFonts w:ascii="Times New Roman" w:hAnsi="Times New Roman"/>
                <w:noProof/>
                <w:sz w:val="24"/>
              </w:rPr>
              <w:t xml:space="preserve"> Ensures financial incentives for performance.</w:t>
            </w:r>
          </w:p>
          <w:p w14:paraId="630DEAA7" w14:textId="2E4E446E" w:rsidR="00ED16B1" w:rsidRPr="003C0DF0" w:rsidRDefault="00ED16B1" w:rsidP="006E539B">
            <w:pPr>
              <w:spacing w:after="0" w:line="240" w:lineRule="auto"/>
              <w:jc w:val="both"/>
              <w:rPr>
                <w:rFonts w:ascii="Times New Roman" w:hAnsi="Times New Roman"/>
                <w:i/>
                <w:noProof/>
                <w:sz w:val="24"/>
                <w:szCs w:val="24"/>
              </w:rPr>
            </w:pPr>
            <w:r w:rsidRPr="003C0DF0">
              <w:rPr>
                <w:rFonts w:ascii="Times New Roman" w:hAnsi="Times New Roman"/>
                <w:i/>
                <w:noProof/>
                <w:sz w:val="24"/>
              </w:rPr>
              <w:t xml:space="preserve">Strategic Orientation: </w:t>
            </w:r>
            <w:r w:rsidRPr="003C0DF0">
              <w:rPr>
                <w:rFonts w:ascii="Times New Roman" w:hAnsi="Times New Roman"/>
                <w:noProof/>
                <w:sz w:val="24"/>
              </w:rPr>
              <w:t>Promotes development of institutional profiles.</w:t>
            </w:r>
          </w:p>
          <w:p w14:paraId="27F00666" w14:textId="77777777" w:rsidR="00ED16B1" w:rsidRPr="003C0DF0" w:rsidRDefault="00ED16B1" w:rsidP="006E539B">
            <w:pPr>
              <w:spacing w:after="0" w:line="240" w:lineRule="auto"/>
              <w:jc w:val="both"/>
              <w:rPr>
                <w:rFonts w:ascii="Times New Roman" w:hAnsi="Times New Roman"/>
                <w:i/>
                <w:noProof/>
                <w:sz w:val="24"/>
                <w:szCs w:val="24"/>
              </w:rPr>
            </w:pPr>
            <w:r w:rsidRPr="003C0DF0">
              <w:rPr>
                <w:rFonts w:ascii="Times New Roman" w:hAnsi="Times New Roman"/>
                <w:i/>
                <w:noProof/>
                <w:sz w:val="24"/>
              </w:rPr>
              <w:t xml:space="preserve">Legitimisation: </w:t>
            </w:r>
            <w:r w:rsidRPr="003C0DF0">
              <w:rPr>
                <w:rFonts w:ascii="Times New Roman" w:hAnsi="Times New Roman"/>
                <w:noProof/>
                <w:sz w:val="24"/>
              </w:rPr>
              <w:t>Makes financing transparent and complies with the perception of fairness.</w:t>
            </w:r>
          </w:p>
          <w:p w14:paraId="2A258093" w14:textId="4E286363" w:rsidR="00ED16B1" w:rsidRPr="003C0DF0" w:rsidRDefault="00ED16B1" w:rsidP="00D85172">
            <w:pPr>
              <w:spacing w:after="0" w:line="240" w:lineRule="auto"/>
              <w:jc w:val="both"/>
              <w:rPr>
                <w:rFonts w:ascii="Times New Roman" w:hAnsi="Times New Roman"/>
                <w:i/>
                <w:noProof/>
                <w:sz w:val="24"/>
                <w:szCs w:val="24"/>
              </w:rPr>
            </w:pPr>
            <w:r w:rsidRPr="003C0DF0">
              <w:rPr>
                <w:rFonts w:ascii="Times New Roman" w:hAnsi="Times New Roman"/>
                <w:i/>
                <w:noProof/>
                <w:sz w:val="24"/>
              </w:rPr>
              <w:t xml:space="preserve">Practical Feasibility: </w:t>
            </w:r>
            <w:r w:rsidRPr="003C0DF0">
              <w:rPr>
                <w:rFonts w:ascii="Times New Roman" w:hAnsi="Times New Roman"/>
                <w:noProof/>
                <w:sz w:val="24"/>
              </w:rPr>
              <w:t>Respects methodological standards.</w:t>
            </w:r>
          </w:p>
        </w:tc>
      </w:tr>
      <w:tr w:rsidR="00ED16B1" w:rsidRPr="003C0DF0" w14:paraId="62CA2997" w14:textId="77777777" w:rsidTr="00D12977">
        <w:tc>
          <w:tcPr>
            <w:tcW w:w="1603" w:type="pct"/>
          </w:tcPr>
          <w:p w14:paraId="67818294" w14:textId="77777777" w:rsidR="00ED16B1" w:rsidRPr="003C0DF0" w:rsidRDefault="00ED16B1" w:rsidP="006E539B">
            <w:pPr>
              <w:spacing w:after="0" w:line="240" w:lineRule="auto"/>
              <w:jc w:val="both"/>
              <w:rPr>
                <w:rFonts w:ascii="Times New Roman" w:hAnsi="Times New Roman"/>
                <w:noProof/>
                <w:sz w:val="24"/>
                <w:szCs w:val="24"/>
              </w:rPr>
            </w:pPr>
            <w:r w:rsidRPr="003C0DF0">
              <w:rPr>
                <w:rFonts w:ascii="Times New Roman" w:hAnsi="Times New Roman"/>
                <w:noProof/>
                <w:sz w:val="24"/>
              </w:rPr>
              <w:t>Model offers IHE only limited incentives for promoting national higher education strategies and strengthening institutional profiles.</w:t>
            </w:r>
          </w:p>
          <w:p w14:paraId="6E7B4FB0" w14:textId="77777777" w:rsidR="00ED16B1" w:rsidRPr="003C0DF0" w:rsidRDefault="00ED16B1" w:rsidP="006E539B">
            <w:pPr>
              <w:spacing w:after="0" w:line="240" w:lineRule="auto"/>
              <w:jc w:val="both"/>
              <w:rPr>
                <w:rFonts w:ascii="Times New Roman" w:hAnsi="Times New Roman"/>
                <w:noProof/>
                <w:sz w:val="24"/>
                <w:szCs w:val="24"/>
              </w:rPr>
            </w:pPr>
          </w:p>
          <w:p w14:paraId="0BAD10AC" w14:textId="77777777" w:rsidR="00ED16B1" w:rsidRPr="003C0DF0" w:rsidRDefault="00ED16B1" w:rsidP="006E539B">
            <w:pPr>
              <w:spacing w:after="0" w:line="240" w:lineRule="auto"/>
              <w:jc w:val="both"/>
              <w:rPr>
                <w:rFonts w:ascii="Times New Roman" w:hAnsi="Times New Roman"/>
                <w:noProof/>
                <w:sz w:val="24"/>
                <w:szCs w:val="24"/>
              </w:rPr>
            </w:pPr>
            <w:r w:rsidRPr="003C0DF0">
              <w:rPr>
                <w:rFonts w:ascii="Times New Roman" w:hAnsi="Times New Roman"/>
                <w:noProof/>
                <w:sz w:val="24"/>
              </w:rPr>
              <w:t>Research financing flows (including EU Structural Funds) do not contain clear and transparent incentives for diversification of institutional profiles, consolidation activities between IHE, collaboration between research organisations or with external partners.</w:t>
            </w:r>
          </w:p>
          <w:p w14:paraId="0965422C" w14:textId="77777777" w:rsidR="00ED16B1" w:rsidRPr="003C0DF0" w:rsidRDefault="00ED16B1" w:rsidP="006E539B">
            <w:pPr>
              <w:spacing w:after="0" w:line="240" w:lineRule="auto"/>
              <w:jc w:val="both"/>
              <w:rPr>
                <w:rFonts w:ascii="Times New Roman" w:hAnsi="Times New Roman"/>
                <w:noProof/>
                <w:sz w:val="24"/>
                <w:szCs w:val="24"/>
              </w:rPr>
            </w:pPr>
          </w:p>
          <w:p w14:paraId="0CA8417E" w14:textId="77777777" w:rsidR="00ED16B1" w:rsidRPr="003C0DF0" w:rsidRDefault="00ED16B1" w:rsidP="006E539B">
            <w:pPr>
              <w:spacing w:after="0" w:line="240" w:lineRule="auto"/>
              <w:jc w:val="both"/>
              <w:rPr>
                <w:rFonts w:ascii="Times New Roman" w:hAnsi="Times New Roman"/>
                <w:noProof/>
                <w:sz w:val="24"/>
                <w:szCs w:val="24"/>
              </w:rPr>
            </w:pPr>
            <w:r w:rsidRPr="003C0DF0">
              <w:rPr>
                <w:rFonts w:ascii="Times New Roman" w:hAnsi="Times New Roman"/>
                <w:noProof/>
                <w:sz w:val="24"/>
              </w:rPr>
              <w:t>High reliance on EU Structural Funds harms the long-term financial viability of IHE. Income from private sources, for example, community services is relatively underdeveloped.</w:t>
            </w:r>
          </w:p>
        </w:tc>
        <w:tc>
          <w:tcPr>
            <w:tcW w:w="1544" w:type="pct"/>
          </w:tcPr>
          <w:p w14:paraId="2DE53865" w14:textId="3FAF7E74" w:rsidR="00ED16B1" w:rsidRPr="003C0DF0" w:rsidRDefault="00ED16B1" w:rsidP="006E539B">
            <w:pPr>
              <w:spacing w:after="0" w:line="240" w:lineRule="auto"/>
              <w:jc w:val="both"/>
              <w:rPr>
                <w:rFonts w:ascii="Times New Roman" w:hAnsi="Times New Roman"/>
                <w:noProof/>
                <w:sz w:val="24"/>
                <w:szCs w:val="24"/>
              </w:rPr>
            </w:pPr>
            <w:r w:rsidRPr="003C0DF0">
              <w:rPr>
                <w:rFonts w:ascii="Times New Roman" w:hAnsi="Times New Roman"/>
                <w:noProof/>
                <w:sz w:val="24"/>
              </w:rPr>
              <w:lastRenderedPageBreak/>
              <w:t xml:space="preserve">Implementation of the third pillar (innovation-oriented funding) to provide State funding for activities and projects that contribute to the objectives </w:t>
            </w:r>
            <w:r w:rsidRPr="003C0DF0">
              <w:rPr>
                <w:rFonts w:ascii="Times New Roman" w:hAnsi="Times New Roman"/>
                <w:noProof/>
                <w:sz w:val="24"/>
              </w:rPr>
              <w:lastRenderedPageBreak/>
              <w:t>set out in a performance agreement. The objectives take into account national priorities and IHE profiles and strategies (for long-term development).</w:t>
            </w:r>
          </w:p>
          <w:p w14:paraId="4DB14851" w14:textId="77777777" w:rsidR="00ED16B1" w:rsidRPr="003C0DF0" w:rsidRDefault="00ED16B1" w:rsidP="006E539B">
            <w:pPr>
              <w:spacing w:after="0" w:line="240" w:lineRule="auto"/>
              <w:jc w:val="both"/>
              <w:rPr>
                <w:rFonts w:ascii="Times New Roman" w:hAnsi="Times New Roman"/>
                <w:noProof/>
                <w:sz w:val="24"/>
                <w:szCs w:val="24"/>
              </w:rPr>
            </w:pPr>
          </w:p>
          <w:p w14:paraId="0AB0C239" w14:textId="77777777" w:rsidR="006E539B" w:rsidRPr="003C0DF0" w:rsidRDefault="00ED16B1" w:rsidP="006E539B">
            <w:pPr>
              <w:spacing w:after="0" w:line="240" w:lineRule="auto"/>
              <w:jc w:val="both"/>
              <w:rPr>
                <w:rFonts w:ascii="Times New Roman" w:hAnsi="Times New Roman"/>
                <w:noProof/>
                <w:sz w:val="24"/>
                <w:szCs w:val="24"/>
              </w:rPr>
            </w:pPr>
            <w:r w:rsidRPr="003C0DF0">
              <w:rPr>
                <w:rFonts w:ascii="Times New Roman" w:hAnsi="Times New Roman"/>
                <w:noProof/>
                <w:sz w:val="24"/>
              </w:rPr>
              <w:t>EU Structural Funds are to be included in the third pillar, although they have mainly a short-term character, which supports important immediate changes in the sector (e.g., diversification of financing sources, consolidation activities, and collaboration with external partners).</w:t>
            </w:r>
          </w:p>
          <w:p w14:paraId="441AE77A" w14:textId="1717E4C9" w:rsidR="00ED16B1" w:rsidRPr="003C0DF0" w:rsidRDefault="00ED16B1" w:rsidP="006E539B">
            <w:pPr>
              <w:spacing w:after="0" w:line="240" w:lineRule="auto"/>
              <w:jc w:val="both"/>
              <w:rPr>
                <w:rFonts w:ascii="Times New Roman" w:hAnsi="Times New Roman"/>
                <w:noProof/>
                <w:sz w:val="24"/>
                <w:szCs w:val="24"/>
              </w:rPr>
            </w:pPr>
          </w:p>
          <w:p w14:paraId="43B3E895" w14:textId="2A564486" w:rsidR="00ED16B1" w:rsidRPr="003C0DF0" w:rsidRDefault="00ED16B1" w:rsidP="00D85172">
            <w:pPr>
              <w:spacing w:after="0" w:line="240" w:lineRule="auto"/>
              <w:jc w:val="both"/>
              <w:rPr>
                <w:rFonts w:ascii="Times New Roman" w:hAnsi="Times New Roman"/>
                <w:i/>
                <w:noProof/>
                <w:sz w:val="24"/>
                <w:szCs w:val="24"/>
              </w:rPr>
            </w:pPr>
            <w:r w:rsidRPr="003C0DF0">
              <w:rPr>
                <w:rFonts w:ascii="Times New Roman" w:hAnsi="Times New Roman"/>
                <w:noProof/>
                <w:sz w:val="24"/>
              </w:rPr>
              <w:t>The third pillar contains State funding for research competence centres, taking into account evaluation results and the national strategy of research priorities.</w:t>
            </w:r>
          </w:p>
        </w:tc>
        <w:tc>
          <w:tcPr>
            <w:tcW w:w="1853" w:type="pct"/>
          </w:tcPr>
          <w:p w14:paraId="67EE7D29" w14:textId="77777777" w:rsidR="00ED16B1" w:rsidRPr="003C0DF0" w:rsidRDefault="00ED16B1" w:rsidP="006E539B">
            <w:pPr>
              <w:spacing w:after="0" w:line="240" w:lineRule="auto"/>
              <w:jc w:val="both"/>
              <w:rPr>
                <w:rFonts w:ascii="Times New Roman" w:hAnsi="Times New Roman"/>
                <w:noProof/>
                <w:sz w:val="24"/>
                <w:szCs w:val="24"/>
              </w:rPr>
            </w:pPr>
            <w:r w:rsidRPr="003C0DF0">
              <w:rPr>
                <w:rFonts w:ascii="Times New Roman" w:hAnsi="Times New Roman"/>
                <w:i/>
                <w:noProof/>
                <w:sz w:val="24"/>
              </w:rPr>
              <w:lastRenderedPageBreak/>
              <w:t xml:space="preserve">Strategic Orientation: </w:t>
            </w:r>
            <w:r w:rsidRPr="003C0DF0">
              <w:rPr>
                <w:rFonts w:ascii="Times New Roman" w:hAnsi="Times New Roman"/>
                <w:noProof/>
                <w:sz w:val="24"/>
              </w:rPr>
              <w:t>Promotes implementation of national strategies and institutional profiles.</w:t>
            </w:r>
          </w:p>
          <w:p w14:paraId="4344705A" w14:textId="77777777" w:rsidR="00ED16B1" w:rsidRPr="003C0DF0" w:rsidRDefault="00ED16B1" w:rsidP="006E539B">
            <w:pPr>
              <w:spacing w:after="0" w:line="240" w:lineRule="auto"/>
              <w:jc w:val="both"/>
              <w:rPr>
                <w:rFonts w:ascii="Times New Roman" w:hAnsi="Times New Roman"/>
                <w:noProof/>
                <w:sz w:val="24"/>
                <w:szCs w:val="24"/>
              </w:rPr>
            </w:pPr>
            <w:r w:rsidRPr="003C0DF0">
              <w:rPr>
                <w:rFonts w:ascii="Times New Roman" w:hAnsi="Times New Roman"/>
                <w:i/>
                <w:noProof/>
                <w:sz w:val="24"/>
              </w:rPr>
              <w:t xml:space="preserve">Incentive Orientation: </w:t>
            </w:r>
            <w:r w:rsidRPr="003C0DF0">
              <w:rPr>
                <w:rFonts w:ascii="Times New Roman" w:hAnsi="Times New Roman"/>
                <w:noProof/>
                <w:sz w:val="24"/>
              </w:rPr>
              <w:t xml:space="preserve">Provides competitive environment, </w:t>
            </w:r>
            <w:r w:rsidRPr="003C0DF0">
              <w:rPr>
                <w:rFonts w:ascii="Times New Roman" w:hAnsi="Times New Roman"/>
                <w:noProof/>
                <w:sz w:val="24"/>
              </w:rPr>
              <w:lastRenderedPageBreak/>
              <w:t xml:space="preserve">balances </w:t>
            </w:r>
            <w:r w:rsidRPr="003C0DF0">
              <w:rPr>
                <w:rFonts w:ascii="Times New Roman" w:hAnsi="Times New Roman"/>
                <w:i/>
                <w:noProof/>
                <w:sz w:val="24"/>
              </w:rPr>
              <w:t>ex post</w:t>
            </w:r>
            <w:r w:rsidRPr="003C0DF0">
              <w:rPr>
                <w:rFonts w:ascii="Times New Roman" w:hAnsi="Times New Roman"/>
                <w:noProof/>
                <w:sz w:val="24"/>
              </w:rPr>
              <w:t xml:space="preserve"> and </w:t>
            </w:r>
            <w:r w:rsidRPr="003C0DF0">
              <w:rPr>
                <w:rFonts w:ascii="Times New Roman" w:hAnsi="Times New Roman"/>
                <w:i/>
                <w:noProof/>
                <w:sz w:val="24"/>
              </w:rPr>
              <w:t>ex ante</w:t>
            </w:r>
            <w:r w:rsidRPr="003C0DF0">
              <w:rPr>
                <w:rFonts w:ascii="Times New Roman" w:hAnsi="Times New Roman"/>
                <w:noProof/>
                <w:sz w:val="24"/>
              </w:rPr>
              <w:t xml:space="preserve"> performance orientation.</w:t>
            </w:r>
          </w:p>
          <w:p w14:paraId="3396FA19" w14:textId="77777777" w:rsidR="00ED16B1" w:rsidRPr="003C0DF0" w:rsidRDefault="00ED16B1" w:rsidP="006E539B">
            <w:pPr>
              <w:spacing w:after="0" w:line="240" w:lineRule="auto"/>
              <w:jc w:val="both"/>
              <w:rPr>
                <w:rFonts w:ascii="Times New Roman" w:hAnsi="Times New Roman"/>
                <w:noProof/>
                <w:sz w:val="24"/>
                <w:szCs w:val="24"/>
              </w:rPr>
            </w:pPr>
            <w:r w:rsidRPr="003C0DF0">
              <w:rPr>
                <w:rFonts w:ascii="Times New Roman" w:hAnsi="Times New Roman"/>
                <w:i/>
                <w:noProof/>
                <w:sz w:val="24"/>
              </w:rPr>
              <w:t xml:space="preserve">Sustainability: </w:t>
            </w:r>
            <w:r w:rsidRPr="003C0DF0">
              <w:rPr>
                <w:rFonts w:ascii="Times New Roman" w:hAnsi="Times New Roman"/>
                <w:noProof/>
                <w:sz w:val="24"/>
              </w:rPr>
              <w:t>Allows long-term planning, promotes risk-spreading.</w:t>
            </w:r>
          </w:p>
          <w:p w14:paraId="42055CE9" w14:textId="77777777" w:rsidR="00ED16B1" w:rsidRPr="003C0DF0" w:rsidRDefault="00ED16B1" w:rsidP="006E539B">
            <w:pPr>
              <w:spacing w:after="0" w:line="240" w:lineRule="auto"/>
              <w:jc w:val="both"/>
              <w:rPr>
                <w:rFonts w:ascii="Times New Roman" w:hAnsi="Times New Roman"/>
                <w:noProof/>
                <w:sz w:val="24"/>
                <w:szCs w:val="24"/>
              </w:rPr>
            </w:pPr>
            <w:r w:rsidRPr="003C0DF0">
              <w:rPr>
                <w:rFonts w:ascii="Times New Roman" w:hAnsi="Times New Roman"/>
                <w:i/>
                <w:noProof/>
                <w:sz w:val="24"/>
              </w:rPr>
              <w:t>Practical Feasibility:</w:t>
            </w:r>
            <w:r w:rsidRPr="003C0DF0">
              <w:rPr>
                <w:rFonts w:ascii="Times New Roman" w:hAnsi="Times New Roman"/>
                <w:noProof/>
                <w:sz w:val="24"/>
              </w:rPr>
              <w:t xml:space="preserve"> Ensures administrative efficiency.</w:t>
            </w:r>
          </w:p>
        </w:tc>
      </w:tr>
      <w:tr w:rsidR="00ED16B1" w:rsidRPr="003C0DF0" w14:paraId="51941540" w14:textId="77777777" w:rsidTr="00D12977">
        <w:tc>
          <w:tcPr>
            <w:tcW w:w="1603" w:type="pct"/>
          </w:tcPr>
          <w:p w14:paraId="2C9A6D7D" w14:textId="5415F475" w:rsidR="00ED16B1" w:rsidRPr="003C0DF0" w:rsidRDefault="00ED16B1" w:rsidP="00D85172">
            <w:pPr>
              <w:spacing w:after="0" w:line="240" w:lineRule="auto"/>
              <w:jc w:val="both"/>
              <w:rPr>
                <w:rFonts w:ascii="Times New Roman" w:hAnsi="Times New Roman"/>
                <w:noProof/>
                <w:sz w:val="24"/>
                <w:szCs w:val="24"/>
              </w:rPr>
            </w:pPr>
            <w:r w:rsidRPr="003C0DF0">
              <w:rPr>
                <w:rFonts w:ascii="Times New Roman" w:hAnsi="Times New Roman"/>
                <w:noProof/>
                <w:sz w:val="24"/>
              </w:rPr>
              <w:lastRenderedPageBreak/>
              <w:t>IHE not always use their financial autonomy, and not always show a high level of responsibility towards external stakeholders (both public and private).</w:t>
            </w:r>
          </w:p>
        </w:tc>
        <w:tc>
          <w:tcPr>
            <w:tcW w:w="1544" w:type="pct"/>
          </w:tcPr>
          <w:p w14:paraId="6469B821" w14:textId="77777777" w:rsidR="006E539B" w:rsidRPr="003C0DF0" w:rsidRDefault="00ED16B1" w:rsidP="006E539B">
            <w:pPr>
              <w:spacing w:after="0" w:line="240" w:lineRule="auto"/>
              <w:jc w:val="both"/>
              <w:rPr>
                <w:rFonts w:ascii="Times New Roman" w:hAnsi="Times New Roman"/>
                <w:noProof/>
                <w:sz w:val="24"/>
                <w:szCs w:val="24"/>
              </w:rPr>
            </w:pPr>
            <w:r w:rsidRPr="003C0DF0">
              <w:rPr>
                <w:rFonts w:ascii="Times New Roman" w:hAnsi="Times New Roman"/>
                <w:noProof/>
                <w:sz w:val="24"/>
              </w:rPr>
              <w:t>Offering study and capacity building activities in the field of financial management in order to stimulate acquisition of financial management and planning.</w:t>
            </w:r>
          </w:p>
          <w:p w14:paraId="7D27644B" w14:textId="646A7DD1" w:rsidR="00ED16B1" w:rsidRPr="003C0DF0" w:rsidRDefault="00ED16B1" w:rsidP="006E539B">
            <w:pPr>
              <w:spacing w:after="0" w:line="240" w:lineRule="auto"/>
              <w:jc w:val="both"/>
              <w:rPr>
                <w:rFonts w:ascii="Times New Roman" w:hAnsi="Times New Roman"/>
                <w:noProof/>
                <w:sz w:val="24"/>
                <w:szCs w:val="24"/>
              </w:rPr>
            </w:pPr>
          </w:p>
          <w:p w14:paraId="00EC9841" w14:textId="7E94F0F3" w:rsidR="00ED16B1" w:rsidRPr="003C0DF0" w:rsidRDefault="00ED16B1" w:rsidP="00D85172">
            <w:pPr>
              <w:spacing w:after="0" w:line="240" w:lineRule="auto"/>
              <w:jc w:val="both"/>
              <w:rPr>
                <w:rFonts w:ascii="Times New Roman" w:hAnsi="Times New Roman"/>
                <w:i/>
                <w:noProof/>
                <w:sz w:val="24"/>
                <w:szCs w:val="24"/>
              </w:rPr>
            </w:pPr>
            <w:r w:rsidRPr="003C0DF0">
              <w:rPr>
                <w:rFonts w:ascii="Times New Roman" w:hAnsi="Times New Roman"/>
                <w:noProof/>
                <w:sz w:val="24"/>
              </w:rPr>
              <w:t>Maintaining high level of financial autonomy, but increasing responsibility and transparency through performance data, annual performance agreement reports, and published financial statements.</w:t>
            </w:r>
          </w:p>
        </w:tc>
        <w:tc>
          <w:tcPr>
            <w:tcW w:w="1853" w:type="pct"/>
          </w:tcPr>
          <w:p w14:paraId="15EA1E2B" w14:textId="4A8F82AD" w:rsidR="00ED16B1" w:rsidRPr="003C0DF0" w:rsidRDefault="00ED16B1" w:rsidP="00D85172">
            <w:pPr>
              <w:spacing w:after="0" w:line="240" w:lineRule="auto"/>
              <w:jc w:val="both"/>
              <w:rPr>
                <w:rFonts w:ascii="Times New Roman" w:hAnsi="Times New Roman"/>
                <w:noProof/>
                <w:sz w:val="24"/>
                <w:szCs w:val="24"/>
              </w:rPr>
            </w:pPr>
            <w:r w:rsidRPr="003C0DF0">
              <w:rPr>
                <w:rFonts w:ascii="Times New Roman" w:hAnsi="Times New Roman"/>
                <w:i/>
                <w:noProof/>
                <w:sz w:val="24"/>
              </w:rPr>
              <w:t>Autonomy and Flexibility:</w:t>
            </w:r>
            <w:r w:rsidRPr="003C0DF0">
              <w:rPr>
                <w:rFonts w:ascii="Times New Roman" w:hAnsi="Times New Roman"/>
                <w:noProof/>
                <w:sz w:val="24"/>
              </w:rPr>
              <w:t xml:space="preserve"> Allocates lump sums, guarantees academic freedom, implements adequate level of regulation, guarantees autonomy of resource allocation and promotes accessibility of diverse income sources.</w:t>
            </w:r>
          </w:p>
        </w:tc>
      </w:tr>
      <w:tr w:rsidR="00ED16B1" w:rsidRPr="003C0DF0" w14:paraId="57C972B2" w14:textId="77777777" w:rsidTr="00D12977">
        <w:tc>
          <w:tcPr>
            <w:tcW w:w="1603" w:type="pct"/>
          </w:tcPr>
          <w:p w14:paraId="439E4B28" w14:textId="77777777" w:rsidR="006E539B" w:rsidRPr="003C0DF0" w:rsidRDefault="00ED16B1" w:rsidP="006E539B">
            <w:pPr>
              <w:spacing w:after="0" w:line="240" w:lineRule="auto"/>
              <w:jc w:val="both"/>
              <w:rPr>
                <w:rFonts w:ascii="Times New Roman" w:hAnsi="Times New Roman"/>
                <w:noProof/>
                <w:sz w:val="24"/>
                <w:szCs w:val="24"/>
              </w:rPr>
            </w:pPr>
            <w:r w:rsidRPr="003C0DF0">
              <w:rPr>
                <w:rFonts w:ascii="Times New Roman" w:hAnsi="Times New Roman"/>
                <w:noProof/>
                <w:sz w:val="24"/>
              </w:rPr>
              <w:t>Dual track system with merit-based selection of students for State-funded study places is likely to support full-time students from better-off socio-economic backgrounds.</w:t>
            </w:r>
          </w:p>
          <w:p w14:paraId="522EC4A6" w14:textId="46C9B7D5" w:rsidR="00ED16B1" w:rsidRPr="003C0DF0" w:rsidRDefault="00ED16B1" w:rsidP="006E539B">
            <w:pPr>
              <w:spacing w:after="0" w:line="240" w:lineRule="auto"/>
              <w:jc w:val="both"/>
              <w:rPr>
                <w:rFonts w:ascii="Times New Roman" w:hAnsi="Times New Roman"/>
                <w:noProof/>
                <w:sz w:val="24"/>
                <w:szCs w:val="24"/>
              </w:rPr>
            </w:pPr>
          </w:p>
          <w:p w14:paraId="673AFEA0" w14:textId="77777777" w:rsidR="00ED16B1" w:rsidRPr="003C0DF0" w:rsidRDefault="00ED16B1" w:rsidP="006E539B">
            <w:pPr>
              <w:spacing w:after="0" w:line="240" w:lineRule="auto"/>
              <w:jc w:val="both"/>
              <w:rPr>
                <w:rFonts w:ascii="Times New Roman" w:hAnsi="Times New Roman"/>
                <w:noProof/>
                <w:sz w:val="24"/>
                <w:szCs w:val="24"/>
              </w:rPr>
            </w:pPr>
            <w:r w:rsidRPr="003C0DF0">
              <w:rPr>
                <w:rFonts w:ascii="Times New Roman" w:hAnsi="Times New Roman"/>
                <w:noProof/>
                <w:sz w:val="24"/>
              </w:rPr>
              <w:lastRenderedPageBreak/>
              <w:t>Current student support system is highly decentralised, and its strong merit-based emphasis is likely to have a negative impact on accessibility and participation, especially in case of students from disadvantaged backgrounds, and to some extent, part-time students.</w:t>
            </w:r>
          </w:p>
        </w:tc>
        <w:tc>
          <w:tcPr>
            <w:tcW w:w="1544" w:type="pct"/>
          </w:tcPr>
          <w:p w14:paraId="5D4736A9" w14:textId="77777777" w:rsidR="00ED16B1" w:rsidRPr="003C0DF0" w:rsidRDefault="00ED16B1" w:rsidP="006E539B">
            <w:pPr>
              <w:spacing w:after="0" w:line="240" w:lineRule="auto"/>
              <w:jc w:val="both"/>
              <w:rPr>
                <w:rFonts w:ascii="Times New Roman" w:hAnsi="Times New Roman"/>
                <w:noProof/>
                <w:sz w:val="24"/>
                <w:szCs w:val="24"/>
              </w:rPr>
            </w:pPr>
            <w:r w:rsidRPr="003C0DF0">
              <w:rPr>
                <w:rFonts w:ascii="Times New Roman" w:hAnsi="Times New Roman"/>
                <w:noProof/>
                <w:sz w:val="24"/>
              </w:rPr>
              <w:lastRenderedPageBreak/>
              <w:t xml:space="preserve">Continued reliance on tuition fees, but introduces more need-based scholarships to ensure participation and accessibility. Merit-based elements are included in the scholarship and loan scheme, but only as a </w:t>
            </w:r>
            <w:r w:rsidRPr="003C0DF0">
              <w:rPr>
                <w:rFonts w:ascii="Times New Roman" w:hAnsi="Times New Roman"/>
                <w:noProof/>
                <w:sz w:val="24"/>
              </w:rPr>
              <w:lastRenderedPageBreak/>
              <w:t>second-order allocation criterion.</w:t>
            </w:r>
          </w:p>
          <w:p w14:paraId="1008D8E0" w14:textId="77777777" w:rsidR="00ED16B1" w:rsidRPr="003C0DF0" w:rsidRDefault="00ED16B1" w:rsidP="006E539B">
            <w:pPr>
              <w:spacing w:after="0" w:line="240" w:lineRule="auto"/>
              <w:jc w:val="both"/>
              <w:rPr>
                <w:rFonts w:ascii="Times New Roman" w:hAnsi="Times New Roman"/>
                <w:noProof/>
                <w:sz w:val="24"/>
                <w:szCs w:val="24"/>
              </w:rPr>
            </w:pPr>
          </w:p>
          <w:p w14:paraId="3E74B6EF" w14:textId="77777777" w:rsidR="00ED16B1" w:rsidRPr="003C0DF0" w:rsidRDefault="00ED16B1" w:rsidP="006E539B">
            <w:pPr>
              <w:spacing w:after="0" w:line="240" w:lineRule="auto"/>
              <w:jc w:val="both"/>
              <w:rPr>
                <w:rFonts w:ascii="Times New Roman" w:hAnsi="Times New Roman"/>
                <w:noProof/>
                <w:sz w:val="24"/>
                <w:szCs w:val="24"/>
              </w:rPr>
            </w:pPr>
            <w:r w:rsidRPr="003C0DF0">
              <w:rPr>
                <w:rFonts w:ascii="Times New Roman" w:hAnsi="Times New Roman"/>
                <w:noProof/>
                <w:sz w:val="24"/>
              </w:rPr>
              <w:t>Introduction of State guarantee for student loans enabling all students (full-time and part-time) to benefit from loans. Loan debt of the highest performing graduates could be partially cancelled using public funds.</w:t>
            </w:r>
          </w:p>
          <w:p w14:paraId="1E9AB316" w14:textId="77777777" w:rsidR="00ED16B1" w:rsidRPr="003C0DF0" w:rsidRDefault="00ED16B1" w:rsidP="006E539B">
            <w:pPr>
              <w:spacing w:after="0" w:line="240" w:lineRule="auto"/>
              <w:jc w:val="both"/>
              <w:rPr>
                <w:rFonts w:ascii="Times New Roman" w:hAnsi="Times New Roman"/>
                <w:noProof/>
                <w:sz w:val="24"/>
                <w:szCs w:val="24"/>
              </w:rPr>
            </w:pPr>
            <w:r w:rsidRPr="003C0DF0">
              <w:rPr>
                <w:rFonts w:ascii="Times New Roman" w:hAnsi="Times New Roman"/>
                <w:noProof/>
                <w:sz w:val="24"/>
              </w:rPr>
              <w:t>Scholarships and loan schemes should be administered by a central authority.</w:t>
            </w:r>
          </w:p>
        </w:tc>
        <w:tc>
          <w:tcPr>
            <w:tcW w:w="1853" w:type="pct"/>
          </w:tcPr>
          <w:p w14:paraId="2FD518AD" w14:textId="77777777" w:rsidR="00ED16B1" w:rsidRPr="003C0DF0" w:rsidRDefault="00ED16B1" w:rsidP="006E539B">
            <w:pPr>
              <w:spacing w:after="0" w:line="240" w:lineRule="auto"/>
              <w:jc w:val="both"/>
              <w:rPr>
                <w:rFonts w:ascii="Times New Roman" w:hAnsi="Times New Roman"/>
                <w:noProof/>
                <w:sz w:val="24"/>
                <w:szCs w:val="24"/>
              </w:rPr>
            </w:pPr>
            <w:r w:rsidRPr="003C0DF0">
              <w:rPr>
                <w:rFonts w:ascii="Times New Roman" w:hAnsi="Times New Roman"/>
                <w:i/>
              </w:rPr>
              <w:lastRenderedPageBreak/>
              <w:t>Incentive Orientation:</w:t>
            </w:r>
            <w:r w:rsidRPr="003C0DF0">
              <w:rPr>
                <w:rFonts w:ascii="Times New Roman" w:hAnsi="Times New Roman"/>
                <w:noProof/>
                <w:sz w:val="24"/>
              </w:rPr>
              <w:t xml:space="preserve"> Ensures financial incentives for performance.</w:t>
            </w:r>
          </w:p>
          <w:p w14:paraId="1D207BD8" w14:textId="77777777" w:rsidR="00ED16B1" w:rsidRPr="003C0DF0" w:rsidRDefault="00ED16B1" w:rsidP="006E539B">
            <w:pPr>
              <w:spacing w:after="0" w:line="240" w:lineRule="auto"/>
              <w:jc w:val="both"/>
              <w:rPr>
                <w:rFonts w:ascii="Times New Roman" w:hAnsi="Times New Roman"/>
                <w:noProof/>
                <w:sz w:val="24"/>
                <w:szCs w:val="24"/>
              </w:rPr>
            </w:pPr>
          </w:p>
          <w:p w14:paraId="023BBC87" w14:textId="77777777" w:rsidR="00ED16B1" w:rsidRPr="003C0DF0" w:rsidRDefault="00ED16B1" w:rsidP="006E539B">
            <w:pPr>
              <w:spacing w:after="0" w:line="240" w:lineRule="auto"/>
              <w:jc w:val="both"/>
              <w:rPr>
                <w:rFonts w:ascii="Times New Roman" w:hAnsi="Times New Roman"/>
                <w:noProof/>
                <w:sz w:val="24"/>
                <w:szCs w:val="24"/>
              </w:rPr>
            </w:pPr>
            <w:r w:rsidRPr="003C0DF0">
              <w:rPr>
                <w:rFonts w:ascii="Times New Roman" w:hAnsi="Times New Roman"/>
                <w:i/>
              </w:rPr>
              <w:t>Sustainability:</w:t>
            </w:r>
            <w:r w:rsidRPr="003C0DF0">
              <w:rPr>
                <w:rFonts w:ascii="Times New Roman" w:hAnsi="Times New Roman"/>
                <w:noProof/>
                <w:sz w:val="24"/>
              </w:rPr>
              <w:t xml:space="preserve"> Guarantees continuity in financing mechanisms, promotes risk spreading.</w:t>
            </w:r>
          </w:p>
          <w:p w14:paraId="48BC3D37" w14:textId="77777777" w:rsidR="00ED16B1" w:rsidRPr="003C0DF0" w:rsidRDefault="00ED16B1" w:rsidP="006E539B">
            <w:pPr>
              <w:spacing w:after="0" w:line="240" w:lineRule="auto"/>
              <w:jc w:val="both"/>
              <w:rPr>
                <w:rFonts w:ascii="Times New Roman" w:hAnsi="Times New Roman"/>
                <w:noProof/>
                <w:sz w:val="24"/>
                <w:szCs w:val="24"/>
              </w:rPr>
            </w:pPr>
          </w:p>
          <w:p w14:paraId="78854D55" w14:textId="77777777" w:rsidR="00ED16B1" w:rsidRPr="003C0DF0" w:rsidRDefault="00ED16B1" w:rsidP="006E539B">
            <w:pPr>
              <w:spacing w:after="0" w:line="240" w:lineRule="auto"/>
              <w:jc w:val="both"/>
              <w:rPr>
                <w:rFonts w:ascii="Times New Roman" w:hAnsi="Times New Roman"/>
                <w:noProof/>
                <w:sz w:val="24"/>
                <w:szCs w:val="24"/>
              </w:rPr>
            </w:pPr>
            <w:r w:rsidRPr="003C0DF0">
              <w:rPr>
                <w:rFonts w:ascii="Times New Roman" w:hAnsi="Times New Roman"/>
                <w:i/>
                <w:noProof/>
                <w:sz w:val="24"/>
              </w:rPr>
              <w:lastRenderedPageBreak/>
              <w:t xml:space="preserve">Legitimisation: </w:t>
            </w:r>
            <w:r w:rsidRPr="003C0DF0">
              <w:rPr>
                <w:rFonts w:ascii="Times New Roman" w:hAnsi="Times New Roman"/>
                <w:noProof/>
                <w:sz w:val="24"/>
              </w:rPr>
              <w:t>Supports the perception of fairness.</w:t>
            </w:r>
          </w:p>
          <w:p w14:paraId="2CF4AB5E" w14:textId="77777777" w:rsidR="00ED16B1" w:rsidRPr="003C0DF0" w:rsidRDefault="00ED16B1" w:rsidP="006E539B">
            <w:pPr>
              <w:spacing w:after="0" w:line="240" w:lineRule="auto"/>
              <w:jc w:val="both"/>
              <w:rPr>
                <w:rFonts w:ascii="Times New Roman" w:hAnsi="Times New Roman"/>
                <w:noProof/>
                <w:sz w:val="24"/>
                <w:szCs w:val="24"/>
              </w:rPr>
            </w:pPr>
          </w:p>
          <w:p w14:paraId="415F07CB" w14:textId="77777777" w:rsidR="00ED16B1" w:rsidRPr="003C0DF0" w:rsidRDefault="00ED16B1" w:rsidP="006E539B">
            <w:pPr>
              <w:spacing w:after="0" w:line="240" w:lineRule="auto"/>
              <w:jc w:val="both"/>
              <w:rPr>
                <w:rFonts w:ascii="Times New Roman" w:hAnsi="Times New Roman"/>
                <w:noProof/>
                <w:sz w:val="24"/>
                <w:szCs w:val="24"/>
              </w:rPr>
            </w:pPr>
            <w:r w:rsidRPr="003C0DF0">
              <w:rPr>
                <w:rFonts w:ascii="Times New Roman" w:hAnsi="Times New Roman"/>
                <w:i/>
                <w:noProof/>
                <w:sz w:val="24"/>
              </w:rPr>
              <w:t>Autonomy and Flexibility:</w:t>
            </w:r>
            <w:r w:rsidRPr="003C0DF0">
              <w:rPr>
                <w:rFonts w:ascii="Times New Roman" w:hAnsi="Times New Roman"/>
                <w:noProof/>
                <w:sz w:val="24"/>
              </w:rPr>
              <w:t xml:space="preserve"> Promotes accessibility of diverse income sources.</w:t>
            </w:r>
          </w:p>
          <w:p w14:paraId="75BADDFF" w14:textId="77777777" w:rsidR="00ED16B1" w:rsidRPr="003C0DF0" w:rsidRDefault="00ED16B1" w:rsidP="006E539B">
            <w:pPr>
              <w:spacing w:after="0" w:line="240" w:lineRule="auto"/>
              <w:jc w:val="both"/>
              <w:rPr>
                <w:rFonts w:ascii="Times New Roman" w:hAnsi="Times New Roman"/>
                <w:noProof/>
                <w:sz w:val="24"/>
                <w:szCs w:val="24"/>
              </w:rPr>
            </w:pPr>
          </w:p>
          <w:p w14:paraId="5AA71B26" w14:textId="695002E5" w:rsidR="00ED16B1" w:rsidRPr="003C0DF0" w:rsidRDefault="00ED16B1" w:rsidP="00D85172">
            <w:pPr>
              <w:spacing w:after="0" w:line="240" w:lineRule="auto"/>
              <w:jc w:val="both"/>
              <w:rPr>
                <w:rFonts w:ascii="Times New Roman" w:hAnsi="Times New Roman"/>
                <w:noProof/>
                <w:sz w:val="24"/>
                <w:szCs w:val="24"/>
              </w:rPr>
            </w:pPr>
            <w:r w:rsidRPr="003C0DF0">
              <w:rPr>
                <w:rFonts w:ascii="Times New Roman" w:hAnsi="Times New Roman"/>
                <w:i/>
                <w:noProof/>
                <w:sz w:val="24"/>
              </w:rPr>
              <w:t>Practical Feasibility:</w:t>
            </w:r>
            <w:r w:rsidRPr="003C0DF0">
              <w:rPr>
                <w:rFonts w:ascii="Times New Roman" w:hAnsi="Times New Roman"/>
                <w:noProof/>
                <w:sz w:val="24"/>
              </w:rPr>
              <w:t xml:space="preserve"> Ensures administrative efficiency.</w:t>
            </w:r>
          </w:p>
        </w:tc>
      </w:tr>
    </w:tbl>
    <w:p w14:paraId="6641F419" w14:textId="77777777" w:rsidR="00ED16B1" w:rsidRPr="003C0DF0" w:rsidRDefault="00ED16B1" w:rsidP="006E539B">
      <w:pPr>
        <w:shd w:val="clear" w:color="auto" w:fill="FFFFFF"/>
        <w:spacing w:after="0" w:line="240" w:lineRule="auto"/>
        <w:jc w:val="both"/>
        <w:rPr>
          <w:rFonts w:ascii="Times New Roman" w:eastAsia="Times New Roman" w:hAnsi="Times New Roman"/>
          <w:noProof/>
          <w:sz w:val="24"/>
          <w:szCs w:val="26"/>
        </w:rPr>
      </w:pPr>
    </w:p>
    <w:p w14:paraId="0B3E5055" w14:textId="77777777" w:rsidR="00ED16B1" w:rsidRPr="003C0DF0" w:rsidRDefault="00ED16B1" w:rsidP="00D85172">
      <w:pPr>
        <w:shd w:val="clear" w:color="auto" w:fill="FFFFFF"/>
        <w:spacing w:after="0" w:line="240" w:lineRule="auto"/>
        <w:ind w:firstLine="709"/>
        <w:jc w:val="both"/>
        <w:rPr>
          <w:rFonts w:ascii="Times New Roman" w:eastAsia="Times New Roman" w:hAnsi="Times New Roman"/>
          <w:noProof/>
          <w:sz w:val="24"/>
          <w:szCs w:val="26"/>
        </w:rPr>
      </w:pPr>
      <w:r w:rsidRPr="003C0DF0">
        <w:rPr>
          <w:rFonts w:ascii="Times New Roman" w:hAnsi="Times New Roman"/>
          <w:noProof/>
          <w:sz w:val="24"/>
        </w:rPr>
        <w:t>The World Bank recommends to revise the complementary elements of the financing system that are essential for effective financial management and for reaching the higher education policy objectives: planning of personnel remuneration policy, student support system, structural reforms in the sector and consolidation of resources, quality assurance. The World Bank proposes to:</w:t>
      </w:r>
    </w:p>
    <w:p w14:paraId="709C79E8" w14:textId="77777777" w:rsidR="00ED16B1" w:rsidRPr="003C0DF0" w:rsidRDefault="00ED16B1" w:rsidP="00D85172">
      <w:pPr>
        <w:pStyle w:val="ListParagraph"/>
        <w:numPr>
          <w:ilvl w:val="0"/>
          <w:numId w:val="12"/>
        </w:numPr>
        <w:shd w:val="clear" w:color="auto" w:fill="FFFFFF"/>
        <w:spacing w:after="0" w:line="240" w:lineRule="auto"/>
        <w:ind w:left="0" w:firstLine="709"/>
        <w:jc w:val="both"/>
        <w:rPr>
          <w:rFonts w:ascii="Times New Roman" w:eastAsia="Times New Roman" w:hAnsi="Times New Roman"/>
          <w:noProof/>
          <w:sz w:val="24"/>
          <w:szCs w:val="26"/>
        </w:rPr>
      </w:pPr>
      <w:r w:rsidRPr="003C0DF0">
        <w:rPr>
          <w:rFonts w:ascii="Times New Roman" w:hAnsi="Times New Roman"/>
          <w:noProof/>
          <w:sz w:val="24"/>
        </w:rPr>
        <w:t>Provide student support that would be oriented towards social needs (rather than only merits);</w:t>
      </w:r>
    </w:p>
    <w:p w14:paraId="0851EFFA" w14:textId="77777777" w:rsidR="006E539B" w:rsidRPr="003C0DF0" w:rsidRDefault="00ED16B1" w:rsidP="00D85172">
      <w:pPr>
        <w:pStyle w:val="ListParagraph"/>
        <w:numPr>
          <w:ilvl w:val="0"/>
          <w:numId w:val="12"/>
        </w:numPr>
        <w:shd w:val="clear" w:color="auto" w:fill="FFFFFF"/>
        <w:spacing w:after="0" w:line="240" w:lineRule="auto"/>
        <w:ind w:left="0" w:firstLine="709"/>
        <w:jc w:val="both"/>
        <w:rPr>
          <w:rFonts w:ascii="Times New Roman" w:eastAsia="Times New Roman" w:hAnsi="Times New Roman"/>
          <w:noProof/>
          <w:sz w:val="24"/>
          <w:szCs w:val="26"/>
        </w:rPr>
      </w:pPr>
      <w:r w:rsidRPr="003C0DF0">
        <w:rPr>
          <w:rFonts w:ascii="Times New Roman" w:hAnsi="Times New Roman"/>
          <w:noProof/>
          <w:sz w:val="24"/>
        </w:rPr>
        <w:t>Revise the existing dual track student system (paying and budget students);</w:t>
      </w:r>
    </w:p>
    <w:p w14:paraId="4AB5F0BA" w14:textId="61049841" w:rsidR="00ED16B1" w:rsidRPr="003C0DF0" w:rsidRDefault="00ED16B1" w:rsidP="00D85172">
      <w:pPr>
        <w:pStyle w:val="ListParagraph"/>
        <w:numPr>
          <w:ilvl w:val="0"/>
          <w:numId w:val="12"/>
        </w:numPr>
        <w:shd w:val="clear" w:color="auto" w:fill="FFFFFF"/>
        <w:spacing w:after="0" w:line="240" w:lineRule="auto"/>
        <w:ind w:left="0" w:firstLine="709"/>
        <w:jc w:val="both"/>
        <w:rPr>
          <w:rFonts w:ascii="Times New Roman" w:eastAsia="Times New Roman" w:hAnsi="Times New Roman"/>
          <w:noProof/>
          <w:sz w:val="24"/>
          <w:szCs w:val="26"/>
        </w:rPr>
      </w:pPr>
      <w:r w:rsidRPr="003C0DF0">
        <w:rPr>
          <w:rFonts w:ascii="Times New Roman" w:hAnsi="Times New Roman"/>
          <w:noProof/>
          <w:sz w:val="24"/>
        </w:rPr>
        <w:t>Promote institutional and resource consolidation and increase of intellectual critical mass;</w:t>
      </w:r>
    </w:p>
    <w:p w14:paraId="79609BE8" w14:textId="77777777" w:rsidR="006E539B" w:rsidRPr="003C0DF0" w:rsidRDefault="00ED16B1" w:rsidP="00D85172">
      <w:pPr>
        <w:pStyle w:val="ListParagraph"/>
        <w:numPr>
          <w:ilvl w:val="0"/>
          <w:numId w:val="12"/>
        </w:numPr>
        <w:shd w:val="clear" w:color="auto" w:fill="FFFFFF"/>
        <w:spacing w:after="0" w:line="240" w:lineRule="auto"/>
        <w:ind w:left="0" w:firstLine="709"/>
        <w:jc w:val="both"/>
        <w:rPr>
          <w:rFonts w:ascii="Times New Roman" w:eastAsia="Times New Roman" w:hAnsi="Times New Roman"/>
          <w:noProof/>
          <w:sz w:val="24"/>
          <w:szCs w:val="26"/>
        </w:rPr>
      </w:pPr>
      <w:r w:rsidRPr="003C0DF0">
        <w:rPr>
          <w:rFonts w:ascii="Times New Roman" w:hAnsi="Times New Roman"/>
          <w:noProof/>
          <w:sz w:val="24"/>
        </w:rPr>
        <w:t>Give greater priority to the human resources policy in higher education and science, promote transparency of the academic labour market;</w:t>
      </w:r>
    </w:p>
    <w:p w14:paraId="0E955C43" w14:textId="00AC9F1C" w:rsidR="00ED16B1" w:rsidRPr="003C0DF0" w:rsidRDefault="00ED16B1" w:rsidP="00D85172">
      <w:pPr>
        <w:pStyle w:val="ListParagraph"/>
        <w:numPr>
          <w:ilvl w:val="0"/>
          <w:numId w:val="12"/>
        </w:numPr>
        <w:shd w:val="clear" w:color="auto" w:fill="FFFFFF"/>
        <w:spacing w:after="0" w:line="240" w:lineRule="auto"/>
        <w:ind w:left="0" w:firstLine="709"/>
        <w:jc w:val="both"/>
        <w:rPr>
          <w:rFonts w:ascii="Times New Roman" w:eastAsia="Times New Roman" w:hAnsi="Times New Roman"/>
          <w:noProof/>
          <w:sz w:val="24"/>
          <w:szCs w:val="26"/>
        </w:rPr>
      </w:pPr>
      <w:r w:rsidRPr="003C0DF0">
        <w:rPr>
          <w:rFonts w:ascii="Times New Roman" w:hAnsi="Times New Roman"/>
          <w:noProof/>
          <w:sz w:val="24"/>
        </w:rPr>
        <w:t>To improve the higher education quality evaluation system.</w:t>
      </w:r>
    </w:p>
    <w:p w14:paraId="1301234D" w14:textId="77777777" w:rsidR="00ED16B1" w:rsidRPr="003C0DF0" w:rsidRDefault="00ED16B1" w:rsidP="00D85172">
      <w:pPr>
        <w:spacing w:after="0" w:line="240" w:lineRule="auto"/>
        <w:ind w:firstLine="709"/>
        <w:jc w:val="both"/>
        <w:rPr>
          <w:rFonts w:ascii="Times New Roman" w:hAnsi="Times New Roman"/>
          <w:b/>
          <w:noProof/>
          <w:sz w:val="24"/>
          <w:szCs w:val="26"/>
        </w:rPr>
      </w:pPr>
      <w:r w:rsidRPr="003C0DF0">
        <w:rPr>
          <w:rFonts w:ascii="Times New Roman" w:hAnsi="Times New Roman"/>
          <w:b/>
          <w:noProof/>
          <w:sz w:val="24"/>
        </w:rPr>
        <w:t>The financing model change is not directly related to the reform of tuition fee system and student support system. However, the World Bank experts point out that tuition fee reform should be considered to move towards the objective of increasing access to higher education and participation, as well as to reduce the growing social inequality in Latvia.</w:t>
      </w:r>
    </w:p>
    <w:p w14:paraId="09626445" w14:textId="40DF7912" w:rsidR="006E539B" w:rsidRPr="003C0DF0" w:rsidRDefault="00ED16B1" w:rsidP="00D85172">
      <w:pPr>
        <w:spacing w:after="0" w:line="240" w:lineRule="auto"/>
        <w:ind w:firstLine="709"/>
        <w:jc w:val="both"/>
        <w:rPr>
          <w:rFonts w:ascii="Times New Roman" w:hAnsi="Times New Roman"/>
          <w:noProof/>
          <w:sz w:val="24"/>
          <w:szCs w:val="26"/>
        </w:rPr>
      </w:pPr>
      <w:r w:rsidRPr="003C0DF0">
        <w:rPr>
          <w:rFonts w:ascii="Times New Roman" w:hAnsi="Times New Roman"/>
          <w:noProof/>
          <w:sz w:val="24"/>
        </w:rPr>
        <w:t xml:space="preserve">The study concluded that the current dual track system is in its essence unfair because the beneficiaries of such system are students from better-off families. Although the principle of rotation currently existing in universities allows each year to qualify for a subsidised study place, the division between paying and budget students is maintained, and a certain group of students are consistently left without State support. In addition, only the budget students have the opportunity to qualify for a State scholarship, which is an additional exclusionary factor with respect to paying students. The World Bank experts have recommended a review of the mechanisms of allocation of budget funding with regard to full-time and part-time studies, taking into account that combining of studies and work is a reality for students today. Refusing the condition that the State finances only full-time studies, more students could apply for State subsidised study places, including students with lower income who cannot afford to devote full time to studies. Concurrently an institution of higher education is responsible for the quality of part-time studies. It is important to introduce additional support tools for meeting social needs of students, because the current system is heavily based on academic achievements. The experts advise to review the elements of student support – the conditions for scholarships, loans and </w:t>
      </w:r>
      <w:r w:rsidRPr="003C0DF0">
        <w:rPr>
          <w:rFonts w:ascii="Times New Roman" w:hAnsi="Times New Roman"/>
          <w:noProof/>
          <w:sz w:val="24"/>
        </w:rPr>
        <w:lastRenderedPageBreak/>
        <w:t>loan cancellation, and to include a socially fairer student support system in the higher education financing model.</w:t>
      </w:r>
    </w:p>
    <w:p w14:paraId="58347EE8" w14:textId="77777777" w:rsidR="00D85172" w:rsidRPr="003C0DF0" w:rsidRDefault="00D85172" w:rsidP="00D85172">
      <w:pPr>
        <w:spacing w:after="0" w:line="240" w:lineRule="auto"/>
        <w:ind w:firstLine="709"/>
        <w:jc w:val="both"/>
        <w:rPr>
          <w:rFonts w:ascii="Times New Roman" w:hAnsi="Times New Roman"/>
          <w:noProof/>
          <w:sz w:val="24"/>
          <w:szCs w:val="26"/>
        </w:rPr>
      </w:pPr>
    </w:p>
    <w:p w14:paraId="6B9EB27B" w14:textId="0FDE18A5" w:rsidR="00ED16B1" w:rsidRPr="00D12977" w:rsidRDefault="00D85172" w:rsidP="00D12977">
      <w:pPr>
        <w:pStyle w:val="Heading1"/>
      </w:pPr>
      <w:bookmarkStart w:id="27" w:name="_Toc421550732"/>
      <w:bookmarkStart w:id="28" w:name="_Toc453155036"/>
      <w:r w:rsidRPr="00D12977">
        <w:t>2. Higher Education Financing Reform</w:t>
      </w:r>
      <w:bookmarkStart w:id="29" w:name="_Toc399793035"/>
      <w:bookmarkStart w:id="30" w:name="_Toc399791759"/>
      <w:bookmarkEnd w:id="27"/>
      <w:bookmarkEnd w:id="29"/>
      <w:bookmarkEnd w:id="30"/>
      <w:bookmarkEnd w:id="28"/>
    </w:p>
    <w:p w14:paraId="70F55C2D" w14:textId="77777777" w:rsidR="00D85172" w:rsidRPr="003C0DF0" w:rsidRDefault="00D85172" w:rsidP="006E539B">
      <w:pPr>
        <w:spacing w:after="0" w:line="240" w:lineRule="auto"/>
        <w:jc w:val="both"/>
        <w:rPr>
          <w:rFonts w:ascii="Times New Roman" w:hAnsi="Times New Roman"/>
          <w:noProof/>
          <w:sz w:val="24"/>
          <w:szCs w:val="26"/>
        </w:rPr>
      </w:pPr>
    </w:p>
    <w:p w14:paraId="4232130B" w14:textId="17359F13" w:rsidR="00ED16B1" w:rsidRPr="003C0DF0" w:rsidRDefault="00ED16B1" w:rsidP="00D85172">
      <w:pPr>
        <w:spacing w:after="0" w:line="240" w:lineRule="auto"/>
        <w:ind w:firstLine="709"/>
        <w:jc w:val="both"/>
        <w:rPr>
          <w:rFonts w:ascii="Times New Roman" w:eastAsia="Times New Roman" w:hAnsi="Times New Roman"/>
          <w:noProof/>
          <w:sz w:val="24"/>
          <w:szCs w:val="26"/>
        </w:rPr>
      </w:pPr>
      <w:r w:rsidRPr="003C0DF0">
        <w:rPr>
          <w:rFonts w:ascii="Times New Roman" w:hAnsi="Times New Roman"/>
          <w:noProof/>
          <w:sz w:val="24"/>
        </w:rPr>
        <w:t>Options to improve the system and to ensure benefits of the new financing model are directly related to the amount of investments in higher education. As the World Bank experts point out, the current Latvian higher education funding (both public and private) is not sufficient to achieve the objectives set forward for higher education. This is based on investments in higher education in Latvia compared to other EU countries.</w:t>
      </w:r>
      <w:r w:rsidRPr="003C0DF0">
        <w:rPr>
          <w:rStyle w:val="FootnoteReference"/>
          <w:rFonts w:ascii="Times New Roman" w:hAnsi="Times New Roman"/>
          <w:noProof/>
          <w:sz w:val="24"/>
        </w:rPr>
        <w:footnoteReference w:id="10"/>
      </w:r>
      <w:r w:rsidRPr="003C0DF0">
        <w:rPr>
          <w:rFonts w:ascii="Times New Roman" w:hAnsi="Times New Roman"/>
          <w:noProof/>
          <w:sz w:val="24"/>
        </w:rPr>
        <w:t xml:space="preserve"> According to </w:t>
      </w:r>
      <w:r w:rsidRPr="003C0DF0">
        <w:rPr>
          <w:rFonts w:ascii="Times New Roman" w:hAnsi="Times New Roman"/>
          <w:i/>
          <w:noProof/>
          <w:sz w:val="24"/>
        </w:rPr>
        <w:t>Eurostat</w:t>
      </w:r>
      <w:r w:rsidRPr="003C0DF0">
        <w:rPr>
          <w:rFonts w:ascii="Times New Roman" w:hAnsi="Times New Roman"/>
          <w:noProof/>
          <w:sz w:val="24"/>
        </w:rPr>
        <w:t xml:space="preserve"> data (2010), public funding for higher education and research in Latvia accounts only for 0.8 % of the Gross Domestic Product (GDP), which is a significantly lower indicator as compared to the European average of 1.26 % of the GDP. Also, funding from the private sector in higher education is relatively small, mainly tuition fees paid by part-time and full-time paying students for study places not financed by the State. Public financing for higher education during the financial crisis of 2008 was drastically reduced – by more than 50 %, concurrently also reducing research funding. During the crisis, it was cut off and still no funding for scientific activity in institutions of higher education is ensured. As a result, the opportunities of institutions of higher education to provide competitive remuneration to academic and scientific personnel, to develop research-based higher education, to provide study and research integrity and thus to implement the mission and tasks in the preparation of new scientists laid down in Section 5 of the Law On Institutions of Higher Education are limited. During the time period from 2009 to 2013, base funding of science for institutions of higher education was paid only in the amount of 25 – 27% of the amount laid down in legal acts. Despite the fact that in 2014 the amount of base funding grew for the first time since 2009, institutions of higher education still received only 40% of the calculated level of funding in accordance with the Cabinet Regulation.</w:t>
      </w:r>
    </w:p>
    <w:p w14:paraId="7B33761F" w14:textId="77777777" w:rsidR="006E539B" w:rsidRPr="003C0DF0" w:rsidRDefault="00ED16B1" w:rsidP="00D85172">
      <w:pPr>
        <w:spacing w:after="0" w:line="240" w:lineRule="auto"/>
        <w:ind w:firstLine="709"/>
        <w:jc w:val="both"/>
        <w:rPr>
          <w:rFonts w:ascii="Times New Roman" w:hAnsi="Times New Roman"/>
          <w:noProof/>
          <w:sz w:val="24"/>
          <w:szCs w:val="26"/>
        </w:rPr>
      </w:pPr>
      <w:r w:rsidRPr="003C0DF0">
        <w:rPr>
          <w:rFonts w:ascii="Times New Roman" w:hAnsi="Times New Roman"/>
          <w:noProof/>
          <w:sz w:val="24"/>
        </w:rPr>
        <w:t>A consistent investment policy linked to the country's economic growth has been embedded in the Latvian legislation, laws and regulations. Paragraph 27 of Cabinet Regulation No. 994 of 12 December 2006, Procedures for the Financing of Institutions of Higher Education and Colleges from the Funds of the State Budget, (hereinafter – Cabinet Regulation No.994) provides for annual increasing of the value of the coefficient of the study costs per one-tenth part, in turn, Section 78, Paragraph seven of the Law On Institutions of Higher Education provides for an annual increase in funding for studies in State-founded institutions of higher education by not less than 0.25 per cent of the gross domestic product, until the State-granted funding for studies in State-founded institutions of higher education reaches at least 2 % of the gross domestic product. For the funding to institutions of higher education to reach 2 % of the GDP, additional EUR 406 million are needed. Section 33 of the Law On Scientific Activity prescribes an annual increase of funding for scientific activity of not less than 0.15 % of the gross domestic product until the State-allocated funding for scientific activity reaches at least 1 % of the gross domestic product. For the funding to scientific activity to reach 1 % of the GDP, additional EUR 231 million are needed</w:t>
      </w:r>
      <w:r w:rsidRPr="003C0DF0">
        <w:rPr>
          <w:rStyle w:val="FootnoteReference"/>
          <w:rFonts w:ascii="Times New Roman" w:hAnsi="Times New Roman"/>
          <w:noProof/>
          <w:sz w:val="24"/>
        </w:rPr>
        <w:footnoteReference w:id="11"/>
      </w:r>
      <w:r w:rsidRPr="003C0DF0">
        <w:rPr>
          <w:rFonts w:ascii="Times New Roman" w:hAnsi="Times New Roman"/>
          <w:noProof/>
          <w:sz w:val="24"/>
        </w:rPr>
        <w:t>.</w:t>
      </w:r>
    </w:p>
    <w:p w14:paraId="282BEA68" w14:textId="462F531D" w:rsidR="006E539B" w:rsidRPr="003C0DF0" w:rsidRDefault="00ED16B1" w:rsidP="00D85172">
      <w:pPr>
        <w:spacing w:after="0" w:line="240" w:lineRule="auto"/>
        <w:ind w:firstLine="709"/>
        <w:jc w:val="both"/>
        <w:rPr>
          <w:rFonts w:ascii="Times New Roman" w:hAnsi="Times New Roman"/>
          <w:noProof/>
          <w:sz w:val="24"/>
          <w:szCs w:val="26"/>
        </w:rPr>
      </w:pPr>
      <w:r w:rsidRPr="003C0DF0">
        <w:rPr>
          <w:rFonts w:ascii="Times New Roman" w:hAnsi="Times New Roman"/>
          <w:noProof/>
          <w:sz w:val="24"/>
        </w:rPr>
        <w:t xml:space="preserve">As pointed out by the World Bank experts, the current amount of public funding and structure shows inconsistency in the policy, setting high objectives for higher education, but not providing funding to achieve them, and thus not implementing the policies developed. The amount of funding to the sector shows that in fact its development is not a political priority, </w:t>
      </w:r>
      <w:r w:rsidRPr="003C0DF0">
        <w:rPr>
          <w:rFonts w:ascii="Times New Roman" w:hAnsi="Times New Roman"/>
          <w:noProof/>
          <w:sz w:val="24"/>
        </w:rPr>
        <w:lastRenderedPageBreak/>
        <w:t>which is in contradiction to the State policy planning documents. Investments must meet the development objectives pursued.</w:t>
      </w:r>
    </w:p>
    <w:p w14:paraId="10C62925" w14:textId="77777777" w:rsidR="00D85172" w:rsidRPr="003C0DF0" w:rsidRDefault="00D85172" w:rsidP="00D85172">
      <w:pPr>
        <w:spacing w:after="0" w:line="240" w:lineRule="auto"/>
        <w:ind w:firstLine="709"/>
        <w:jc w:val="both"/>
        <w:rPr>
          <w:rFonts w:ascii="Times New Roman" w:hAnsi="Times New Roman"/>
          <w:noProof/>
          <w:sz w:val="24"/>
          <w:szCs w:val="26"/>
        </w:rPr>
      </w:pPr>
    </w:p>
    <w:p w14:paraId="2768A672" w14:textId="1D251E73" w:rsidR="00ED16B1" w:rsidRPr="00D12977" w:rsidRDefault="00D85172" w:rsidP="00D12977">
      <w:pPr>
        <w:pStyle w:val="Heading2"/>
      </w:pPr>
      <w:bookmarkStart w:id="31" w:name="_Toc421550733"/>
      <w:bookmarkStart w:id="32" w:name="_Toc453155037"/>
      <w:r w:rsidRPr="00D12977">
        <w:t>2.1. Implementation Scenarios of the Financing Model Developed by the World Bank and Their Impact on the Budget, Competitiveness and Accessibility of Higher Education</w:t>
      </w:r>
      <w:bookmarkEnd w:id="31"/>
      <w:bookmarkEnd w:id="32"/>
    </w:p>
    <w:p w14:paraId="74C627D2" w14:textId="77777777" w:rsidR="00ED16B1" w:rsidRPr="003C0DF0" w:rsidRDefault="00ED16B1" w:rsidP="00D85172">
      <w:pPr>
        <w:spacing w:after="0" w:line="240" w:lineRule="auto"/>
        <w:ind w:firstLine="709"/>
        <w:jc w:val="both"/>
        <w:rPr>
          <w:rFonts w:ascii="Times New Roman" w:hAnsi="Times New Roman"/>
          <w:noProof/>
          <w:sz w:val="24"/>
          <w:szCs w:val="26"/>
        </w:rPr>
      </w:pPr>
    </w:p>
    <w:p w14:paraId="70F29D45" w14:textId="5D969F85" w:rsidR="00ED16B1" w:rsidRPr="003C0DF0" w:rsidRDefault="00ED16B1" w:rsidP="00D85172">
      <w:pPr>
        <w:spacing w:after="0" w:line="240" w:lineRule="auto"/>
        <w:ind w:firstLine="709"/>
        <w:jc w:val="both"/>
        <w:rPr>
          <w:rFonts w:ascii="Times New Roman" w:hAnsi="Times New Roman"/>
          <w:noProof/>
          <w:sz w:val="24"/>
          <w:szCs w:val="26"/>
        </w:rPr>
      </w:pPr>
      <w:r w:rsidRPr="003C0DF0">
        <w:rPr>
          <w:rFonts w:ascii="Times New Roman" w:hAnsi="Times New Roman"/>
          <w:noProof/>
          <w:sz w:val="24"/>
        </w:rPr>
        <w:t xml:space="preserve">Taking into account the current situation in financing of higher education and research, within the framework of the study conducted by the World Bank </w:t>
      </w:r>
      <w:r w:rsidRPr="003C0DF0">
        <w:rPr>
          <w:rFonts w:ascii="Times New Roman" w:hAnsi="Times New Roman"/>
          <w:b/>
          <w:noProof/>
          <w:sz w:val="24"/>
        </w:rPr>
        <w:t>three scenarios</w:t>
      </w:r>
      <w:r w:rsidRPr="003C0DF0">
        <w:rPr>
          <w:rFonts w:ascii="Times New Roman" w:hAnsi="Times New Roman"/>
          <w:noProof/>
          <w:sz w:val="24"/>
        </w:rPr>
        <w:t xml:space="preserve"> for the advancement of higher education financing reform, depending on the funding granted to the sector, were put forward:</w:t>
      </w:r>
    </w:p>
    <w:p w14:paraId="17E3F9B4" w14:textId="77777777" w:rsidR="006E539B" w:rsidRPr="003C0DF0" w:rsidRDefault="00ED16B1" w:rsidP="00D85172">
      <w:pPr>
        <w:spacing w:after="0" w:line="240" w:lineRule="auto"/>
        <w:ind w:firstLine="709"/>
        <w:jc w:val="both"/>
        <w:rPr>
          <w:rFonts w:ascii="Times New Roman" w:hAnsi="Times New Roman"/>
          <w:noProof/>
          <w:sz w:val="24"/>
          <w:szCs w:val="26"/>
        </w:rPr>
      </w:pPr>
      <w:r w:rsidRPr="003C0DF0">
        <w:rPr>
          <w:rFonts w:ascii="Times New Roman" w:hAnsi="Times New Roman"/>
          <w:noProof/>
          <w:sz w:val="24"/>
        </w:rPr>
        <w:t xml:space="preserve">A. </w:t>
      </w:r>
      <w:r w:rsidRPr="003C0DF0">
        <w:rPr>
          <w:rFonts w:ascii="Times New Roman" w:hAnsi="Times New Roman"/>
          <w:b/>
          <w:noProof/>
          <w:sz w:val="24"/>
        </w:rPr>
        <w:t>Knowledge society model;</w:t>
      </w:r>
    </w:p>
    <w:p w14:paraId="3779AAB6" w14:textId="77777777" w:rsidR="006E539B" w:rsidRPr="003C0DF0" w:rsidRDefault="00ED16B1" w:rsidP="00D85172">
      <w:pPr>
        <w:spacing w:after="0" w:line="240" w:lineRule="auto"/>
        <w:ind w:firstLine="709"/>
        <w:jc w:val="both"/>
        <w:rPr>
          <w:rFonts w:ascii="Times New Roman" w:hAnsi="Times New Roman"/>
          <w:noProof/>
          <w:sz w:val="24"/>
          <w:szCs w:val="26"/>
        </w:rPr>
      </w:pPr>
      <w:r w:rsidRPr="003C0DF0">
        <w:rPr>
          <w:rFonts w:ascii="Times New Roman" w:hAnsi="Times New Roman"/>
          <w:noProof/>
          <w:sz w:val="24"/>
        </w:rPr>
        <w:t xml:space="preserve">B. </w:t>
      </w:r>
      <w:r w:rsidRPr="003C0DF0">
        <w:rPr>
          <w:rFonts w:ascii="Times New Roman" w:hAnsi="Times New Roman"/>
          <w:b/>
          <w:noProof/>
          <w:sz w:val="24"/>
        </w:rPr>
        <w:t>Limited expansion model</w:t>
      </w:r>
      <w:r w:rsidRPr="003C0DF0">
        <w:rPr>
          <w:rFonts w:ascii="Times New Roman" w:hAnsi="Times New Roman"/>
          <w:noProof/>
          <w:sz w:val="24"/>
        </w:rPr>
        <w:t>;</w:t>
      </w:r>
    </w:p>
    <w:p w14:paraId="25E2B49B" w14:textId="77777777" w:rsidR="006E539B" w:rsidRPr="003C0DF0" w:rsidRDefault="00ED16B1" w:rsidP="00D85172">
      <w:pPr>
        <w:spacing w:after="0" w:line="240" w:lineRule="auto"/>
        <w:ind w:firstLine="709"/>
        <w:jc w:val="both"/>
        <w:rPr>
          <w:rFonts w:ascii="Times New Roman" w:hAnsi="Times New Roman"/>
          <w:noProof/>
          <w:sz w:val="24"/>
          <w:szCs w:val="26"/>
        </w:rPr>
      </w:pPr>
      <w:r w:rsidRPr="003C0DF0">
        <w:rPr>
          <w:rFonts w:ascii="Times New Roman" w:hAnsi="Times New Roman"/>
          <w:noProof/>
          <w:sz w:val="24"/>
        </w:rPr>
        <w:t xml:space="preserve">C. </w:t>
      </w:r>
      <w:r w:rsidRPr="003C0DF0">
        <w:rPr>
          <w:rFonts w:ascii="Times New Roman" w:hAnsi="Times New Roman"/>
          <w:b/>
          <w:noProof/>
          <w:sz w:val="24"/>
        </w:rPr>
        <w:t>Scarcity model.</w:t>
      </w:r>
    </w:p>
    <w:p w14:paraId="3D1410D4" w14:textId="5196EBD9" w:rsidR="00ED16B1" w:rsidRPr="003C0DF0" w:rsidRDefault="00ED16B1" w:rsidP="00D85172">
      <w:pPr>
        <w:spacing w:after="0" w:line="240" w:lineRule="auto"/>
        <w:ind w:firstLine="709"/>
        <w:jc w:val="both"/>
        <w:rPr>
          <w:rFonts w:ascii="Times New Roman" w:hAnsi="Times New Roman"/>
          <w:noProof/>
          <w:sz w:val="24"/>
          <w:szCs w:val="26"/>
        </w:rPr>
      </w:pPr>
    </w:p>
    <w:p w14:paraId="5FC131F0" w14:textId="77777777" w:rsidR="006E539B" w:rsidRPr="003C0DF0" w:rsidRDefault="00ED16B1" w:rsidP="00D85172">
      <w:pPr>
        <w:spacing w:after="0" w:line="240" w:lineRule="auto"/>
        <w:ind w:firstLine="709"/>
        <w:jc w:val="both"/>
        <w:rPr>
          <w:rFonts w:ascii="Times New Roman" w:hAnsi="Times New Roman"/>
          <w:noProof/>
          <w:sz w:val="24"/>
          <w:szCs w:val="26"/>
        </w:rPr>
      </w:pPr>
      <w:r w:rsidRPr="003C0DF0">
        <w:rPr>
          <w:rFonts w:ascii="Times New Roman" w:hAnsi="Times New Roman"/>
          <w:noProof/>
          <w:sz w:val="24"/>
        </w:rPr>
        <w:t>According to the abovementioned scenarios or funding growth forecast, the implementation of performance-based financing instruments is carried out in proportion to the growth in the level of funding. All scenarios offer the possibility to make the system more competitive and quality-oriented; however, in case of insufficient funding, even maintaining a stable base funding, competitiveness and quality growth occurs with a considerable time lag. The discussed scenarios apply to State-founded institutions of higher education; they reflect the expected decline in the number of students in higher education. Data of the ministry show that the number of students in the past 10 years has decreased by more than 30 %</w:t>
      </w:r>
      <w:r w:rsidRPr="003C0DF0">
        <w:rPr>
          <w:rStyle w:val="FootnoteReference"/>
          <w:rFonts w:ascii="Times New Roman" w:hAnsi="Times New Roman"/>
          <w:noProof/>
          <w:sz w:val="24"/>
        </w:rPr>
        <w:footnoteReference w:id="12"/>
      </w:r>
      <w:r w:rsidRPr="003C0DF0">
        <w:rPr>
          <w:rFonts w:ascii="Times New Roman" w:hAnsi="Times New Roman"/>
          <w:noProof/>
          <w:sz w:val="24"/>
        </w:rPr>
        <w:t>. According to the forecasts of the Ministry of Economics, until 2020 the number of students in higher education will continue to decrease just as rapidly</w:t>
      </w:r>
      <w:r w:rsidRPr="003C0DF0">
        <w:rPr>
          <w:rStyle w:val="FootnoteReference"/>
          <w:rFonts w:ascii="Times New Roman" w:hAnsi="Times New Roman"/>
          <w:noProof/>
          <w:sz w:val="24"/>
        </w:rPr>
        <w:footnoteReference w:id="13"/>
      </w:r>
      <w:r w:rsidRPr="003C0DF0">
        <w:rPr>
          <w:rFonts w:ascii="Times New Roman" w:hAnsi="Times New Roman"/>
          <w:noProof/>
          <w:sz w:val="24"/>
        </w:rPr>
        <w:t>.</w:t>
      </w:r>
    </w:p>
    <w:p w14:paraId="74F30EE3" w14:textId="77777777" w:rsidR="00D85172" w:rsidRPr="003C0DF0" w:rsidRDefault="00D85172" w:rsidP="00BB175A">
      <w:pPr>
        <w:pStyle w:val="Heading3"/>
        <w:rPr>
          <w:noProof/>
        </w:rPr>
      </w:pPr>
      <w:bookmarkStart w:id="33" w:name="_Toc421550734"/>
    </w:p>
    <w:p w14:paraId="4FB7EA19" w14:textId="657482B1" w:rsidR="00ED16B1" w:rsidRPr="00D12977" w:rsidRDefault="00D85172" w:rsidP="00D12977">
      <w:pPr>
        <w:pStyle w:val="Heading3"/>
      </w:pPr>
      <w:bookmarkStart w:id="34" w:name="_Toc453155038"/>
      <w:r w:rsidRPr="00D12977">
        <w:t>2.1.1. Knowledge Society Model</w:t>
      </w:r>
      <w:bookmarkEnd w:id="33"/>
      <w:bookmarkEnd w:id="34"/>
    </w:p>
    <w:p w14:paraId="2B8F175F" w14:textId="77777777" w:rsidR="00D85172" w:rsidRPr="003C0DF0" w:rsidRDefault="00D85172" w:rsidP="006E539B">
      <w:pPr>
        <w:spacing w:after="0" w:line="240" w:lineRule="auto"/>
        <w:jc w:val="both"/>
        <w:rPr>
          <w:rFonts w:ascii="Times New Roman" w:hAnsi="Times New Roman"/>
          <w:noProof/>
          <w:sz w:val="24"/>
          <w:szCs w:val="26"/>
        </w:rPr>
      </w:pPr>
    </w:p>
    <w:p w14:paraId="5D9CAB07" w14:textId="77777777" w:rsidR="00ED16B1" w:rsidRPr="003C0DF0" w:rsidRDefault="00ED16B1" w:rsidP="00D85172">
      <w:pPr>
        <w:spacing w:after="0" w:line="240" w:lineRule="auto"/>
        <w:ind w:firstLine="709"/>
        <w:jc w:val="both"/>
        <w:rPr>
          <w:rFonts w:ascii="Times New Roman" w:hAnsi="Times New Roman"/>
          <w:noProof/>
          <w:sz w:val="24"/>
          <w:szCs w:val="26"/>
        </w:rPr>
      </w:pPr>
      <w:r w:rsidRPr="003C0DF0">
        <w:rPr>
          <w:rFonts w:ascii="Times New Roman" w:hAnsi="Times New Roman"/>
          <w:noProof/>
          <w:sz w:val="24"/>
        </w:rPr>
        <w:t>Knowledge society scenario (scenario A), provides for a substantial increase in public investment in higher education and research. Funding of the first pillar grows at an annual increase of 2.5 %. The second pillar (the performance-based financing) and the third pillar – support to development, innovations, and strategic specialisation has been introduced. Funding for the second and third pillar is increasing by 15 percent annually (Figure 3). Most of this growth is ensured by government investments, but support to innovations is also provided by the business sector and industry. Income from tuition fees is an alternative source of income, the share of which will decrease in the future. However, institutions of higher education provide the opportunity to study for private funds and thus diversify their income structure.</w:t>
      </w:r>
    </w:p>
    <w:p w14:paraId="12308BF7" w14:textId="77777777" w:rsidR="00D85172" w:rsidRDefault="00D85172" w:rsidP="00D12977">
      <w:pPr>
        <w:spacing w:after="0" w:line="240" w:lineRule="auto"/>
        <w:jc w:val="both"/>
        <w:rPr>
          <w:rFonts w:ascii="Times New Roman" w:hAnsi="Times New Roman"/>
          <w:noProof/>
          <w:sz w:val="24"/>
          <w:szCs w:val="26"/>
        </w:rPr>
      </w:pPr>
    </w:p>
    <w:p w14:paraId="1299BED1" w14:textId="25159B56" w:rsidR="00D12977" w:rsidRDefault="00D12977" w:rsidP="00D12977">
      <w:pPr>
        <w:spacing w:after="0" w:line="240" w:lineRule="auto"/>
        <w:jc w:val="center"/>
        <w:rPr>
          <w:rFonts w:ascii="Times New Roman" w:hAnsi="Times New Roman"/>
          <w:noProof/>
          <w:sz w:val="24"/>
          <w:szCs w:val="26"/>
        </w:rPr>
      </w:pPr>
      <w:r>
        <w:rPr>
          <w:rFonts w:ascii="Times New Roman" w:hAnsi="Times New Roman"/>
          <w:noProof/>
          <w:sz w:val="24"/>
          <w:szCs w:val="26"/>
          <w:lang w:val="lv-LV" w:eastAsia="lv-LV" w:bidi="ar-SA"/>
        </w:rPr>
        <w:lastRenderedPageBreak/>
        <w:drawing>
          <wp:inline distT="0" distB="0" distL="0" distR="0" wp14:anchorId="6F9ADD27" wp14:editId="5680C515">
            <wp:extent cx="4937760" cy="3291840"/>
            <wp:effectExtent l="0" t="0" r="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37760" cy="3291840"/>
                    </a:xfrm>
                    <a:prstGeom prst="rect">
                      <a:avLst/>
                    </a:prstGeom>
                    <a:noFill/>
                    <a:ln>
                      <a:noFill/>
                    </a:ln>
                  </pic:spPr>
                </pic:pic>
              </a:graphicData>
            </a:graphic>
          </wp:inline>
        </w:drawing>
      </w:r>
    </w:p>
    <w:p w14:paraId="2F3A1751" w14:textId="77777777" w:rsidR="00D12977" w:rsidRPr="003C0DF0" w:rsidRDefault="00D12977" w:rsidP="00D12977">
      <w:pPr>
        <w:spacing w:after="0" w:line="240" w:lineRule="auto"/>
        <w:jc w:val="both"/>
        <w:rPr>
          <w:rFonts w:ascii="Times New Roman" w:hAnsi="Times New Roman"/>
          <w:noProof/>
          <w:sz w:val="24"/>
          <w:szCs w:val="26"/>
        </w:rPr>
      </w:pPr>
    </w:p>
    <w:p w14:paraId="43615AAA" w14:textId="77777777" w:rsidR="00ED16B1" w:rsidRPr="003C0DF0" w:rsidRDefault="00ED16B1" w:rsidP="00D85172">
      <w:pPr>
        <w:spacing w:after="0" w:line="240" w:lineRule="auto"/>
        <w:ind w:firstLine="709"/>
        <w:jc w:val="both"/>
        <w:rPr>
          <w:rFonts w:ascii="Times New Roman" w:hAnsi="Times New Roman"/>
          <w:b/>
          <w:bCs/>
          <w:noProof/>
          <w:sz w:val="24"/>
          <w:szCs w:val="24"/>
        </w:rPr>
      </w:pPr>
      <w:r w:rsidRPr="003C0DF0">
        <w:rPr>
          <w:rFonts w:ascii="Times New Roman" w:hAnsi="Times New Roman"/>
          <w:i/>
          <w:noProof/>
          <w:sz w:val="24"/>
        </w:rPr>
        <w:t xml:space="preserve">Figure 3. </w:t>
      </w:r>
      <w:r w:rsidRPr="003C0DF0">
        <w:rPr>
          <w:rFonts w:ascii="Times New Roman" w:hAnsi="Times New Roman"/>
          <w:b/>
          <w:noProof/>
          <w:sz w:val="24"/>
        </w:rPr>
        <w:t>Knowledge Society Model</w:t>
      </w:r>
    </w:p>
    <w:p w14:paraId="0AC33027" w14:textId="77777777" w:rsidR="00D12977" w:rsidRDefault="00D12977" w:rsidP="00D85172">
      <w:pPr>
        <w:spacing w:after="0" w:line="240" w:lineRule="auto"/>
        <w:ind w:firstLine="709"/>
        <w:jc w:val="both"/>
        <w:rPr>
          <w:rFonts w:ascii="Times New Roman" w:hAnsi="Times New Roman"/>
          <w:noProof/>
          <w:sz w:val="24"/>
        </w:rPr>
      </w:pPr>
    </w:p>
    <w:p w14:paraId="08DFFDCF" w14:textId="77777777" w:rsidR="00ED16B1" w:rsidRPr="003C0DF0" w:rsidRDefault="00ED16B1" w:rsidP="00D85172">
      <w:pPr>
        <w:spacing w:after="0" w:line="240" w:lineRule="auto"/>
        <w:ind w:firstLine="709"/>
        <w:jc w:val="both"/>
        <w:rPr>
          <w:rFonts w:ascii="Times New Roman" w:hAnsi="Times New Roman"/>
          <w:noProof/>
          <w:sz w:val="24"/>
          <w:szCs w:val="26"/>
        </w:rPr>
      </w:pPr>
      <w:r w:rsidRPr="003C0DF0">
        <w:rPr>
          <w:rFonts w:ascii="Times New Roman" w:hAnsi="Times New Roman"/>
          <w:noProof/>
          <w:sz w:val="24"/>
        </w:rPr>
        <w:t>The World Bank estimates of scenario A provide for increase in the first pillar (basic funding) to EUR 111.5 million, increase of the second pillar (performance funding) to EUR 28.3 million, increase of the third pillar (innovation funding) to EUR 20.2 million in 2025. Tuition fee amount is maintained at the current amount – EUR 15 million annually. The total target amount of funding to institutions of higher education in 2025 constitutes EUR 175. It is essential that upon full implementation of the three-pillar financing model, the largest share of funding is budget funding for ensuring the main activity of institutions of higher education – study and research work. Concurrently efficient incentives are ensured for diversification of income portfolio of institutions of higher education. Knowledge society model in absolute figures is presented in Table 5.</w:t>
      </w:r>
    </w:p>
    <w:p w14:paraId="14189DB5" w14:textId="77777777" w:rsidR="00ED16B1" w:rsidRPr="003C0DF0" w:rsidRDefault="00ED16B1" w:rsidP="006E539B">
      <w:pPr>
        <w:spacing w:after="0" w:line="240" w:lineRule="auto"/>
        <w:jc w:val="both"/>
        <w:rPr>
          <w:rFonts w:ascii="Times New Roman" w:hAnsi="Times New Roman"/>
          <w:bCs/>
          <w:noProof/>
          <w:sz w:val="24"/>
          <w:szCs w:val="26"/>
        </w:rPr>
      </w:pPr>
    </w:p>
    <w:p w14:paraId="0F66E261" w14:textId="77777777" w:rsidR="00ED16B1" w:rsidRPr="003C0DF0" w:rsidRDefault="00ED16B1" w:rsidP="00D85172">
      <w:pPr>
        <w:spacing w:after="0" w:line="240" w:lineRule="auto"/>
        <w:jc w:val="right"/>
        <w:rPr>
          <w:rFonts w:ascii="Times New Roman" w:hAnsi="Times New Roman"/>
          <w:b/>
          <w:bCs/>
          <w:noProof/>
          <w:sz w:val="24"/>
          <w:szCs w:val="24"/>
        </w:rPr>
      </w:pPr>
      <w:r w:rsidRPr="003C0DF0">
        <w:rPr>
          <w:rFonts w:ascii="Times New Roman" w:hAnsi="Times New Roman"/>
          <w:i/>
          <w:noProof/>
          <w:sz w:val="24"/>
        </w:rPr>
        <w:t xml:space="preserve">Table 5: </w:t>
      </w:r>
      <w:r w:rsidRPr="003C0DF0">
        <w:rPr>
          <w:rFonts w:ascii="Times New Roman" w:hAnsi="Times New Roman"/>
          <w:b/>
          <w:noProof/>
          <w:sz w:val="24"/>
        </w:rPr>
        <w:t>Amount of Knowledge Society Model Funding</w:t>
      </w:r>
    </w:p>
    <w:p w14:paraId="42827778" w14:textId="77777777" w:rsidR="00D85172" w:rsidRPr="003C0DF0" w:rsidRDefault="00D85172" w:rsidP="006E539B">
      <w:pPr>
        <w:spacing w:after="0" w:line="240" w:lineRule="auto"/>
        <w:jc w:val="both"/>
        <w:rPr>
          <w:rFonts w:ascii="Times New Roman" w:hAnsi="Times New Roman"/>
          <w:b/>
          <w:noProof/>
          <w:sz w:val="24"/>
          <w:szCs w:val="24"/>
        </w:rPr>
      </w:pPr>
    </w:p>
    <w:tbl>
      <w:tblPr>
        <w:tblStyle w:val="TableGrid"/>
        <w:tblW w:w="5000" w:type="pct"/>
        <w:tblLook w:val="04A0" w:firstRow="1" w:lastRow="0" w:firstColumn="1" w:lastColumn="0" w:noHBand="0" w:noVBand="1"/>
      </w:tblPr>
      <w:tblGrid>
        <w:gridCol w:w="1099"/>
        <w:gridCol w:w="1793"/>
        <w:gridCol w:w="1709"/>
        <w:gridCol w:w="1644"/>
        <w:gridCol w:w="1330"/>
        <w:gridCol w:w="1486"/>
      </w:tblGrid>
      <w:tr w:rsidR="00ED16B1" w:rsidRPr="003C0DF0" w14:paraId="1A6F8F35" w14:textId="77777777" w:rsidTr="00D12977">
        <w:tc>
          <w:tcPr>
            <w:tcW w:w="606" w:type="pct"/>
            <w:shd w:val="clear" w:color="auto" w:fill="DBE5F1" w:themeFill="accent1" w:themeFillTint="33"/>
          </w:tcPr>
          <w:p w14:paraId="79074A7F" w14:textId="77777777" w:rsidR="00ED16B1" w:rsidRPr="003C0DF0" w:rsidRDefault="00ED16B1" w:rsidP="006E539B">
            <w:pPr>
              <w:spacing w:after="0" w:line="240" w:lineRule="auto"/>
              <w:jc w:val="both"/>
              <w:rPr>
                <w:rFonts w:ascii="Times New Roman" w:hAnsi="Times New Roman"/>
                <w:b/>
                <w:noProof/>
                <w:sz w:val="24"/>
                <w:szCs w:val="24"/>
              </w:rPr>
            </w:pPr>
            <w:r w:rsidRPr="003C0DF0">
              <w:rPr>
                <w:rFonts w:ascii="Times New Roman" w:hAnsi="Times New Roman"/>
                <w:b/>
                <w:noProof/>
                <w:sz w:val="24"/>
              </w:rPr>
              <w:t>Year</w:t>
            </w:r>
          </w:p>
        </w:tc>
        <w:tc>
          <w:tcPr>
            <w:tcW w:w="989" w:type="pct"/>
            <w:shd w:val="clear" w:color="auto" w:fill="DBE5F1" w:themeFill="accent1" w:themeFillTint="33"/>
            <w:vAlign w:val="bottom"/>
          </w:tcPr>
          <w:p w14:paraId="27C1F13C" w14:textId="09E37DF1" w:rsidR="00ED16B1" w:rsidRPr="003C0DF0" w:rsidRDefault="00ED16B1" w:rsidP="006E539B">
            <w:pPr>
              <w:spacing w:after="0" w:line="240" w:lineRule="auto"/>
              <w:jc w:val="both"/>
              <w:rPr>
                <w:rFonts w:ascii="Times New Roman" w:eastAsia="Times New Roman" w:hAnsi="Times New Roman"/>
                <w:i/>
                <w:noProof/>
                <w:sz w:val="24"/>
                <w:szCs w:val="24"/>
              </w:rPr>
            </w:pPr>
            <w:r w:rsidRPr="003C0DF0">
              <w:rPr>
                <w:rFonts w:ascii="Times New Roman" w:hAnsi="Times New Roman"/>
                <w:b/>
              </w:rPr>
              <w:t>Pillar 1 funds</w:t>
            </w:r>
            <w:r w:rsidRPr="003C0DF0">
              <w:rPr>
                <w:rFonts w:ascii="Times New Roman" w:hAnsi="Times New Roman"/>
              </w:rPr>
              <w:t xml:space="preserve"> </w:t>
            </w:r>
            <w:r w:rsidRPr="003C0DF0">
              <w:rPr>
                <w:rFonts w:ascii="Times New Roman" w:hAnsi="Times New Roman"/>
                <w:i/>
              </w:rPr>
              <w:t>(million</w:t>
            </w:r>
            <w:r w:rsidR="003C0DF0" w:rsidRPr="003C0DF0">
              <w:rPr>
                <w:rFonts w:ascii="Times New Roman" w:hAnsi="Times New Roman"/>
                <w:i/>
              </w:rPr>
              <w:t xml:space="preserve"> </w:t>
            </w:r>
            <w:r w:rsidRPr="003C0DF0">
              <w:rPr>
                <w:rFonts w:ascii="Times New Roman" w:hAnsi="Times New Roman"/>
                <w:i/>
                <w:noProof/>
                <w:sz w:val="24"/>
              </w:rPr>
              <w:t>EUR)</w:t>
            </w:r>
          </w:p>
        </w:tc>
        <w:tc>
          <w:tcPr>
            <w:tcW w:w="943" w:type="pct"/>
            <w:shd w:val="clear" w:color="auto" w:fill="DBE5F1" w:themeFill="accent1" w:themeFillTint="33"/>
            <w:vAlign w:val="bottom"/>
          </w:tcPr>
          <w:p w14:paraId="56505174" w14:textId="77777777" w:rsidR="00ED16B1" w:rsidRPr="003C0DF0" w:rsidRDefault="00ED16B1" w:rsidP="006E539B">
            <w:pPr>
              <w:spacing w:after="0" w:line="240" w:lineRule="auto"/>
              <w:jc w:val="both"/>
              <w:rPr>
                <w:rFonts w:ascii="Times New Roman" w:eastAsia="Times New Roman" w:hAnsi="Times New Roman"/>
                <w:b/>
                <w:noProof/>
                <w:sz w:val="24"/>
                <w:szCs w:val="24"/>
              </w:rPr>
            </w:pPr>
            <w:r w:rsidRPr="003C0DF0">
              <w:rPr>
                <w:rFonts w:ascii="Times New Roman" w:hAnsi="Times New Roman"/>
                <w:b/>
                <w:noProof/>
                <w:sz w:val="24"/>
              </w:rPr>
              <w:t>Pillar 2 funds</w:t>
            </w:r>
          </w:p>
          <w:p w14:paraId="6251B3FE" w14:textId="35E3C2A3" w:rsidR="00ED16B1" w:rsidRPr="003C0DF0" w:rsidRDefault="00ED16B1" w:rsidP="006E539B">
            <w:pPr>
              <w:spacing w:after="0" w:line="240" w:lineRule="auto"/>
              <w:jc w:val="both"/>
              <w:rPr>
                <w:rFonts w:ascii="Times New Roman" w:eastAsia="Times New Roman" w:hAnsi="Times New Roman"/>
                <w:i/>
                <w:noProof/>
                <w:sz w:val="24"/>
                <w:szCs w:val="24"/>
              </w:rPr>
            </w:pPr>
            <w:r w:rsidRPr="003C0DF0">
              <w:rPr>
                <w:rFonts w:ascii="Times New Roman" w:hAnsi="Times New Roman"/>
                <w:i/>
                <w:noProof/>
                <w:sz w:val="24"/>
              </w:rPr>
              <w:t>(million</w:t>
            </w:r>
            <w:r w:rsidR="003C0DF0" w:rsidRPr="003C0DF0">
              <w:rPr>
                <w:rFonts w:ascii="Times New Roman" w:hAnsi="Times New Roman"/>
                <w:i/>
                <w:noProof/>
                <w:sz w:val="24"/>
              </w:rPr>
              <w:t xml:space="preserve"> </w:t>
            </w:r>
            <w:r w:rsidRPr="003C0DF0">
              <w:rPr>
                <w:rFonts w:ascii="Times New Roman" w:hAnsi="Times New Roman"/>
                <w:i/>
                <w:noProof/>
                <w:sz w:val="24"/>
              </w:rPr>
              <w:t>EUR)</w:t>
            </w:r>
          </w:p>
        </w:tc>
        <w:tc>
          <w:tcPr>
            <w:tcW w:w="907" w:type="pct"/>
            <w:shd w:val="clear" w:color="auto" w:fill="DBE5F1" w:themeFill="accent1" w:themeFillTint="33"/>
            <w:vAlign w:val="bottom"/>
          </w:tcPr>
          <w:p w14:paraId="737303D7" w14:textId="77777777" w:rsidR="00ED16B1" w:rsidRPr="003C0DF0" w:rsidRDefault="00ED16B1" w:rsidP="006E539B">
            <w:pPr>
              <w:spacing w:after="0" w:line="240" w:lineRule="auto"/>
              <w:jc w:val="both"/>
              <w:rPr>
                <w:rFonts w:ascii="Times New Roman" w:eastAsia="Times New Roman" w:hAnsi="Times New Roman"/>
                <w:b/>
                <w:noProof/>
                <w:sz w:val="24"/>
                <w:szCs w:val="24"/>
              </w:rPr>
            </w:pPr>
            <w:r w:rsidRPr="003C0DF0">
              <w:rPr>
                <w:rFonts w:ascii="Times New Roman" w:hAnsi="Times New Roman"/>
                <w:b/>
                <w:noProof/>
                <w:sz w:val="24"/>
              </w:rPr>
              <w:t>Pillar 3 funds</w:t>
            </w:r>
          </w:p>
          <w:p w14:paraId="1E6756E1" w14:textId="77777777" w:rsidR="00ED16B1" w:rsidRPr="003C0DF0" w:rsidRDefault="00ED16B1" w:rsidP="006E539B">
            <w:pPr>
              <w:spacing w:after="0" w:line="240" w:lineRule="auto"/>
              <w:jc w:val="both"/>
              <w:rPr>
                <w:rFonts w:ascii="Times New Roman" w:eastAsia="Times New Roman" w:hAnsi="Times New Roman"/>
                <w:i/>
                <w:noProof/>
                <w:sz w:val="24"/>
                <w:szCs w:val="24"/>
              </w:rPr>
            </w:pPr>
            <w:r w:rsidRPr="003C0DF0">
              <w:rPr>
                <w:rFonts w:ascii="Times New Roman" w:hAnsi="Times New Roman"/>
                <w:i/>
                <w:noProof/>
                <w:sz w:val="24"/>
              </w:rPr>
              <w:t>(million EUR)</w:t>
            </w:r>
          </w:p>
        </w:tc>
        <w:tc>
          <w:tcPr>
            <w:tcW w:w="734" w:type="pct"/>
            <w:shd w:val="clear" w:color="auto" w:fill="DBE5F1" w:themeFill="accent1" w:themeFillTint="33"/>
            <w:vAlign w:val="bottom"/>
          </w:tcPr>
          <w:p w14:paraId="7D7CAE4E" w14:textId="77777777" w:rsidR="00ED16B1" w:rsidRPr="003C0DF0" w:rsidRDefault="00ED16B1" w:rsidP="006E539B">
            <w:pPr>
              <w:spacing w:after="0" w:line="240" w:lineRule="auto"/>
              <w:jc w:val="both"/>
              <w:rPr>
                <w:rFonts w:ascii="Times New Roman" w:eastAsia="Times New Roman" w:hAnsi="Times New Roman"/>
                <w:b/>
                <w:noProof/>
                <w:sz w:val="24"/>
                <w:szCs w:val="24"/>
              </w:rPr>
            </w:pPr>
            <w:r w:rsidRPr="003C0DF0">
              <w:rPr>
                <w:rFonts w:ascii="Times New Roman" w:hAnsi="Times New Roman"/>
                <w:b/>
                <w:noProof/>
                <w:sz w:val="24"/>
              </w:rPr>
              <w:t>Tuition fee</w:t>
            </w:r>
          </w:p>
          <w:p w14:paraId="3337EBDC" w14:textId="77777777" w:rsidR="00ED16B1" w:rsidRPr="003C0DF0" w:rsidRDefault="00ED16B1" w:rsidP="006E539B">
            <w:pPr>
              <w:spacing w:after="0" w:line="240" w:lineRule="auto"/>
              <w:jc w:val="both"/>
              <w:rPr>
                <w:rFonts w:ascii="Times New Roman" w:eastAsia="Times New Roman" w:hAnsi="Times New Roman"/>
                <w:i/>
                <w:noProof/>
                <w:sz w:val="24"/>
                <w:szCs w:val="24"/>
              </w:rPr>
            </w:pPr>
            <w:r w:rsidRPr="003C0DF0">
              <w:rPr>
                <w:rFonts w:ascii="Times New Roman" w:hAnsi="Times New Roman"/>
                <w:i/>
                <w:noProof/>
                <w:sz w:val="24"/>
              </w:rPr>
              <w:t>(million EUR)</w:t>
            </w:r>
          </w:p>
        </w:tc>
        <w:tc>
          <w:tcPr>
            <w:tcW w:w="820" w:type="pct"/>
            <w:shd w:val="clear" w:color="auto" w:fill="DBE5F1" w:themeFill="accent1" w:themeFillTint="33"/>
            <w:vAlign w:val="bottom"/>
          </w:tcPr>
          <w:p w14:paraId="036024C7" w14:textId="2D1CE21D" w:rsidR="00ED16B1" w:rsidRPr="003C0DF0" w:rsidRDefault="00ED16B1" w:rsidP="00D85172">
            <w:pPr>
              <w:spacing w:after="0" w:line="240" w:lineRule="auto"/>
              <w:jc w:val="both"/>
              <w:rPr>
                <w:rFonts w:ascii="Times New Roman" w:eastAsia="Times New Roman" w:hAnsi="Times New Roman"/>
                <w:i/>
                <w:noProof/>
                <w:sz w:val="24"/>
                <w:szCs w:val="24"/>
              </w:rPr>
            </w:pPr>
            <w:r w:rsidRPr="003C0DF0">
              <w:rPr>
                <w:rFonts w:ascii="Times New Roman" w:hAnsi="Times New Roman"/>
                <w:b/>
                <w:noProof/>
                <w:sz w:val="24"/>
              </w:rPr>
              <w:t xml:space="preserve">Total </w:t>
            </w:r>
            <w:r w:rsidRPr="003C0DF0">
              <w:rPr>
                <w:rFonts w:ascii="Times New Roman" w:hAnsi="Times New Roman"/>
                <w:i/>
                <w:noProof/>
                <w:sz w:val="24"/>
              </w:rPr>
              <w:t>(million EUR)</w:t>
            </w:r>
          </w:p>
        </w:tc>
      </w:tr>
      <w:tr w:rsidR="00ED16B1" w:rsidRPr="003C0DF0" w14:paraId="0D695769" w14:textId="77777777" w:rsidTr="00D12977">
        <w:tc>
          <w:tcPr>
            <w:tcW w:w="606" w:type="pct"/>
            <w:vAlign w:val="bottom"/>
          </w:tcPr>
          <w:p w14:paraId="44D59E79" w14:textId="77777777" w:rsidR="00ED16B1" w:rsidRPr="003C0DF0" w:rsidRDefault="00ED16B1" w:rsidP="00D85172">
            <w:pPr>
              <w:spacing w:after="0" w:line="240" w:lineRule="auto"/>
              <w:jc w:val="right"/>
              <w:rPr>
                <w:rFonts w:ascii="Times New Roman" w:eastAsia="Times New Roman" w:hAnsi="Times New Roman"/>
                <w:noProof/>
                <w:sz w:val="24"/>
                <w:szCs w:val="24"/>
              </w:rPr>
            </w:pPr>
            <w:r w:rsidRPr="003C0DF0">
              <w:rPr>
                <w:rFonts w:ascii="Times New Roman" w:hAnsi="Times New Roman"/>
                <w:noProof/>
                <w:sz w:val="24"/>
              </w:rPr>
              <w:t>2014</w:t>
            </w:r>
          </w:p>
        </w:tc>
        <w:tc>
          <w:tcPr>
            <w:tcW w:w="989" w:type="pct"/>
            <w:vAlign w:val="center"/>
          </w:tcPr>
          <w:p w14:paraId="522D66F7" w14:textId="77777777" w:rsidR="00ED16B1" w:rsidRPr="003C0DF0" w:rsidRDefault="00ED16B1" w:rsidP="00D85172">
            <w:pPr>
              <w:spacing w:after="0" w:line="240" w:lineRule="auto"/>
              <w:jc w:val="center"/>
              <w:rPr>
                <w:rFonts w:ascii="Times New Roman" w:hAnsi="Times New Roman"/>
                <w:noProof/>
                <w:sz w:val="24"/>
                <w:szCs w:val="24"/>
              </w:rPr>
            </w:pPr>
            <w:r w:rsidRPr="003C0DF0">
              <w:rPr>
                <w:rFonts w:ascii="Times New Roman" w:hAnsi="Times New Roman"/>
                <w:noProof/>
                <w:sz w:val="24"/>
              </w:rPr>
              <w:t>85</w:t>
            </w:r>
          </w:p>
        </w:tc>
        <w:tc>
          <w:tcPr>
            <w:tcW w:w="943" w:type="pct"/>
            <w:vAlign w:val="center"/>
          </w:tcPr>
          <w:p w14:paraId="32D3F7DC" w14:textId="77777777" w:rsidR="00ED16B1" w:rsidRPr="003C0DF0" w:rsidRDefault="00ED16B1" w:rsidP="00D85172">
            <w:pPr>
              <w:spacing w:after="0" w:line="240" w:lineRule="auto"/>
              <w:jc w:val="center"/>
              <w:rPr>
                <w:rFonts w:ascii="Times New Roman" w:hAnsi="Times New Roman"/>
                <w:noProof/>
                <w:sz w:val="24"/>
                <w:szCs w:val="24"/>
              </w:rPr>
            </w:pPr>
            <w:r w:rsidRPr="003C0DF0">
              <w:rPr>
                <w:rFonts w:ascii="Times New Roman" w:hAnsi="Times New Roman"/>
                <w:noProof/>
                <w:sz w:val="24"/>
              </w:rPr>
              <w:t>0</w:t>
            </w:r>
          </w:p>
        </w:tc>
        <w:tc>
          <w:tcPr>
            <w:tcW w:w="907" w:type="pct"/>
            <w:vAlign w:val="center"/>
          </w:tcPr>
          <w:p w14:paraId="08D87C81" w14:textId="77777777" w:rsidR="00ED16B1" w:rsidRPr="003C0DF0" w:rsidRDefault="00ED16B1" w:rsidP="00D85172">
            <w:pPr>
              <w:spacing w:after="0" w:line="240" w:lineRule="auto"/>
              <w:jc w:val="center"/>
              <w:rPr>
                <w:rFonts w:ascii="Times New Roman" w:hAnsi="Times New Roman"/>
                <w:noProof/>
                <w:sz w:val="24"/>
                <w:szCs w:val="24"/>
              </w:rPr>
            </w:pPr>
            <w:r w:rsidRPr="003C0DF0">
              <w:rPr>
                <w:rFonts w:ascii="Times New Roman" w:hAnsi="Times New Roman"/>
                <w:noProof/>
                <w:sz w:val="24"/>
              </w:rPr>
              <w:t>0</w:t>
            </w:r>
          </w:p>
        </w:tc>
        <w:tc>
          <w:tcPr>
            <w:tcW w:w="734" w:type="pct"/>
            <w:vAlign w:val="center"/>
          </w:tcPr>
          <w:p w14:paraId="742D2293" w14:textId="77777777" w:rsidR="00ED16B1" w:rsidRPr="003C0DF0" w:rsidRDefault="00ED16B1" w:rsidP="00D85172">
            <w:pPr>
              <w:spacing w:after="0" w:line="240" w:lineRule="auto"/>
              <w:jc w:val="center"/>
              <w:rPr>
                <w:rFonts w:ascii="Times New Roman" w:hAnsi="Times New Roman"/>
                <w:noProof/>
                <w:sz w:val="24"/>
                <w:szCs w:val="24"/>
              </w:rPr>
            </w:pPr>
            <w:r w:rsidRPr="003C0DF0">
              <w:rPr>
                <w:rFonts w:ascii="Times New Roman" w:hAnsi="Times New Roman"/>
                <w:noProof/>
                <w:sz w:val="24"/>
              </w:rPr>
              <w:t>15</w:t>
            </w:r>
          </w:p>
        </w:tc>
        <w:tc>
          <w:tcPr>
            <w:tcW w:w="820" w:type="pct"/>
            <w:vAlign w:val="center"/>
          </w:tcPr>
          <w:p w14:paraId="029446B6" w14:textId="77777777" w:rsidR="00ED16B1" w:rsidRPr="003C0DF0" w:rsidRDefault="00ED16B1" w:rsidP="00D85172">
            <w:pPr>
              <w:spacing w:after="0" w:line="240" w:lineRule="auto"/>
              <w:jc w:val="center"/>
              <w:rPr>
                <w:rFonts w:ascii="Times New Roman" w:hAnsi="Times New Roman"/>
                <w:b/>
                <w:bCs/>
                <w:noProof/>
                <w:sz w:val="24"/>
                <w:szCs w:val="24"/>
              </w:rPr>
            </w:pPr>
            <w:r w:rsidRPr="003C0DF0">
              <w:rPr>
                <w:rFonts w:ascii="Times New Roman" w:hAnsi="Times New Roman"/>
                <w:b/>
                <w:noProof/>
                <w:sz w:val="24"/>
              </w:rPr>
              <w:t>100</w:t>
            </w:r>
          </w:p>
        </w:tc>
      </w:tr>
      <w:tr w:rsidR="00ED16B1" w:rsidRPr="003C0DF0" w14:paraId="1BF5E9C4" w14:textId="77777777" w:rsidTr="00D12977">
        <w:tc>
          <w:tcPr>
            <w:tcW w:w="606" w:type="pct"/>
            <w:shd w:val="clear" w:color="auto" w:fill="auto"/>
            <w:vAlign w:val="bottom"/>
          </w:tcPr>
          <w:p w14:paraId="1D4B1FD4" w14:textId="77777777" w:rsidR="00ED16B1" w:rsidRPr="003C0DF0" w:rsidRDefault="00ED16B1" w:rsidP="00D85172">
            <w:pPr>
              <w:spacing w:after="0" w:line="240" w:lineRule="auto"/>
              <w:jc w:val="right"/>
              <w:rPr>
                <w:rFonts w:ascii="Times New Roman" w:eastAsia="Times New Roman" w:hAnsi="Times New Roman"/>
                <w:noProof/>
                <w:sz w:val="24"/>
                <w:szCs w:val="24"/>
              </w:rPr>
            </w:pPr>
            <w:r w:rsidRPr="003C0DF0">
              <w:rPr>
                <w:rFonts w:ascii="Times New Roman" w:hAnsi="Times New Roman"/>
                <w:noProof/>
                <w:sz w:val="24"/>
              </w:rPr>
              <w:t>2015</w:t>
            </w:r>
          </w:p>
        </w:tc>
        <w:tc>
          <w:tcPr>
            <w:tcW w:w="989" w:type="pct"/>
            <w:shd w:val="clear" w:color="auto" w:fill="auto"/>
            <w:vAlign w:val="center"/>
          </w:tcPr>
          <w:p w14:paraId="6610D9D6" w14:textId="77777777" w:rsidR="00ED16B1" w:rsidRPr="003C0DF0" w:rsidRDefault="00ED16B1" w:rsidP="00D85172">
            <w:pPr>
              <w:spacing w:after="0" w:line="240" w:lineRule="auto"/>
              <w:jc w:val="center"/>
              <w:rPr>
                <w:rFonts w:ascii="Times New Roman" w:hAnsi="Times New Roman"/>
                <w:noProof/>
                <w:sz w:val="24"/>
                <w:szCs w:val="24"/>
              </w:rPr>
            </w:pPr>
            <w:r w:rsidRPr="003C0DF0">
              <w:rPr>
                <w:rFonts w:ascii="Times New Roman" w:hAnsi="Times New Roman"/>
                <w:noProof/>
                <w:sz w:val="24"/>
              </w:rPr>
              <w:t>87.1</w:t>
            </w:r>
          </w:p>
        </w:tc>
        <w:tc>
          <w:tcPr>
            <w:tcW w:w="943" w:type="pct"/>
            <w:shd w:val="clear" w:color="auto" w:fill="auto"/>
            <w:vAlign w:val="center"/>
          </w:tcPr>
          <w:p w14:paraId="2F81CE12" w14:textId="77777777" w:rsidR="00ED16B1" w:rsidRPr="003C0DF0" w:rsidRDefault="00ED16B1" w:rsidP="00D85172">
            <w:pPr>
              <w:spacing w:after="0" w:line="240" w:lineRule="auto"/>
              <w:jc w:val="center"/>
              <w:rPr>
                <w:rFonts w:ascii="Times New Roman" w:hAnsi="Times New Roman"/>
                <w:noProof/>
                <w:sz w:val="24"/>
                <w:szCs w:val="24"/>
              </w:rPr>
            </w:pPr>
            <w:r w:rsidRPr="003C0DF0">
              <w:rPr>
                <w:rFonts w:ascii="Times New Roman" w:hAnsi="Times New Roman"/>
                <w:noProof/>
                <w:sz w:val="24"/>
              </w:rPr>
              <w:t>7</w:t>
            </w:r>
          </w:p>
        </w:tc>
        <w:tc>
          <w:tcPr>
            <w:tcW w:w="907" w:type="pct"/>
            <w:shd w:val="clear" w:color="auto" w:fill="auto"/>
            <w:vAlign w:val="center"/>
          </w:tcPr>
          <w:p w14:paraId="21CB4E86" w14:textId="77777777" w:rsidR="00ED16B1" w:rsidRPr="003C0DF0" w:rsidRDefault="00ED16B1" w:rsidP="00D85172">
            <w:pPr>
              <w:spacing w:after="0" w:line="240" w:lineRule="auto"/>
              <w:jc w:val="center"/>
              <w:rPr>
                <w:rFonts w:ascii="Times New Roman" w:hAnsi="Times New Roman"/>
                <w:noProof/>
                <w:sz w:val="24"/>
                <w:szCs w:val="24"/>
              </w:rPr>
            </w:pPr>
            <w:r w:rsidRPr="003C0DF0">
              <w:rPr>
                <w:rFonts w:ascii="Times New Roman" w:hAnsi="Times New Roman"/>
                <w:noProof/>
                <w:sz w:val="24"/>
              </w:rPr>
              <w:t>5</w:t>
            </w:r>
          </w:p>
        </w:tc>
        <w:tc>
          <w:tcPr>
            <w:tcW w:w="734" w:type="pct"/>
            <w:shd w:val="clear" w:color="auto" w:fill="auto"/>
            <w:vAlign w:val="center"/>
          </w:tcPr>
          <w:p w14:paraId="0F90372F" w14:textId="77777777" w:rsidR="00ED16B1" w:rsidRPr="003C0DF0" w:rsidRDefault="00ED16B1" w:rsidP="00D85172">
            <w:pPr>
              <w:spacing w:after="0" w:line="240" w:lineRule="auto"/>
              <w:jc w:val="center"/>
              <w:rPr>
                <w:rFonts w:ascii="Times New Roman" w:hAnsi="Times New Roman"/>
                <w:noProof/>
                <w:sz w:val="24"/>
                <w:szCs w:val="24"/>
              </w:rPr>
            </w:pPr>
            <w:r w:rsidRPr="003C0DF0">
              <w:rPr>
                <w:rFonts w:ascii="Times New Roman" w:hAnsi="Times New Roman"/>
                <w:noProof/>
                <w:sz w:val="24"/>
              </w:rPr>
              <w:t>15</w:t>
            </w:r>
          </w:p>
        </w:tc>
        <w:tc>
          <w:tcPr>
            <w:tcW w:w="820" w:type="pct"/>
            <w:shd w:val="clear" w:color="auto" w:fill="auto"/>
            <w:vAlign w:val="center"/>
          </w:tcPr>
          <w:p w14:paraId="2AA1CB03" w14:textId="77777777" w:rsidR="00ED16B1" w:rsidRPr="003C0DF0" w:rsidRDefault="00ED16B1" w:rsidP="00D85172">
            <w:pPr>
              <w:spacing w:after="0" w:line="240" w:lineRule="auto"/>
              <w:jc w:val="center"/>
              <w:rPr>
                <w:rFonts w:ascii="Times New Roman" w:hAnsi="Times New Roman"/>
                <w:b/>
                <w:bCs/>
                <w:noProof/>
                <w:sz w:val="24"/>
                <w:szCs w:val="24"/>
              </w:rPr>
            </w:pPr>
            <w:r w:rsidRPr="003C0DF0">
              <w:rPr>
                <w:rFonts w:ascii="Times New Roman" w:hAnsi="Times New Roman"/>
                <w:b/>
                <w:noProof/>
                <w:sz w:val="24"/>
              </w:rPr>
              <w:t>114.1</w:t>
            </w:r>
          </w:p>
        </w:tc>
      </w:tr>
      <w:tr w:rsidR="00ED16B1" w:rsidRPr="003C0DF0" w14:paraId="73E194FE" w14:textId="77777777" w:rsidTr="00D12977">
        <w:tc>
          <w:tcPr>
            <w:tcW w:w="606" w:type="pct"/>
            <w:shd w:val="clear" w:color="auto" w:fill="auto"/>
            <w:vAlign w:val="bottom"/>
          </w:tcPr>
          <w:p w14:paraId="4415B61B" w14:textId="77777777" w:rsidR="00ED16B1" w:rsidRPr="003C0DF0" w:rsidRDefault="00ED16B1" w:rsidP="00D85172">
            <w:pPr>
              <w:spacing w:after="0" w:line="240" w:lineRule="auto"/>
              <w:jc w:val="right"/>
              <w:rPr>
                <w:rFonts w:ascii="Times New Roman" w:eastAsia="Times New Roman" w:hAnsi="Times New Roman"/>
                <w:noProof/>
                <w:sz w:val="24"/>
                <w:szCs w:val="24"/>
              </w:rPr>
            </w:pPr>
            <w:r w:rsidRPr="003C0DF0">
              <w:rPr>
                <w:rFonts w:ascii="Times New Roman" w:hAnsi="Times New Roman"/>
                <w:noProof/>
                <w:sz w:val="24"/>
              </w:rPr>
              <w:t>2016</w:t>
            </w:r>
          </w:p>
        </w:tc>
        <w:tc>
          <w:tcPr>
            <w:tcW w:w="989" w:type="pct"/>
            <w:shd w:val="clear" w:color="auto" w:fill="auto"/>
            <w:vAlign w:val="center"/>
          </w:tcPr>
          <w:p w14:paraId="0FF8029A" w14:textId="77777777" w:rsidR="00ED16B1" w:rsidRPr="003C0DF0" w:rsidRDefault="00ED16B1" w:rsidP="00D85172">
            <w:pPr>
              <w:spacing w:after="0" w:line="240" w:lineRule="auto"/>
              <w:jc w:val="center"/>
              <w:rPr>
                <w:rFonts w:ascii="Times New Roman" w:hAnsi="Times New Roman"/>
                <w:noProof/>
                <w:sz w:val="24"/>
                <w:szCs w:val="24"/>
              </w:rPr>
            </w:pPr>
            <w:r w:rsidRPr="003C0DF0">
              <w:rPr>
                <w:rFonts w:ascii="Times New Roman" w:hAnsi="Times New Roman"/>
                <w:noProof/>
                <w:sz w:val="24"/>
              </w:rPr>
              <w:t>89.3</w:t>
            </w:r>
          </w:p>
        </w:tc>
        <w:tc>
          <w:tcPr>
            <w:tcW w:w="943" w:type="pct"/>
            <w:shd w:val="clear" w:color="auto" w:fill="auto"/>
            <w:vAlign w:val="center"/>
          </w:tcPr>
          <w:p w14:paraId="38888ACA" w14:textId="77777777" w:rsidR="00ED16B1" w:rsidRPr="003C0DF0" w:rsidRDefault="00ED16B1" w:rsidP="00D85172">
            <w:pPr>
              <w:spacing w:after="0" w:line="240" w:lineRule="auto"/>
              <w:jc w:val="center"/>
              <w:rPr>
                <w:rFonts w:ascii="Times New Roman" w:hAnsi="Times New Roman"/>
                <w:noProof/>
                <w:sz w:val="24"/>
                <w:szCs w:val="24"/>
              </w:rPr>
            </w:pPr>
            <w:r w:rsidRPr="003C0DF0">
              <w:rPr>
                <w:rFonts w:ascii="Times New Roman" w:hAnsi="Times New Roman"/>
                <w:noProof/>
                <w:sz w:val="24"/>
              </w:rPr>
              <w:t>8.1</w:t>
            </w:r>
          </w:p>
        </w:tc>
        <w:tc>
          <w:tcPr>
            <w:tcW w:w="907" w:type="pct"/>
            <w:shd w:val="clear" w:color="auto" w:fill="auto"/>
            <w:vAlign w:val="center"/>
          </w:tcPr>
          <w:p w14:paraId="69412DBD" w14:textId="77777777" w:rsidR="00ED16B1" w:rsidRPr="003C0DF0" w:rsidRDefault="00ED16B1" w:rsidP="00D85172">
            <w:pPr>
              <w:spacing w:after="0" w:line="240" w:lineRule="auto"/>
              <w:jc w:val="center"/>
              <w:rPr>
                <w:rFonts w:ascii="Times New Roman" w:hAnsi="Times New Roman"/>
                <w:noProof/>
                <w:sz w:val="24"/>
                <w:szCs w:val="24"/>
              </w:rPr>
            </w:pPr>
            <w:r w:rsidRPr="003C0DF0">
              <w:rPr>
                <w:rFonts w:ascii="Times New Roman" w:hAnsi="Times New Roman"/>
                <w:noProof/>
                <w:sz w:val="24"/>
              </w:rPr>
              <w:t>5.8</w:t>
            </w:r>
          </w:p>
        </w:tc>
        <w:tc>
          <w:tcPr>
            <w:tcW w:w="734" w:type="pct"/>
            <w:shd w:val="clear" w:color="auto" w:fill="auto"/>
            <w:vAlign w:val="center"/>
          </w:tcPr>
          <w:p w14:paraId="04849B02" w14:textId="77777777" w:rsidR="00ED16B1" w:rsidRPr="003C0DF0" w:rsidRDefault="00ED16B1" w:rsidP="00D85172">
            <w:pPr>
              <w:spacing w:after="0" w:line="240" w:lineRule="auto"/>
              <w:jc w:val="center"/>
              <w:rPr>
                <w:rFonts w:ascii="Times New Roman" w:hAnsi="Times New Roman"/>
                <w:noProof/>
                <w:sz w:val="24"/>
                <w:szCs w:val="24"/>
              </w:rPr>
            </w:pPr>
            <w:r w:rsidRPr="003C0DF0">
              <w:rPr>
                <w:rFonts w:ascii="Times New Roman" w:hAnsi="Times New Roman"/>
                <w:noProof/>
                <w:sz w:val="24"/>
              </w:rPr>
              <w:t>15</w:t>
            </w:r>
          </w:p>
        </w:tc>
        <w:tc>
          <w:tcPr>
            <w:tcW w:w="820" w:type="pct"/>
            <w:shd w:val="clear" w:color="auto" w:fill="auto"/>
            <w:vAlign w:val="center"/>
          </w:tcPr>
          <w:p w14:paraId="6E3B4C0E" w14:textId="77777777" w:rsidR="00ED16B1" w:rsidRPr="003C0DF0" w:rsidRDefault="00ED16B1" w:rsidP="00D85172">
            <w:pPr>
              <w:spacing w:after="0" w:line="240" w:lineRule="auto"/>
              <w:jc w:val="center"/>
              <w:rPr>
                <w:rFonts w:ascii="Times New Roman" w:hAnsi="Times New Roman"/>
                <w:b/>
                <w:bCs/>
                <w:noProof/>
                <w:sz w:val="24"/>
                <w:szCs w:val="24"/>
              </w:rPr>
            </w:pPr>
            <w:r w:rsidRPr="003C0DF0">
              <w:rPr>
                <w:rFonts w:ascii="Times New Roman" w:hAnsi="Times New Roman"/>
                <w:b/>
                <w:noProof/>
                <w:sz w:val="24"/>
              </w:rPr>
              <w:t>118.1</w:t>
            </w:r>
          </w:p>
        </w:tc>
      </w:tr>
      <w:tr w:rsidR="00ED16B1" w:rsidRPr="003C0DF0" w14:paraId="527D4CCC" w14:textId="77777777" w:rsidTr="00D12977">
        <w:tc>
          <w:tcPr>
            <w:tcW w:w="606" w:type="pct"/>
            <w:shd w:val="clear" w:color="auto" w:fill="auto"/>
            <w:vAlign w:val="bottom"/>
          </w:tcPr>
          <w:p w14:paraId="301DC14C" w14:textId="77777777" w:rsidR="00ED16B1" w:rsidRPr="003C0DF0" w:rsidRDefault="00ED16B1" w:rsidP="00D85172">
            <w:pPr>
              <w:spacing w:after="0" w:line="240" w:lineRule="auto"/>
              <w:jc w:val="right"/>
              <w:rPr>
                <w:rFonts w:ascii="Times New Roman" w:eastAsia="Times New Roman" w:hAnsi="Times New Roman"/>
                <w:noProof/>
                <w:sz w:val="24"/>
                <w:szCs w:val="24"/>
              </w:rPr>
            </w:pPr>
            <w:r w:rsidRPr="003C0DF0">
              <w:rPr>
                <w:rFonts w:ascii="Times New Roman" w:hAnsi="Times New Roman"/>
                <w:noProof/>
                <w:sz w:val="24"/>
              </w:rPr>
              <w:t>2017</w:t>
            </w:r>
          </w:p>
        </w:tc>
        <w:tc>
          <w:tcPr>
            <w:tcW w:w="989" w:type="pct"/>
            <w:shd w:val="clear" w:color="auto" w:fill="auto"/>
            <w:vAlign w:val="center"/>
          </w:tcPr>
          <w:p w14:paraId="008D3F2E" w14:textId="77777777" w:rsidR="00ED16B1" w:rsidRPr="003C0DF0" w:rsidRDefault="00ED16B1" w:rsidP="00D85172">
            <w:pPr>
              <w:spacing w:after="0" w:line="240" w:lineRule="auto"/>
              <w:jc w:val="center"/>
              <w:rPr>
                <w:rFonts w:ascii="Times New Roman" w:hAnsi="Times New Roman"/>
                <w:noProof/>
                <w:sz w:val="24"/>
                <w:szCs w:val="24"/>
              </w:rPr>
            </w:pPr>
            <w:r w:rsidRPr="003C0DF0">
              <w:rPr>
                <w:rFonts w:ascii="Times New Roman" w:hAnsi="Times New Roman"/>
                <w:noProof/>
                <w:sz w:val="24"/>
              </w:rPr>
              <w:t>91.5</w:t>
            </w:r>
          </w:p>
        </w:tc>
        <w:tc>
          <w:tcPr>
            <w:tcW w:w="943" w:type="pct"/>
            <w:shd w:val="clear" w:color="auto" w:fill="auto"/>
            <w:vAlign w:val="center"/>
          </w:tcPr>
          <w:p w14:paraId="45BD6E86" w14:textId="77777777" w:rsidR="00ED16B1" w:rsidRPr="003C0DF0" w:rsidRDefault="00ED16B1" w:rsidP="00D85172">
            <w:pPr>
              <w:spacing w:after="0" w:line="240" w:lineRule="auto"/>
              <w:jc w:val="center"/>
              <w:rPr>
                <w:rFonts w:ascii="Times New Roman" w:hAnsi="Times New Roman"/>
                <w:noProof/>
                <w:sz w:val="24"/>
                <w:szCs w:val="24"/>
              </w:rPr>
            </w:pPr>
            <w:r w:rsidRPr="003C0DF0">
              <w:rPr>
                <w:rFonts w:ascii="Times New Roman" w:hAnsi="Times New Roman"/>
                <w:noProof/>
                <w:sz w:val="24"/>
              </w:rPr>
              <w:t>9.3</w:t>
            </w:r>
          </w:p>
        </w:tc>
        <w:tc>
          <w:tcPr>
            <w:tcW w:w="907" w:type="pct"/>
            <w:shd w:val="clear" w:color="auto" w:fill="auto"/>
            <w:vAlign w:val="center"/>
          </w:tcPr>
          <w:p w14:paraId="0F45E7F8" w14:textId="77777777" w:rsidR="00ED16B1" w:rsidRPr="003C0DF0" w:rsidRDefault="00ED16B1" w:rsidP="00D85172">
            <w:pPr>
              <w:spacing w:after="0" w:line="240" w:lineRule="auto"/>
              <w:jc w:val="center"/>
              <w:rPr>
                <w:rFonts w:ascii="Times New Roman" w:hAnsi="Times New Roman"/>
                <w:noProof/>
                <w:sz w:val="24"/>
                <w:szCs w:val="24"/>
              </w:rPr>
            </w:pPr>
            <w:r w:rsidRPr="003C0DF0">
              <w:rPr>
                <w:rFonts w:ascii="Times New Roman" w:hAnsi="Times New Roman"/>
                <w:noProof/>
                <w:sz w:val="24"/>
              </w:rPr>
              <w:t>6.6</w:t>
            </w:r>
          </w:p>
        </w:tc>
        <w:tc>
          <w:tcPr>
            <w:tcW w:w="734" w:type="pct"/>
            <w:shd w:val="clear" w:color="auto" w:fill="auto"/>
            <w:vAlign w:val="center"/>
          </w:tcPr>
          <w:p w14:paraId="07E0D982" w14:textId="77777777" w:rsidR="00ED16B1" w:rsidRPr="003C0DF0" w:rsidRDefault="00ED16B1" w:rsidP="00D85172">
            <w:pPr>
              <w:spacing w:after="0" w:line="240" w:lineRule="auto"/>
              <w:jc w:val="center"/>
              <w:rPr>
                <w:rFonts w:ascii="Times New Roman" w:hAnsi="Times New Roman"/>
                <w:noProof/>
                <w:sz w:val="24"/>
                <w:szCs w:val="24"/>
              </w:rPr>
            </w:pPr>
            <w:r w:rsidRPr="003C0DF0">
              <w:rPr>
                <w:rFonts w:ascii="Times New Roman" w:hAnsi="Times New Roman"/>
                <w:noProof/>
                <w:sz w:val="24"/>
              </w:rPr>
              <w:t>15</w:t>
            </w:r>
          </w:p>
        </w:tc>
        <w:tc>
          <w:tcPr>
            <w:tcW w:w="820" w:type="pct"/>
            <w:shd w:val="clear" w:color="auto" w:fill="auto"/>
            <w:vAlign w:val="center"/>
          </w:tcPr>
          <w:p w14:paraId="5804FD7B" w14:textId="77777777" w:rsidR="00ED16B1" w:rsidRPr="003C0DF0" w:rsidRDefault="00ED16B1" w:rsidP="00D85172">
            <w:pPr>
              <w:spacing w:after="0" w:line="240" w:lineRule="auto"/>
              <w:jc w:val="center"/>
              <w:rPr>
                <w:rFonts w:ascii="Times New Roman" w:hAnsi="Times New Roman"/>
                <w:b/>
                <w:bCs/>
                <w:noProof/>
                <w:sz w:val="24"/>
                <w:szCs w:val="24"/>
              </w:rPr>
            </w:pPr>
            <w:r w:rsidRPr="003C0DF0">
              <w:rPr>
                <w:rFonts w:ascii="Times New Roman" w:hAnsi="Times New Roman"/>
                <w:b/>
                <w:noProof/>
                <w:sz w:val="24"/>
              </w:rPr>
              <w:t>122.4</w:t>
            </w:r>
          </w:p>
        </w:tc>
      </w:tr>
      <w:tr w:rsidR="00ED16B1" w:rsidRPr="003C0DF0" w14:paraId="33C77769" w14:textId="77777777" w:rsidTr="00D12977">
        <w:tc>
          <w:tcPr>
            <w:tcW w:w="606" w:type="pct"/>
            <w:vAlign w:val="bottom"/>
          </w:tcPr>
          <w:p w14:paraId="2BF80447" w14:textId="77777777" w:rsidR="00ED16B1" w:rsidRPr="003C0DF0" w:rsidRDefault="00ED16B1" w:rsidP="00D85172">
            <w:pPr>
              <w:spacing w:after="0" w:line="240" w:lineRule="auto"/>
              <w:jc w:val="right"/>
              <w:rPr>
                <w:rFonts w:ascii="Times New Roman" w:eastAsia="Times New Roman" w:hAnsi="Times New Roman"/>
                <w:noProof/>
                <w:sz w:val="24"/>
                <w:szCs w:val="24"/>
              </w:rPr>
            </w:pPr>
            <w:r w:rsidRPr="003C0DF0">
              <w:rPr>
                <w:rFonts w:ascii="Times New Roman" w:hAnsi="Times New Roman"/>
                <w:noProof/>
                <w:sz w:val="24"/>
              </w:rPr>
              <w:t>2018</w:t>
            </w:r>
          </w:p>
        </w:tc>
        <w:tc>
          <w:tcPr>
            <w:tcW w:w="989" w:type="pct"/>
            <w:vAlign w:val="center"/>
          </w:tcPr>
          <w:p w14:paraId="64C8ED49" w14:textId="77777777" w:rsidR="00ED16B1" w:rsidRPr="003C0DF0" w:rsidRDefault="00ED16B1" w:rsidP="00D85172">
            <w:pPr>
              <w:spacing w:after="0" w:line="240" w:lineRule="auto"/>
              <w:jc w:val="center"/>
              <w:rPr>
                <w:rFonts w:ascii="Times New Roman" w:hAnsi="Times New Roman"/>
                <w:noProof/>
                <w:sz w:val="24"/>
                <w:szCs w:val="24"/>
              </w:rPr>
            </w:pPr>
            <w:r w:rsidRPr="003C0DF0">
              <w:rPr>
                <w:rFonts w:ascii="Times New Roman" w:hAnsi="Times New Roman"/>
                <w:noProof/>
                <w:sz w:val="24"/>
              </w:rPr>
              <w:t>93.8</w:t>
            </w:r>
          </w:p>
        </w:tc>
        <w:tc>
          <w:tcPr>
            <w:tcW w:w="943" w:type="pct"/>
            <w:vAlign w:val="center"/>
          </w:tcPr>
          <w:p w14:paraId="0B43ED07" w14:textId="77777777" w:rsidR="00ED16B1" w:rsidRPr="003C0DF0" w:rsidRDefault="00ED16B1" w:rsidP="00D85172">
            <w:pPr>
              <w:spacing w:after="0" w:line="240" w:lineRule="auto"/>
              <w:jc w:val="center"/>
              <w:rPr>
                <w:rFonts w:ascii="Times New Roman" w:hAnsi="Times New Roman"/>
                <w:noProof/>
                <w:sz w:val="24"/>
                <w:szCs w:val="24"/>
              </w:rPr>
            </w:pPr>
            <w:r w:rsidRPr="003C0DF0">
              <w:rPr>
                <w:rFonts w:ascii="Times New Roman" w:hAnsi="Times New Roman"/>
                <w:noProof/>
                <w:sz w:val="24"/>
              </w:rPr>
              <w:t>10.6</w:t>
            </w:r>
          </w:p>
        </w:tc>
        <w:tc>
          <w:tcPr>
            <w:tcW w:w="907" w:type="pct"/>
            <w:vAlign w:val="center"/>
          </w:tcPr>
          <w:p w14:paraId="47E8E169" w14:textId="77777777" w:rsidR="00ED16B1" w:rsidRPr="003C0DF0" w:rsidRDefault="00ED16B1" w:rsidP="00D85172">
            <w:pPr>
              <w:spacing w:after="0" w:line="240" w:lineRule="auto"/>
              <w:jc w:val="center"/>
              <w:rPr>
                <w:rFonts w:ascii="Times New Roman" w:hAnsi="Times New Roman"/>
                <w:noProof/>
                <w:sz w:val="24"/>
                <w:szCs w:val="24"/>
              </w:rPr>
            </w:pPr>
            <w:r w:rsidRPr="003C0DF0">
              <w:rPr>
                <w:rFonts w:ascii="Times New Roman" w:hAnsi="Times New Roman"/>
                <w:noProof/>
                <w:sz w:val="24"/>
              </w:rPr>
              <w:t>7.6</w:t>
            </w:r>
          </w:p>
        </w:tc>
        <w:tc>
          <w:tcPr>
            <w:tcW w:w="734" w:type="pct"/>
            <w:vAlign w:val="center"/>
          </w:tcPr>
          <w:p w14:paraId="4C1C5801" w14:textId="77777777" w:rsidR="00ED16B1" w:rsidRPr="003C0DF0" w:rsidRDefault="00ED16B1" w:rsidP="00D85172">
            <w:pPr>
              <w:spacing w:after="0" w:line="240" w:lineRule="auto"/>
              <w:jc w:val="center"/>
              <w:rPr>
                <w:rFonts w:ascii="Times New Roman" w:hAnsi="Times New Roman"/>
                <w:noProof/>
                <w:sz w:val="24"/>
                <w:szCs w:val="24"/>
              </w:rPr>
            </w:pPr>
            <w:r w:rsidRPr="003C0DF0">
              <w:rPr>
                <w:rFonts w:ascii="Times New Roman" w:hAnsi="Times New Roman"/>
                <w:noProof/>
                <w:sz w:val="24"/>
              </w:rPr>
              <w:t>15</w:t>
            </w:r>
          </w:p>
        </w:tc>
        <w:tc>
          <w:tcPr>
            <w:tcW w:w="820" w:type="pct"/>
            <w:vAlign w:val="center"/>
          </w:tcPr>
          <w:p w14:paraId="7668F68D" w14:textId="77777777" w:rsidR="00ED16B1" w:rsidRPr="003C0DF0" w:rsidRDefault="00ED16B1" w:rsidP="00D85172">
            <w:pPr>
              <w:spacing w:after="0" w:line="240" w:lineRule="auto"/>
              <w:jc w:val="center"/>
              <w:rPr>
                <w:rFonts w:ascii="Times New Roman" w:hAnsi="Times New Roman"/>
                <w:b/>
                <w:bCs/>
                <w:noProof/>
                <w:sz w:val="24"/>
                <w:szCs w:val="24"/>
              </w:rPr>
            </w:pPr>
            <w:r w:rsidRPr="003C0DF0">
              <w:rPr>
                <w:rFonts w:ascii="Times New Roman" w:hAnsi="Times New Roman"/>
                <w:b/>
                <w:noProof/>
                <w:sz w:val="24"/>
              </w:rPr>
              <w:t>127.1</w:t>
            </w:r>
          </w:p>
        </w:tc>
      </w:tr>
      <w:tr w:rsidR="00ED16B1" w:rsidRPr="003C0DF0" w14:paraId="7592FD92" w14:textId="77777777" w:rsidTr="00D12977">
        <w:tc>
          <w:tcPr>
            <w:tcW w:w="606" w:type="pct"/>
            <w:vAlign w:val="bottom"/>
          </w:tcPr>
          <w:p w14:paraId="063CB81C" w14:textId="77777777" w:rsidR="00ED16B1" w:rsidRPr="003C0DF0" w:rsidRDefault="00ED16B1" w:rsidP="00D85172">
            <w:pPr>
              <w:spacing w:after="0" w:line="240" w:lineRule="auto"/>
              <w:jc w:val="right"/>
              <w:rPr>
                <w:rFonts w:ascii="Times New Roman" w:eastAsia="Times New Roman" w:hAnsi="Times New Roman"/>
                <w:noProof/>
                <w:sz w:val="24"/>
                <w:szCs w:val="24"/>
              </w:rPr>
            </w:pPr>
            <w:r w:rsidRPr="003C0DF0">
              <w:rPr>
                <w:rFonts w:ascii="Times New Roman" w:hAnsi="Times New Roman"/>
                <w:noProof/>
                <w:sz w:val="24"/>
              </w:rPr>
              <w:t>2019</w:t>
            </w:r>
          </w:p>
        </w:tc>
        <w:tc>
          <w:tcPr>
            <w:tcW w:w="989" w:type="pct"/>
            <w:vAlign w:val="center"/>
          </w:tcPr>
          <w:p w14:paraId="626FD027" w14:textId="77777777" w:rsidR="00ED16B1" w:rsidRPr="003C0DF0" w:rsidRDefault="00ED16B1" w:rsidP="00D85172">
            <w:pPr>
              <w:spacing w:after="0" w:line="240" w:lineRule="auto"/>
              <w:jc w:val="center"/>
              <w:rPr>
                <w:rFonts w:ascii="Times New Roman" w:hAnsi="Times New Roman"/>
                <w:noProof/>
                <w:sz w:val="24"/>
                <w:szCs w:val="24"/>
              </w:rPr>
            </w:pPr>
            <w:r w:rsidRPr="003C0DF0">
              <w:rPr>
                <w:rFonts w:ascii="Times New Roman" w:hAnsi="Times New Roman"/>
                <w:noProof/>
                <w:sz w:val="24"/>
              </w:rPr>
              <w:t>96.2</w:t>
            </w:r>
          </w:p>
        </w:tc>
        <w:tc>
          <w:tcPr>
            <w:tcW w:w="943" w:type="pct"/>
            <w:vAlign w:val="center"/>
          </w:tcPr>
          <w:p w14:paraId="76915B08" w14:textId="77777777" w:rsidR="00ED16B1" w:rsidRPr="003C0DF0" w:rsidRDefault="00ED16B1" w:rsidP="00D85172">
            <w:pPr>
              <w:spacing w:after="0" w:line="240" w:lineRule="auto"/>
              <w:jc w:val="center"/>
              <w:rPr>
                <w:rFonts w:ascii="Times New Roman" w:hAnsi="Times New Roman"/>
                <w:noProof/>
                <w:sz w:val="24"/>
                <w:szCs w:val="24"/>
              </w:rPr>
            </w:pPr>
            <w:r w:rsidRPr="003C0DF0">
              <w:rPr>
                <w:rFonts w:ascii="Times New Roman" w:hAnsi="Times New Roman"/>
                <w:noProof/>
                <w:sz w:val="24"/>
              </w:rPr>
              <w:t>12.2</w:t>
            </w:r>
          </w:p>
        </w:tc>
        <w:tc>
          <w:tcPr>
            <w:tcW w:w="907" w:type="pct"/>
            <w:vAlign w:val="center"/>
          </w:tcPr>
          <w:p w14:paraId="415E2D34" w14:textId="77777777" w:rsidR="00ED16B1" w:rsidRPr="003C0DF0" w:rsidRDefault="00ED16B1" w:rsidP="00D85172">
            <w:pPr>
              <w:spacing w:after="0" w:line="240" w:lineRule="auto"/>
              <w:jc w:val="center"/>
              <w:rPr>
                <w:rFonts w:ascii="Times New Roman" w:hAnsi="Times New Roman"/>
                <w:noProof/>
                <w:sz w:val="24"/>
                <w:szCs w:val="24"/>
              </w:rPr>
            </w:pPr>
            <w:r w:rsidRPr="003C0DF0">
              <w:rPr>
                <w:rFonts w:ascii="Times New Roman" w:hAnsi="Times New Roman"/>
                <w:noProof/>
                <w:sz w:val="24"/>
              </w:rPr>
              <w:t>8.7</w:t>
            </w:r>
          </w:p>
        </w:tc>
        <w:tc>
          <w:tcPr>
            <w:tcW w:w="734" w:type="pct"/>
            <w:vAlign w:val="center"/>
          </w:tcPr>
          <w:p w14:paraId="54F901ED" w14:textId="77777777" w:rsidR="00ED16B1" w:rsidRPr="003C0DF0" w:rsidRDefault="00ED16B1" w:rsidP="00D85172">
            <w:pPr>
              <w:spacing w:after="0" w:line="240" w:lineRule="auto"/>
              <w:jc w:val="center"/>
              <w:rPr>
                <w:rFonts w:ascii="Times New Roman" w:hAnsi="Times New Roman"/>
                <w:noProof/>
                <w:sz w:val="24"/>
                <w:szCs w:val="24"/>
              </w:rPr>
            </w:pPr>
            <w:r w:rsidRPr="003C0DF0">
              <w:rPr>
                <w:rFonts w:ascii="Times New Roman" w:hAnsi="Times New Roman"/>
                <w:noProof/>
                <w:sz w:val="24"/>
              </w:rPr>
              <w:t>15</w:t>
            </w:r>
          </w:p>
        </w:tc>
        <w:tc>
          <w:tcPr>
            <w:tcW w:w="820" w:type="pct"/>
            <w:vAlign w:val="center"/>
          </w:tcPr>
          <w:p w14:paraId="6FCBB95C" w14:textId="77777777" w:rsidR="00ED16B1" w:rsidRPr="003C0DF0" w:rsidRDefault="00ED16B1" w:rsidP="00D85172">
            <w:pPr>
              <w:spacing w:after="0" w:line="240" w:lineRule="auto"/>
              <w:jc w:val="center"/>
              <w:rPr>
                <w:rFonts w:ascii="Times New Roman" w:hAnsi="Times New Roman"/>
                <w:b/>
                <w:bCs/>
                <w:noProof/>
                <w:sz w:val="24"/>
                <w:szCs w:val="24"/>
              </w:rPr>
            </w:pPr>
            <w:r w:rsidRPr="003C0DF0">
              <w:rPr>
                <w:rFonts w:ascii="Times New Roman" w:hAnsi="Times New Roman"/>
                <w:b/>
                <w:noProof/>
                <w:sz w:val="24"/>
              </w:rPr>
              <w:t>132.2</w:t>
            </w:r>
          </w:p>
        </w:tc>
      </w:tr>
      <w:tr w:rsidR="00ED16B1" w:rsidRPr="003C0DF0" w14:paraId="7437BE7B" w14:textId="77777777" w:rsidTr="00D12977">
        <w:tc>
          <w:tcPr>
            <w:tcW w:w="606" w:type="pct"/>
            <w:vAlign w:val="bottom"/>
          </w:tcPr>
          <w:p w14:paraId="2316D3AF" w14:textId="77777777" w:rsidR="00ED16B1" w:rsidRPr="003C0DF0" w:rsidRDefault="00ED16B1" w:rsidP="00D85172">
            <w:pPr>
              <w:spacing w:after="0" w:line="240" w:lineRule="auto"/>
              <w:jc w:val="right"/>
              <w:rPr>
                <w:rFonts w:ascii="Times New Roman" w:eastAsia="Times New Roman" w:hAnsi="Times New Roman"/>
                <w:noProof/>
                <w:sz w:val="24"/>
                <w:szCs w:val="24"/>
              </w:rPr>
            </w:pPr>
            <w:r w:rsidRPr="003C0DF0">
              <w:rPr>
                <w:rFonts w:ascii="Times New Roman" w:hAnsi="Times New Roman"/>
                <w:noProof/>
                <w:sz w:val="24"/>
              </w:rPr>
              <w:t>2020</w:t>
            </w:r>
          </w:p>
        </w:tc>
        <w:tc>
          <w:tcPr>
            <w:tcW w:w="989" w:type="pct"/>
            <w:vAlign w:val="center"/>
          </w:tcPr>
          <w:p w14:paraId="3DC3ADFA" w14:textId="77777777" w:rsidR="00ED16B1" w:rsidRPr="003C0DF0" w:rsidRDefault="00ED16B1" w:rsidP="00D85172">
            <w:pPr>
              <w:spacing w:after="0" w:line="240" w:lineRule="auto"/>
              <w:jc w:val="center"/>
              <w:rPr>
                <w:rFonts w:ascii="Times New Roman" w:hAnsi="Times New Roman"/>
                <w:noProof/>
                <w:sz w:val="24"/>
                <w:szCs w:val="24"/>
              </w:rPr>
            </w:pPr>
            <w:r w:rsidRPr="003C0DF0">
              <w:rPr>
                <w:rFonts w:ascii="Times New Roman" w:hAnsi="Times New Roman"/>
                <w:noProof/>
                <w:sz w:val="24"/>
              </w:rPr>
              <w:t>98.6</w:t>
            </w:r>
          </w:p>
        </w:tc>
        <w:tc>
          <w:tcPr>
            <w:tcW w:w="943" w:type="pct"/>
            <w:vAlign w:val="center"/>
          </w:tcPr>
          <w:p w14:paraId="16F61BA7" w14:textId="77777777" w:rsidR="00ED16B1" w:rsidRPr="003C0DF0" w:rsidRDefault="00ED16B1" w:rsidP="00D85172">
            <w:pPr>
              <w:spacing w:after="0" w:line="240" w:lineRule="auto"/>
              <w:jc w:val="center"/>
              <w:rPr>
                <w:rFonts w:ascii="Times New Roman" w:hAnsi="Times New Roman"/>
                <w:noProof/>
                <w:sz w:val="24"/>
                <w:szCs w:val="24"/>
              </w:rPr>
            </w:pPr>
            <w:r w:rsidRPr="003C0DF0">
              <w:rPr>
                <w:rFonts w:ascii="Times New Roman" w:hAnsi="Times New Roman"/>
                <w:noProof/>
                <w:sz w:val="24"/>
              </w:rPr>
              <w:t>14.1</w:t>
            </w:r>
          </w:p>
        </w:tc>
        <w:tc>
          <w:tcPr>
            <w:tcW w:w="907" w:type="pct"/>
            <w:vAlign w:val="center"/>
          </w:tcPr>
          <w:p w14:paraId="7A8F823F" w14:textId="77777777" w:rsidR="00ED16B1" w:rsidRPr="003C0DF0" w:rsidRDefault="00ED16B1" w:rsidP="00D85172">
            <w:pPr>
              <w:spacing w:after="0" w:line="240" w:lineRule="auto"/>
              <w:jc w:val="center"/>
              <w:rPr>
                <w:rFonts w:ascii="Times New Roman" w:hAnsi="Times New Roman"/>
                <w:noProof/>
                <w:sz w:val="24"/>
                <w:szCs w:val="24"/>
              </w:rPr>
            </w:pPr>
            <w:r w:rsidRPr="003C0DF0">
              <w:rPr>
                <w:rFonts w:ascii="Times New Roman" w:hAnsi="Times New Roman"/>
                <w:noProof/>
                <w:sz w:val="24"/>
              </w:rPr>
              <w:t>10.1</w:t>
            </w:r>
          </w:p>
        </w:tc>
        <w:tc>
          <w:tcPr>
            <w:tcW w:w="734" w:type="pct"/>
            <w:vAlign w:val="center"/>
          </w:tcPr>
          <w:p w14:paraId="6E84AE02" w14:textId="77777777" w:rsidR="00ED16B1" w:rsidRPr="003C0DF0" w:rsidRDefault="00ED16B1" w:rsidP="00D85172">
            <w:pPr>
              <w:spacing w:after="0" w:line="240" w:lineRule="auto"/>
              <w:jc w:val="center"/>
              <w:rPr>
                <w:rFonts w:ascii="Times New Roman" w:hAnsi="Times New Roman"/>
                <w:noProof/>
                <w:sz w:val="24"/>
                <w:szCs w:val="24"/>
              </w:rPr>
            </w:pPr>
            <w:r w:rsidRPr="003C0DF0">
              <w:rPr>
                <w:rFonts w:ascii="Times New Roman" w:hAnsi="Times New Roman"/>
                <w:noProof/>
                <w:sz w:val="24"/>
              </w:rPr>
              <w:t>15</w:t>
            </w:r>
          </w:p>
        </w:tc>
        <w:tc>
          <w:tcPr>
            <w:tcW w:w="820" w:type="pct"/>
            <w:vAlign w:val="center"/>
          </w:tcPr>
          <w:p w14:paraId="73147E21" w14:textId="77777777" w:rsidR="00ED16B1" w:rsidRPr="003C0DF0" w:rsidRDefault="00ED16B1" w:rsidP="00D85172">
            <w:pPr>
              <w:spacing w:after="0" w:line="240" w:lineRule="auto"/>
              <w:jc w:val="center"/>
              <w:rPr>
                <w:rFonts w:ascii="Times New Roman" w:hAnsi="Times New Roman"/>
                <w:b/>
                <w:bCs/>
                <w:noProof/>
                <w:sz w:val="24"/>
                <w:szCs w:val="24"/>
              </w:rPr>
            </w:pPr>
            <w:r w:rsidRPr="003C0DF0">
              <w:rPr>
                <w:rFonts w:ascii="Times New Roman" w:hAnsi="Times New Roman"/>
                <w:b/>
                <w:noProof/>
                <w:sz w:val="24"/>
              </w:rPr>
              <w:t>137.7</w:t>
            </w:r>
          </w:p>
        </w:tc>
      </w:tr>
      <w:tr w:rsidR="00ED16B1" w:rsidRPr="003C0DF0" w14:paraId="6A792906" w14:textId="77777777" w:rsidTr="00D12977">
        <w:tc>
          <w:tcPr>
            <w:tcW w:w="606" w:type="pct"/>
            <w:vAlign w:val="bottom"/>
          </w:tcPr>
          <w:p w14:paraId="199376B0" w14:textId="77777777" w:rsidR="00ED16B1" w:rsidRPr="003C0DF0" w:rsidRDefault="00ED16B1" w:rsidP="00D85172">
            <w:pPr>
              <w:spacing w:after="0" w:line="240" w:lineRule="auto"/>
              <w:jc w:val="right"/>
              <w:rPr>
                <w:rFonts w:ascii="Times New Roman" w:eastAsia="Times New Roman" w:hAnsi="Times New Roman"/>
                <w:noProof/>
                <w:sz w:val="24"/>
                <w:szCs w:val="24"/>
              </w:rPr>
            </w:pPr>
            <w:r w:rsidRPr="003C0DF0">
              <w:rPr>
                <w:rFonts w:ascii="Times New Roman" w:hAnsi="Times New Roman"/>
                <w:noProof/>
                <w:sz w:val="24"/>
              </w:rPr>
              <w:t>2021</w:t>
            </w:r>
          </w:p>
        </w:tc>
        <w:tc>
          <w:tcPr>
            <w:tcW w:w="989" w:type="pct"/>
            <w:vAlign w:val="center"/>
          </w:tcPr>
          <w:p w14:paraId="493CF71C" w14:textId="77777777" w:rsidR="00ED16B1" w:rsidRPr="003C0DF0" w:rsidRDefault="00ED16B1" w:rsidP="00D85172">
            <w:pPr>
              <w:spacing w:after="0" w:line="240" w:lineRule="auto"/>
              <w:jc w:val="center"/>
              <w:rPr>
                <w:rFonts w:ascii="Times New Roman" w:hAnsi="Times New Roman"/>
                <w:noProof/>
                <w:sz w:val="24"/>
                <w:szCs w:val="24"/>
              </w:rPr>
            </w:pPr>
            <w:r w:rsidRPr="003C0DF0">
              <w:rPr>
                <w:rFonts w:ascii="Times New Roman" w:hAnsi="Times New Roman"/>
                <w:noProof/>
                <w:sz w:val="24"/>
              </w:rPr>
              <w:t>101</w:t>
            </w:r>
          </w:p>
        </w:tc>
        <w:tc>
          <w:tcPr>
            <w:tcW w:w="943" w:type="pct"/>
            <w:vAlign w:val="center"/>
          </w:tcPr>
          <w:p w14:paraId="42E0B75A" w14:textId="77777777" w:rsidR="00ED16B1" w:rsidRPr="003C0DF0" w:rsidRDefault="00ED16B1" w:rsidP="00D85172">
            <w:pPr>
              <w:spacing w:after="0" w:line="240" w:lineRule="auto"/>
              <w:jc w:val="center"/>
              <w:rPr>
                <w:rFonts w:ascii="Times New Roman" w:hAnsi="Times New Roman"/>
                <w:noProof/>
                <w:sz w:val="24"/>
                <w:szCs w:val="24"/>
              </w:rPr>
            </w:pPr>
            <w:r w:rsidRPr="003C0DF0">
              <w:rPr>
                <w:rFonts w:ascii="Times New Roman" w:hAnsi="Times New Roman"/>
                <w:noProof/>
                <w:sz w:val="24"/>
              </w:rPr>
              <w:t>16.2</w:t>
            </w:r>
          </w:p>
        </w:tc>
        <w:tc>
          <w:tcPr>
            <w:tcW w:w="907" w:type="pct"/>
            <w:vAlign w:val="center"/>
          </w:tcPr>
          <w:p w14:paraId="41E6CACA" w14:textId="77777777" w:rsidR="00ED16B1" w:rsidRPr="003C0DF0" w:rsidRDefault="00ED16B1" w:rsidP="00D85172">
            <w:pPr>
              <w:spacing w:after="0" w:line="240" w:lineRule="auto"/>
              <w:jc w:val="center"/>
              <w:rPr>
                <w:rFonts w:ascii="Times New Roman" w:hAnsi="Times New Roman"/>
                <w:noProof/>
                <w:sz w:val="24"/>
                <w:szCs w:val="24"/>
              </w:rPr>
            </w:pPr>
            <w:r w:rsidRPr="003C0DF0">
              <w:rPr>
                <w:rFonts w:ascii="Times New Roman" w:hAnsi="Times New Roman"/>
                <w:noProof/>
                <w:sz w:val="24"/>
              </w:rPr>
              <w:t>11.6</w:t>
            </w:r>
          </w:p>
        </w:tc>
        <w:tc>
          <w:tcPr>
            <w:tcW w:w="734" w:type="pct"/>
            <w:vAlign w:val="center"/>
          </w:tcPr>
          <w:p w14:paraId="4DFE9215" w14:textId="77777777" w:rsidR="00ED16B1" w:rsidRPr="003C0DF0" w:rsidRDefault="00ED16B1" w:rsidP="00D85172">
            <w:pPr>
              <w:spacing w:after="0" w:line="240" w:lineRule="auto"/>
              <w:jc w:val="center"/>
              <w:rPr>
                <w:rFonts w:ascii="Times New Roman" w:hAnsi="Times New Roman"/>
                <w:noProof/>
                <w:sz w:val="24"/>
                <w:szCs w:val="24"/>
              </w:rPr>
            </w:pPr>
            <w:r w:rsidRPr="003C0DF0">
              <w:rPr>
                <w:rFonts w:ascii="Times New Roman" w:hAnsi="Times New Roman"/>
                <w:noProof/>
                <w:sz w:val="24"/>
              </w:rPr>
              <w:t>15</w:t>
            </w:r>
          </w:p>
        </w:tc>
        <w:tc>
          <w:tcPr>
            <w:tcW w:w="820" w:type="pct"/>
            <w:vAlign w:val="center"/>
          </w:tcPr>
          <w:p w14:paraId="3A36FC48" w14:textId="77777777" w:rsidR="00ED16B1" w:rsidRPr="003C0DF0" w:rsidRDefault="00ED16B1" w:rsidP="00D85172">
            <w:pPr>
              <w:spacing w:after="0" w:line="240" w:lineRule="auto"/>
              <w:jc w:val="center"/>
              <w:rPr>
                <w:rFonts w:ascii="Times New Roman" w:hAnsi="Times New Roman"/>
                <w:b/>
                <w:bCs/>
                <w:noProof/>
                <w:sz w:val="24"/>
                <w:szCs w:val="24"/>
              </w:rPr>
            </w:pPr>
            <w:r w:rsidRPr="003C0DF0">
              <w:rPr>
                <w:rFonts w:ascii="Times New Roman" w:hAnsi="Times New Roman"/>
                <w:b/>
                <w:noProof/>
                <w:sz w:val="24"/>
              </w:rPr>
              <w:t>143.8</w:t>
            </w:r>
          </w:p>
        </w:tc>
      </w:tr>
      <w:tr w:rsidR="00ED16B1" w:rsidRPr="003C0DF0" w14:paraId="0D7EFC7B" w14:textId="77777777" w:rsidTr="00D12977">
        <w:tc>
          <w:tcPr>
            <w:tcW w:w="606" w:type="pct"/>
            <w:vAlign w:val="bottom"/>
          </w:tcPr>
          <w:p w14:paraId="4527C756" w14:textId="77777777" w:rsidR="00ED16B1" w:rsidRPr="003C0DF0" w:rsidRDefault="00ED16B1" w:rsidP="00D85172">
            <w:pPr>
              <w:spacing w:after="0" w:line="240" w:lineRule="auto"/>
              <w:jc w:val="right"/>
              <w:rPr>
                <w:rFonts w:ascii="Times New Roman" w:eastAsia="Times New Roman" w:hAnsi="Times New Roman"/>
                <w:noProof/>
                <w:sz w:val="24"/>
                <w:szCs w:val="24"/>
              </w:rPr>
            </w:pPr>
            <w:r w:rsidRPr="003C0DF0">
              <w:rPr>
                <w:rFonts w:ascii="Times New Roman" w:hAnsi="Times New Roman"/>
                <w:noProof/>
                <w:sz w:val="24"/>
              </w:rPr>
              <w:t>2022</w:t>
            </w:r>
          </w:p>
        </w:tc>
        <w:tc>
          <w:tcPr>
            <w:tcW w:w="989" w:type="pct"/>
            <w:vAlign w:val="center"/>
          </w:tcPr>
          <w:p w14:paraId="22170742" w14:textId="77777777" w:rsidR="00ED16B1" w:rsidRPr="003C0DF0" w:rsidRDefault="00ED16B1" w:rsidP="00D85172">
            <w:pPr>
              <w:spacing w:after="0" w:line="240" w:lineRule="auto"/>
              <w:jc w:val="center"/>
              <w:rPr>
                <w:rFonts w:ascii="Times New Roman" w:hAnsi="Times New Roman"/>
                <w:noProof/>
                <w:sz w:val="24"/>
                <w:szCs w:val="24"/>
              </w:rPr>
            </w:pPr>
            <w:r w:rsidRPr="003C0DF0">
              <w:rPr>
                <w:rFonts w:ascii="Times New Roman" w:hAnsi="Times New Roman"/>
                <w:noProof/>
                <w:sz w:val="24"/>
              </w:rPr>
              <w:t>103.6</w:t>
            </w:r>
          </w:p>
        </w:tc>
        <w:tc>
          <w:tcPr>
            <w:tcW w:w="943" w:type="pct"/>
            <w:vAlign w:val="center"/>
          </w:tcPr>
          <w:p w14:paraId="687E40B9" w14:textId="77777777" w:rsidR="00ED16B1" w:rsidRPr="003C0DF0" w:rsidRDefault="00ED16B1" w:rsidP="00D85172">
            <w:pPr>
              <w:spacing w:after="0" w:line="240" w:lineRule="auto"/>
              <w:jc w:val="center"/>
              <w:rPr>
                <w:rFonts w:ascii="Times New Roman" w:hAnsi="Times New Roman"/>
                <w:noProof/>
                <w:sz w:val="24"/>
                <w:szCs w:val="24"/>
              </w:rPr>
            </w:pPr>
            <w:r w:rsidRPr="003C0DF0">
              <w:rPr>
                <w:rFonts w:ascii="Times New Roman" w:hAnsi="Times New Roman"/>
                <w:noProof/>
                <w:sz w:val="24"/>
              </w:rPr>
              <w:t>18.6</w:t>
            </w:r>
          </w:p>
        </w:tc>
        <w:tc>
          <w:tcPr>
            <w:tcW w:w="907" w:type="pct"/>
            <w:vAlign w:val="center"/>
          </w:tcPr>
          <w:p w14:paraId="4E85D990" w14:textId="77777777" w:rsidR="00ED16B1" w:rsidRPr="003C0DF0" w:rsidRDefault="00ED16B1" w:rsidP="00D85172">
            <w:pPr>
              <w:spacing w:after="0" w:line="240" w:lineRule="auto"/>
              <w:jc w:val="center"/>
              <w:rPr>
                <w:rFonts w:ascii="Times New Roman" w:hAnsi="Times New Roman"/>
                <w:noProof/>
                <w:sz w:val="24"/>
                <w:szCs w:val="24"/>
              </w:rPr>
            </w:pPr>
            <w:r w:rsidRPr="003C0DF0">
              <w:rPr>
                <w:rFonts w:ascii="Times New Roman" w:hAnsi="Times New Roman"/>
                <w:noProof/>
                <w:sz w:val="24"/>
              </w:rPr>
              <w:t>13.3</w:t>
            </w:r>
          </w:p>
        </w:tc>
        <w:tc>
          <w:tcPr>
            <w:tcW w:w="734" w:type="pct"/>
            <w:vAlign w:val="center"/>
          </w:tcPr>
          <w:p w14:paraId="7FF859C7" w14:textId="77777777" w:rsidR="00ED16B1" w:rsidRPr="003C0DF0" w:rsidRDefault="00ED16B1" w:rsidP="00D85172">
            <w:pPr>
              <w:spacing w:after="0" w:line="240" w:lineRule="auto"/>
              <w:jc w:val="center"/>
              <w:rPr>
                <w:rFonts w:ascii="Times New Roman" w:hAnsi="Times New Roman"/>
                <w:noProof/>
                <w:sz w:val="24"/>
                <w:szCs w:val="24"/>
              </w:rPr>
            </w:pPr>
            <w:r w:rsidRPr="003C0DF0">
              <w:rPr>
                <w:rFonts w:ascii="Times New Roman" w:hAnsi="Times New Roman"/>
                <w:noProof/>
                <w:sz w:val="24"/>
              </w:rPr>
              <w:t>15</w:t>
            </w:r>
          </w:p>
        </w:tc>
        <w:tc>
          <w:tcPr>
            <w:tcW w:w="820" w:type="pct"/>
            <w:vAlign w:val="center"/>
          </w:tcPr>
          <w:p w14:paraId="759919C8" w14:textId="77777777" w:rsidR="00ED16B1" w:rsidRPr="003C0DF0" w:rsidRDefault="00ED16B1" w:rsidP="00D85172">
            <w:pPr>
              <w:spacing w:after="0" w:line="240" w:lineRule="auto"/>
              <w:jc w:val="center"/>
              <w:rPr>
                <w:rFonts w:ascii="Times New Roman" w:hAnsi="Times New Roman"/>
                <w:b/>
                <w:bCs/>
                <w:noProof/>
                <w:sz w:val="24"/>
                <w:szCs w:val="24"/>
              </w:rPr>
            </w:pPr>
            <w:r w:rsidRPr="003C0DF0">
              <w:rPr>
                <w:rFonts w:ascii="Times New Roman" w:hAnsi="Times New Roman"/>
                <w:b/>
                <w:noProof/>
                <w:sz w:val="24"/>
              </w:rPr>
              <w:t>150.5</w:t>
            </w:r>
          </w:p>
        </w:tc>
      </w:tr>
      <w:tr w:rsidR="00ED16B1" w:rsidRPr="003C0DF0" w14:paraId="4CCF8EA6" w14:textId="77777777" w:rsidTr="00D12977">
        <w:tc>
          <w:tcPr>
            <w:tcW w:w="606" w:type="pct"/>
            <w:vAlign w:val="bottom"/>
          </w:tcPr>
          <w:p w14:paraId="5BA8A0AC" w14:textId="77777777" w:rsidR="00ED16B1" w:rsidRPr="003C0DF0" w:rsidRDefault="00ED16B1" w:rsidP="00D85172">
            <w:pPr>
              <w:spacing w:after="0" w:line="240" w:lineRule="auto"/>
              <w:jc w:val="right"/>
              <w:rPr>
                <w:rFonts w:ascii="Times New Roman" w:eastAsia="Times New Roman" w:hAnsi="Times New Roman"/>
                <w:noProof/>
                <w:sz w:val="24"/>
                <w:szCs w:val="24"/>
              </w:rPr>
            </w:pPr>
            <w:r w:rsidRPr="003C0DF0">
              <w:rPr>
                <w:rFonts w:ascii="Times New Roman" w:hAnsi="Times New Roman"/>
                <w:noProof/>
                <w:sz w:val="24"/>
              </w:rPr>
              <w:t>2023</w:t>
            </w:r>
          </w:p>
        </w:tc>
        <w:tc>
          <w:tcPr>
            <w:tcW w:w="989" w:type="pct"/>
            <w:vAlign w:val="center"/>
          </w:tcPr>
          <w:p w14:paraId="6F28C3D8" w14:textId="77777777" w:rsidR="00ED16B1" w:rsidRPr="003C0DF0" w:rsidRDefault="00ED16B1" w:rsidP="00D85172">
            <w:pPr>
              <w:spacing w:after="0" w:line="240" w:lineRule="auto"/>
              <w:jc w:val="center"/>
              <w:rPr>
                <w:rFonts w:ascii="Times New Roman" w:hAnsi="Times New Roman"/>
                <w:noProof/>
                <w:sz w:val="24"/>
                <w:szCs w:val="24"/>
              </w:rPr>
            </w:pPr>
            <w:r w:rsidRPr="003C0DF0">
              <w:rPr>
                <w:rFonts w:ascii="Times New Roman" w:hAnsi="Times New Roman"/>
                <w:noProof/>
                <w:sz w:val="24"/>
              </w:rPr>
              <w:t>106.2</w:t>
            </w:r>
          </w:p>
        </w:tc>
        <w:tc>
          <w:tcPr>
            <w:tcW w:w="943" w:type="pct"/>
            <w:vAlign w:val="center"/>
          </w:tcPr>
          <w:p w14:paraId="09EE1BC0" w14:textId="77777777" w:rsidR="00ED16B1" w:rsidRPr="003C0DF0" w:rsidRDefault="00ED16B1" w:rsidP="00D85172">
            <w:pPr>
              <w:spacing w:after="0" w:line="240" w:lineRule="auto"/>
              <w:jc w:val="center"/>
              <w:rPr>
                <w:rFonts w:ascii="Times New Roman" w:hAnsi="Times New Roman"/>
                <w:noProof/>
                <w:sz w:val="24"/>
                <w:szCs w:val="24"/>
              </w:rPr>
            </w:pPr>
            <w:r w:rsidRPr="003C0DF0">
              <w:rPr>
                <w:rFonts w:ascii="Times New Roman" w:hAnsi="Times New Roman"/>
                <w:noProof/>
                <w:sz w:val="24"/>
              </w:rPr>
              <w:t>21.4</w:t>
            </w:r>
          </w:p>
        </w:tc>
        <w:tc>
          <w:tcPr>
            <w:tcW w:w="907" w:type="pct"/>
            <w:vAlign w:val="center"/>
          </w:tcPr>
          <w:p w14:paraId="0EAB45FB" w14:textId="77777777" w:rsidR="00ED16B1" w:rsidRPr="003C0DF0" w:rsidRDefault="00ED16B1" w:rsidP="00D85172">
            <w:pPr>
              <w:spacing w:after="0" w:line="240" w:lineRule="auto"/>
              <w:jc w:val="center"/>
              <w:rPr>
                <w:rFonts w:ascii="Times New Roman" w:hAnsi="Times New Roman"/>
                <w:noProof/>
                <w:sz w:val="24"/>
                <w:szCs w:val="24"/>
              </w:rPr>
            </w:pPr>
            <w:r w:rsidRPr="003C0DF0">
              <w:rPr>
                <w:rFonts w:ascii="Times New Roman" w:hAnsi="Times New Roman"/>
                <w:noProof/>
                <w:sz w:val="24"/>
              </w:rPr>
              <w:t>15.3</w:t>
            </w:r>
          </w:p>
        </w:tc>
        <w:tc>
          <w:tcPr>
            <w:tcW w:w="734" w:type="pct"/>
            <w:vAlign w:val="center"/>
          </w:tcPr>
          <w:p w14:paraId="5BA86E9F" w14:textId="77777777" w:rsidR="00ED16B1" w:rsidRPr="003C0DF0" w:rsidRDefault="00ED16B1" w:rsidP="00D85172">
            <w:pPr>
              <w:spacing w:after="0" w:line="240" w:lineRule="auto"/>
              <w:jc w:val="center"/>
              <w:rPr>
                <w:rFonts w:ascii="Times New Roman" w:hAnsi="Times New Roman"/>
                <w:noProof/>
                <w:sz w:val="24"/>
                <w:szCs w:val="24"/>
              </w:rPr>
            </w:pPr>
            <w:r w:rsidRPr="003C0DF0">
              <w:rPr>
                <w:rFonts w:ascii="Times New Roman" w:hAnsi="Times New Roman"/>
                <w:noProof/>
                <w:sz w:val="24"/>
              </w:rPr>
              <w:t>15</w:t>
            </w:r>
          </w:p>
        </w:tc>
        <w:tc>
          <w:tcPr>
            <w:tcW w:w="820" w:type="pct"/>
            <w:vAlign w:val="center"/>
          </w:tcPr>
          <w:p w14:paraId="67A8ABB1" w14:textId="77777777" w:rsidR="00ED16B1" w:rsidRPr="003C0DF0" w:rsidRDefault="00ED16B1" w:rsidP="00D85172">
            <w:pPr>
              <w:spacing w:after="0" w:line="240" w:lineRule="auto"/>
              <w:jc w:val="center"/>
              <w:rPr>
                <w:rFonts w:ascii="Times New Roman" w:hAnsi="Times New Roman"/>
                <w:b/>
                <w:bCs/>
                <w:noProof/>
                <w:sz w:val="24"/>
                <w:szCs w:val="24"/>
              </w:rPr>
            </w:pPr>
            <w:r w:rsidRPr="003C0DF0">
              <w:rPr>
                <w:rFonts w:ascii="Times New Roman" w:hAnsi="Times New Roman"/>
                <w:b/>
                <w:noProof/>
                <w:sz w:val="24"/>
              </w:rPr>
              <w:t>157.9</w:t>
            </w:r>
          </w:p>
        </w:tc>
      </w:tr>
      <w:tr w:rsidR="00ED16B1" w:rsidRPr="003C0DF0" w14:paraId="36DE8A71" w14:textId="77777777" w:rsidTr="00D12977">
        <w:tc>
          <w:tcPr>
            <w:tcW w:w="606" w:type="pct"/>
            <w:vAlign w:val="bottom"/>
          </w:tcPr>
          <w:p w14:paraId="51A05EFB" w14:textId="77777777" w:rsidR="00ED16B1" w:rsidRPr="003C0DF0" w:rsidRDefault="00ED16B1" w:rsidP="00D85172">
            <w:pPr>
              <w:spacing w:after="0" w:line="240" w:lineRule="auto"/>
              <w:jc w:val="right"/>
              <w:rPr>
                <w:rFonts w:ascii="Times New Roman" w:eastAsia="Times New Roman" w:hAnsi="Times New Roman"/>
                <w:noProof/>
                <w:sz w:val="24"/>
                <w:szCs w:val="24"/>
              </w:rPr>
            </w:pPr>
            <w:r w:rsidRPr="003C0DF0">
              <w:rPr>
                <w:rFonts w:ascii="Times New Roman" w:hAnsi="Times New Roman"/>
                <w:noProof/>
                <w:sz w:val="24"/>
              </w:rPr>
              <w:t>2024</w:t>
            </w:r>
          </w:p>
        </w:tc>
        <w:tc>
          <w:tcPr>
            <w:tcW w:w="989" w:type="pct"/>
            <w:vAlign w:val="center"/>
          </w:tcPr>
          <w:p w14:paraId="10689383" w14:textId="77777777" w:rsidR="00ED16B1" w:rsidRPr="003C0DF0" w:rsidRDefault="00ED16B1" w:rsidP="00D85172">
            <w:pPr>
              <w:spacing w:after="0" w:line="240" w:lineRule="auto"/>
              <w:jc w:val="center"/>
              <w:rPr>
                <w:rFonts w:ascii="Times New Roman" w:hAnsi="Times New Roman"/>
                <w:noProof/>
                <w:sz w:val="24"/>
                <w:szCs w:val="24"/>
              </w:rPr>
            </w:pPr>
            <w:r w:rsidRPr="003C0DF0">
              <w:rPr>
                <w:rFonts w:ascii="Times New Roman" w:hAnsi="Times New Roman"/>
                <w:noProof/>
                <w:sz w:val="24"/>
              </w:rPr>
              <w:t>108.8</w:t>
            </w:r>
          </w:p>
        </w:tc>
        <w:tc>
          <w:tcPr>
            <w:tcW w:w="943" w:type="pct"/>
            <w:vAlign w:val="center"/>
          </w:tcPr>
          <w:p w14:paraId="16EFB147" w14:textId="77777777" w:rsidR="00ED16B1" w:rsidRPr="003C0DF0" w:rsidRDefault="00ED16B1" w:rsidP="00D85172">
            <w:pPr>
              <w:spacing w:after="0" w:line="240" w:lineRule="auto"/>
              <w:jc w:val="center"/>
              <w:rPr>
                <w:rFonts w:ascii="Times New Roman" w:hAnsi="Times New Roman"/>
                <w:noProof/>
                <w:sz w:val="24"/>
                <w:szCs w:val="24"/>
              </w:rPr>
            </w:pPr>
            <w:r w:rsidRPr="003C0DF0">
              <w:rPr>
                <w:rFonts w:ascii="Times New Roman" w:hAnsi="Times New Roman"/>
                <w:noProof/>
                <w:sz w:val="24"/>
              </w:rPr>
              <w:t>24.6</w:t>
            </w:r>
          </w:p>
        </w:tc>
        <w:tc>
          <w:tcPr>
            <w:tcW w:w="907" w:type="pct"/>
            <w:vAlign w:val="center"/>
          </w:tcPr>
          <w:p w14:paraId="0470BC79" w14:textId="77777777" w:rsidR="00ED16B1" w:rsidRPr="003C0DF0" w:rsidRDefault="00ED16B1" w:rsidP="00D85172">
            <w:pPr>
              <w:spacing w:after="0" w:line="240" w:lineRule="auto"/>
              <w:jc w:val="center"/>
              <w:rPr>
                <w:rFonts w:ascii="Times New Roman" w:hAnsi="Times New Roman"/>
                <w:noProof/>
                <w:sz w:val="24"/>
                <w:szCs w:val="24"/>
              </w:rPr>
            </w:pPr>
            <w:r w:rsidRPr="003C0DF0">
              <w:rPr>
                <w:rFonts w:ascii="Times New Roman" w:hAnsi="Times New Roman"/>
                <w:noProof/>
                <w:sz w:val="24"/>
              </w:rPr>
              <w:t>17.6</w:t>
            </w:r>
          </w:p>
        </w:tc>
        <w:tc>
          <w:tcPr>
            <w:tcW w:w="734" w:type="pct"/>
            <w:vAlign w:val="center"/>
          </w:tcPr>
          <w:p w14:paraId="73FB32F7" w14:textId="77777777" w:rsidR="00ED16B1" w:rsidRPr="003C0DF0" w:rsidRDefault="00ED16B1" w:rsidP="00D85172">
            <w:pPr>
              <w:spacing w:after="0" w:line="240" w:lineRule="auto"/>
              <w:jc w:val="center"/>
              <w:rPr>
                <w:rFonts w:ascii="Times New Roman" w:hAnsi="Times New Roman"/>
                <w:noProof/>
                <w:sz w:val="24"/>
                <w:szCs w:val="24"/>
              </w:rPr>
            </w:pPr>
            <w:r w:rsidRPr="003C0DF0">
              <w:rPr>
                <w:rFonts w:ascii="Times New Roman" w:hAnsi="Times New Roman"/>
                <w:noProof/>
                <w:sz w:val="24"/>
              </w:rPr>
              <w:t>15</w:t>
            </w:r>
          </w:p>
        </w:tc>
        <w:tc>
          <w:tcPr>
            <w:tcW w:w="820" w:type="pct"/>
            <w:vAlign w:val="center"/>
          </w:tcPr>
          <w:p w14:paraId="06DF12BD" w14:textId="77777777" w:rsidR="00ED16B1" w:rsidRPr="003C0DF0" w:rsidRDefault="00ED16B1" w:rsidP="00D85172">
            <w:pPr>
              <w:spacing w:after="0" w:line="240" w:lineRule="auto"/>
              <w:jc w:val="center"/>
              <w:rPr>
                <w:rFonts w:ascii="Times New Roman" w:hAnsi="Times New Roman"/>
                <w:b/>
                <w:bCs/>
                <w:noProof/>
                <w:sz w:val="24"/>
                <w:szCs w:val="24"/>
              </w:rPr>
            </w:pPr>
            <w:r w:rsidRPr="003C0DF0">
              <w:rPr>
                <w:rFonts w:ascii="Times New Roman" w:hAnsi="Times New Roman"/>
                <w:b/>
                <w:noProof/>
                <w:sz w:val="24"/>
              </w:rPr>
              <w:t>166</w:t>
            </w:r>
          </w:p>
        </w:tc>
      </w:tr>
      <w:tr w:rsidR="00ED16B1" w:rsidRPr="003C0DF0" w14:paraId="6C857732" w14:textId="77777777" w:rsidTr="00D12977">
        <w:tc>
          <w:tcPr>
            <w:tcW w:w="606" w:type="pct"/>
            <w:vAlign w:val="bottom"/>
          </w:tcPr>
          <w:p w14:paraId="1271EA38" w14:textId="77777777" w:rsidR="00ED16B1" w:rsidRPr="003C0DF0" w:rsidRDefault="00ED16B1" w:rsidP="00D85172">
            <w:pPr>
              <w:spacing w:after="0" w:line="240" w:lineRule="auto"/>
              <w:jc w:val="right"/>
              <w:rPr>
                <w:rFonts w:ascii="Times New Roman" w:eastAsia="Times New Roman" w:hAnsi="Times New Roman"/>
                <w:noProof/>
                <w:sz w:val="24"/>
                <w:szCs w:val="24"/>
              </w:rPr>
            </w:pPr>
            <w:r w:rsidRPr="003C0DF0">
              <w:rPr>
                <w:rFonts w:ascii="Times New Roman" w:hAnsi="Times New Roman"/>
                <w:noProof/>
                <w:sz w:val="24"/>
              </w:rPr>
              <w:t>2025</w:t>
            </w:r>
          </w:p>
        </w:tc>
        <w:tc>
          <w:tcPr>
            <w:tcW w:w="989" w:type="pct"/>
            <w:vAlign w:val="center"/>
          </w:tcPr>
          <w:p w14:paraId="37331FAA" w14:textId="77777777" w:rsidR="00ED16B1" w:rsidRPr="003C0DF0" w:rsidRDefault="00ED16B1" w:rsidP="00D85172">
            <w:pPr>
              <w:spacing w:after="0" w:line="240" w:lineRule="auto"/>
              <w:jc w:val="center"/>
              <w:rPr>
                <w:rFonts w:ascii="Times New Roman" w:hAnsi="Times New Roman"/>
                <w:noProof/>
                <w:sz w:val="24"/>
                <w:szCs w:val="24"/>
              </w:rPr>
            </w:pPr>
            <w:r w:rsidRPr="003C0DF0">
              <w:rPr>
                <w:rFonts w:ascii="Times New Roman" w:hAnsi="Times New Roman"/>
                <w:noProof/>
                <w:sz w:val="24"/>
              </w:rPr>
              <w:t>111.5</w:t>
            </w:r>
          </w:p>
        </w:tc>
        <w:tc>
          <w:tcPr>
            <w:tcW w:w="943" w:type="pct"/>
            <w:vAlign w:val="center"/>
          </w:tcPr>
          <w:p w14:paraId="3F5294E0" w14:textId="77777777" w:rsidR="00ED16B1" w:rsidRPr="003C0DF0" w:rsidRDefault="00ED16B1" w:rsidP="00D85172">
            <w:pPr>
              <w:spacing w:after="0" w:line="240" w:lineRule="auto"/>
              <w:jc w:val="center"/>
              <w:rPr>
                <w:rFonts w:ascii="Times New Roman" w:hAnsi="Times New Roman"/>
                <w:noProof/>
                <w:sz w:val="24"/>
                <w:szCs w:val="24"/>
              </w:rPr>
            </w:pPr>
            <w:r w:rsidRPr="003C0DF0">
              <w:rPr>
                <w:rFonts w:ascii="Times New Roman" w:hAnsi="Times New Roman"/>
                <w:noProof/>
                <w:sz w:val="24"/>
              </w:rPr>
              <w:t>28.3</w:t>
            </w:r>
          </w:p>
        </w:tc>
        <w:tc>
          <w:tcPr>
            <w:tcW w:w="907" w:type="pct"/>
            <w:vAlign w:val="center"/>
          </w:tcPr>
          <w:p w14:paraId="5E26203A" w14:textId="77777777" w:rsidR="00ED16B1" w:rsidRPr="003C0DF0" w:rsidRDefault="00ED16B1" w:rsidP="00D85172">
            <w:pPr>
              <w:spacing w:after="0" w:line="240" w:lineRule="auto"/>
              <w:jc w:val="center"/>
              <w:rPr>
                <w:rFonts w:ascii="Times New Roman" w:hAnsi="Times New Roman"/>
                <w:noProof/>
                <w:sz w:val="24"/>
                <w:szCs w:val="24"/>
              </w:rPr>
            </w:pPr>
            <w:r w:rsidRPr="003C0DF0">
              <w:rPr>
                <w:rFonts w:ascii="Times New Roman" w:hAnsi="Times New Roman"/>
                <w:noProof/>
                <w:sz w:val="24"/>
              </w:rPr>
              <w:t>20.2</w:t>
            </w:r>
          </w:p>
        </w:tc>
        <w:tc>
          <w:tcPr>
            <w:tcW w:w="734" w:type="pct"/>
            <w:vAlign w:val="center"/>
          </w:tcPr>
          <w:p w14:paraId="77AF3C84" w14:textId="77777777" w:rsidR="00ED16B1" w:rsidRPr="003C0DF0" w:rsidRDefault="00ED16B1" w:rsidP="00D85172">
            <w:pPr>
              <w:spacing w:after="0" w:line="240" w:lineRule="auto"/>
              <w:jc w:val="center"/>
              <w:rPr>
                <w:rFonts w:ascii="Times New Roman" w:hAnsi="Times New Roman"/>
                <w:noProof/>
                <w:sz w:val="24"/>
                <w:szCs w:val="24"/>
              </w:rPr>
            </w:pPr>
            <w:r w:rsidRPr="003C0DF0">
              <w:rPr>
                <w:rFonts w:ascii="Times New Roman" w:hAnsi="Times New Roman"/>
                <w:noProof/>
                <w:sz w:val="24"/>
              </w:rPr>
              <w:t>15</w:t>
            </w:r>
          </w:p>
        </w:tc>
        <w:tc>
          <w:tcPr>
            <w:tcW w:w="820" w:type="pct"/>
            <w:vAlign w:val="center"/>
          </w:tcPr>
          <w:p w14:paraId="18B17FED" w14:textId="77777777" w:rsidR="00ED16B1" w:rsidRPr="003C0DF0" w:rsidRDefault="00ED16B1" w:rsidP="00D85172">
            <w:pPr>
              <w:spacing w:after="0" w:line="240" w:lineRule="auto"/>
              <w:jc w:val="center"/>
              <w:rPr>
                <w:rFonts w:ascii="Times New Roman" w:hAnsi="Times New Roman"/>
                <w:b/>
                <w:bCs/>
                <w:noProof/>
                <w:sz w:val="24"/>
                <w:szCs w:val="24"/>
              </w:rPr>
            </w:pPr>
            <w:r w:rsidRPr="003C0DF0">
              <w:rPr>
                <w:rFonts w:ascii="Times New Roman" w:hAnsi="Times New Roman"/>
                <w:b/>
                <w:noProof/>
                <w:sz w:val="24"/>
              </w:rPr>
              <w:t>175.1</w:t>
            </w:r>
          </w:p>
        </w:tc>
      </w:tr>
    </w:tbl>
    <w:p w14:paraId="573A99AC" w14:textId="77777777" w:rsidR="00ED16B1" w:rsidRPr="003C0DF0" w:rsidRDefault="00ED16B1" w:rsidP="006E539B">
      <w:pPr>
        <w:tabs>
          <w:tab w:val="left" w:pos="284"/>
        </w:tabs>
        <w:spacing w:after="0" w:line="240" w:lineRule="auto"/>
        <w:jc w:val="both"/>
        <w:rPr>
          <w:rFonts w:ascii="Times New Roman" w:hAnsi="Times New Roman"/>
          <w:noProof/>
          <w:sz w:val="24"/>
          <w:szCs w:val="26"/>
        </w:rPr>
      </w:pPr>
    </w:p>
    <w:p w14:paraId="7E263386" w14:textId="77777777" w:rsidR="00ED16B1" w:rsidRPr="003C0DF0" w:rsidRDefault="00ED16B1" w:rsidP="00D85172">
      <w:pPr>
        <w:tabs>
          <w:tab w:val="left" w:pos="284"/>
        </w:tabs>
        <w:spacing w:after="0" w:line="240" w:lineRule="auto"/>
        <w:ind w:firstLine="709"/>
        <w:jc w:val="both"/>
        <w:rPr>
          <w:rFonts w:ascii="Times New Roman" w:hAnsi="Times New Roman"/>
          <w:noProof/>
          <w:sz w:val="24"/>
          <w:szCs w:val="26"/>
        </w:rPr>
      </w:pPr>
      <w:r w:rsidRPr="003C0DF0">
        <w:rPr>
          <w:rFonts w:ascii="Times New Roman" w:hAnsi="Times New Roman"/>
          <w:noProof/>
          <w:sz w:val="24"/>
        </w:rPr>
        <w:lastRenderedPageBreak/>
        <w:t>Knowledge society model foresees investments in higher education and research according to the economic development guidelines. The State plans the development of the sector, providing a stable budget funding, thus the sector's reliance on private funds reduces to a large extent. Concurrently institutions of higher education use the opportunities to attract external funding, which is promoted by the incentives incorporated in the financing mechanism. Tuition fee is complemented with compensatory mechanisms that focus on social needs. Knowledge society model ensures sustainable development of institutions of higher education, promotes competition and striving for excellence, reduces social inequality and expands access for vulnerable social groups. Such a scenario allows for the possibility that the tuition fee is revised, introducing the cost sharing principle, in which the State partially finances all study places. Concurrently it should be taken into account that the knowledge society model offered by the World Bank foresees a much more moderate investment policy than it is laid down in the Latvian legislation with respect to funding growth in the sector versus the gross domestic product. The scenario proposed by the World Bank reflects a more balanced development and is more commensurable with the economic situation and actual budget abilities.</w:t>
      </w:r>
    </w:p>
    <w:p w14:paraId="00479FDC" w14:textId="77777777" w:rsidR="00D85172" w:rsidRPr="003C0DF0" w:rsidRDefault="00D85172" w:rsidP="00D85172">
      <w:pPr>
        <w:tabs>
          <w:tab w:val="left" w:pos="284"/>
        </w:tabs>
        <w:spacing w:after="0" w:line="240" w:lineRule="auto"/>
        <w:ind w:firstLine="709"/>
        <w:jc w:val="both"/>
        <w:rPr>
          <w:rFonts w:ascii="Times New Roman" w:hAnsi="Times New Roman"/>
          <w:noProof/>
          <w:sz w:val="24"/>
          <w:szCs w:val="26"/>
        </w:rPr>
      </w:pPr>
    </w:p>
    <w:p w14:paraId="1A9385EE" w14:textId="266C505D" w:rsidR="00ED16B1" w:rsidRPr="003C0DF0" w:rsidRDefault="00ED16B1" w:rsidP="00D85172">
      <w:pPr>
        <w:spacing w:after="0" w:line="240" w:lineRule="auto"/>
        <w:jc w:val="right"/>
        <w:rPr>
          <w:rFonts w:ascii="Times New Roman" w:hAnsi="Times New Roman"/>
          <w:b/>
          <w:noProof/>
          <w:sz w:val="24"/>
          <w:szCs w:val="24"/>
        </w:rPr>
      </w:pPr>
      <w:r w:rsidRPr="003C0DF0">
        <w:rPr>
          <w:rFonts w:ascii="Times New Roman" w:hAnsi="Times New Roman"/>
          <w:i/>
        </w:rPr>
        <w:t>Table 6</w:t>
      </w:r>
      <w:r w:rsidRPr="003C0DF0">
        <w:rPr>
          <w:rFonts w:ascii="Times New Roman" w:hAnsi="Times New Roman"/>
        </w:rPr>
        <w:t>.</w:t>
      </w:r>
      <w:r w:rsidRPr="003C0DF0">
        <w:rPr>
          <w:rFonts w:ascii="Times New Roman" w:hAnsi="Times New Roman"/>
          <w:noProof/>
          <w:sz w:val="24"/>
        </w:rPr>
        <w:t xml:space="preserve"> </w:t>
      </w:r>
      <w:r w:rsidRPr="003C0DF0">
        <w:rPr>
          <w:rFonts w:ascii="Times New Roman" w:hAnsi="Times New Roman"/>
          <w:b/>
          <w:noProof/>
          <w:sz w:val="24"/>
        </w:rPr>
        <w:t>Components of Knowledge Society Model</w:t>
      </w:r>
    </w:p>
    <w:p w14:paraId="56CC6F12" w14:textId="77777777" w:rsidR="00D85172" w:rsidRPr="003C0DF0" w:rsidRDefault="00D85172" w:rsidP="006E539B">
      <w:pPr>
        <w:spacing w:after="0" w:line="240" w:lineRule="auto"/>
        <w:jc w:val="both"/>
        <w:rPr>
          <w:rFonts w:ascii="Times New Roman" w:hAnsi="Times New Roman"/>
          <w:b/>
          <w:noProof/>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7"/>
        <w:gridCol w:w="3844"/>
      </w:tblGrid>
      <w:tr w:rsidR="00ED16B1" w:rsidRPr="003C0DF0" w14:paraId="5652DF62" w14:textId="77777777" w:rsidTr="00D12977">
        <w:tc>
          <w:tcPr>
            <w:tcW w:w="2879" w:type="pct"/>
            <w:shd w:val="clear" w:color="auto" w:fill="DBE5F1" w:themeFill="accent1" w:themeFillTint="33"/>
          </w:tcPr>
          <w:p w14:paraId="2885C4D1" w14:textId="77777777" w:rsidR="00ED16B1" w:rsidRPr="003C0DF0" w:rsidRDefault="00ED16B1" w:rsidP="00D85172">
            <w:pPr>
              <w:spacing w:after="0" w:line="240" w:lineRule="auto"/>
              <w:jc w:val="center"/>
              <w:rPr>
                <w:rFonts w:ascii="Times New Roman" w:hAnsi="Times New Roman"/>
                <w:b/>
                <w:noProof/>
                <w:sz w:val="24"/>
                <w:szCs w:val="24"/>
              </w:rPr>
            </w:pPr>
            <w:r w:rsidRPr="003C0DF0">
              <w:rPr>
                <w:rFonts w:ascii="Times New Roman" w:hAnsi="Times New Roman"/>
                <w:b/>
                <w:noProof/>
                <w:sz w:val="24"/>
              </w:rPr>
              <w:t>Components Included</w:t>
            </w:r>
          </w:p>
        </w:tc>
        <w:tc>
          <w:tcPr>
            <w:tcW w:w="2121" w:type="pct"/>
            <w:shd w:val="clear" w:color="auto" w:fill="DBE5F1" w:themeFill="accent1" w:themeFillTint="33"/>
          </w:tcPr>
          <w:p w14:paraId="2EDC5919" w14:textId="77777777" w:rsidR="00ED16B1" w:rsidRPr="003C0DF0" w:rsidRDefault="00ED16B1" w:rsidP="00D85172">
            <w:pPr>
              <w:spacing w:after="0" w:line="240" w:lineRule="auto"/>
              <w:jc w:val="center"/>
              <w:rPr>
                <w:rFonts w:ascii="Times New Roman" w:hAnsi="Times New Roman"/>
                <w:b/>
                <w:noProof/>
                <w:sz w:val="24"/>
                <w:szCs w:val="24"/>
              </w:rPr>
            </w:pPr>
            <w:r w:rsidRPr="003C0DF0">
              <w:rPr>
                <w:rFonts w:ascii="Times New Roman" w:hAnsi="Times New Roman"/>
                <w:b/>
                <w:noProof/>
                <w:sz w:val="24"/>
              </w:rPr>
              <w:t>Extra Components Introduced when Future Funding Level Allows</w:t>
            </w:r>
          </w:p>
        </w:tc>
      </w:tr>
      <w:tr w:rsidR="00ED16B1" w:rsidRPr="003C0DF0" w14:paraId="379AA1C2" w14:textId="77777777" w:rsidTr="00D12977">
        <w:tc>
          <w:tcPr>
            <w:tcW w:w="2879" w:type="pct"/>
          </w:tcPr>
          <w:p w14:paraId="4450A17F" w14:textId="77777777" w:rsidR="00ED16B1" w:rsidRPr="003C0DF0" w:rsidRDefault="00ED16B1" w:rsidP="00D12977">
            <w:pPr>
              <w:pStyle w:val="ListParagraph"/>
              <w:numPr>
                <w:ilvl w:val="0"/>
                <w:numId w:val="14"/>
              </w:numPr>
              <w:spacing w:after="0" w:line="240" w:lineRule="auto"/>
              <w:ind w:left="0" w:firstLine="0"/>
              <w:rPr>
                <w:rFonts w:ascii="Times New Roman" w:hAnsi="Times New Roman"/>
                <w:noProof/>
                <w:sz w:val="24"/>
                <w:szCs w:val="24"/>
              </w:rPr>
            </w:pPr>
            <w:r w:rsidRPr="003C0DF0">
              <w:rPr>
                <w:rFonts w:ascii="Times New Roman" w:hAnsi="Times New Roman"/>
                <w:noProof/>
                <w:sz w:val="24"/>
              </w:rPr>
              <w:t>Revised study place model (pillar 1);</w:t>
            </w:r>
          </w:p>
          <w:p w14:paraId="64505861" w14:textId="77777777" w:rsidR="00ED16B1" w:rsidRPr="003C0DF0" w:rsidRDefault="00ED16B1" w:rsidP="00D12977">
            <w:pPr>
              <w:pStyle w:val="ListParagraph"/>
              <w:numPr>
                <w:ilvl w:val="0"/>
                <w:numId w:val="14"/>
              </w:numPr>
              <w:spacing w:after="0" w:line="240" w:lineRule="auto"/>
              <w:ind w:left="0" w:firstLine="0"/>
              <w:rPr>
                <w:rFonts w:ascii="Times New Roman" w:hAnsi="Times New Roman"/>
                <w:noProof/>
                <w:sz w:val="24"/>
                <w:szCs w:val="24"/>
              </w:rPr>
            </w:pPr>
            <w:r w:rsidRPr="003C0DF0">
              <w:rPr>
                <w:rFonts w:ascii="Times New Roman" w:hAnsi="Times New Roman"/>
                <w:noProof/>
                <w:sz w:val="24"/>
              </w:rPr>
              <w:t>Performance agreements and basic funding for research (pillar 1);</w:t>
            </w:r>
          </w:p>
          <w:p w14:paraId="795B79DF" w14:textId="77777777" w:rsidR="00ED16B1" w:rsidRPr="003C0DF0" w:rsidRDefault="00ED16B1" w:rsidP="00D12977">
            <w:pPr>
              <w:pStyle w:val="ListParagraph"/>
              <w:numPr>
                <w:ilvl w:val="0"/>
                <w:numId w:val="14"/>
              </w:numPr>
              <w:spacing w:after="0" w:line="240" w:lineRule="auto"/>
              <w:ind w:left="0" w:firstLine="0"/>
              <w:rPr>
                <w:rFonts w:ascii="Times New Roman" w:hAnsi="Times New Roman"/>
                <w:noProof/>
                <w:sz w:val="24"/>
                <w:szCs w:val="24"/>
              </w:rPr>
            </w:pPr>
            <w:r w:rsidRPr="003C0DF0">
              <w:rPr>
                <w:rFonts w:ascii="Times New Roman" w:hAnsi="Times New Roman"/>
                <w:noProof/>
                <w:sz w:val="24"/>
              </w:rPr>
              <w:t>Universal indicator-based funding formula (pillar 2);</w:t>
            </w:r>
          </w:p>
          <w:p w14:paraId="455F4AC9" w14:textId="77777777" w:rsidR="00ED16B1" w:rsidRPr="003C0DF0" w:rsidRDefault="00ED16B1" w:rsidP="00D12977">
            <w:pPr>
              <w:pStyle w:val="ListParagraph"/>
              <w:numPr>
                <w:ilvl w:val="0"/>
                <w:numId w:val="14"/>
              </w:numPr>
              <w:spacing w:after="0" w:line="240" w:lineRule="auto"/>
              <w:ind w:left="0" w:firstLine="0"/>
              <w:rPr>
                <w:rFonts w:ascii="Times New Roman" w:hAnsi="Times New Roman"/>
                <w:noProof/>
                <w:sz w:val="24"/>
                <w:szCs w:val="24"/>
              </w:rPr>
            </w:pPr>
            <w:r w:rsidRPr="003C0DF0">
              <w:rPr>
                <w:rFonts w:ascii="Times New Roman" w:hAnsi="Times New Roman"/>
                <w:noProof/>
                <w:sz w:val="24"/>
              </w:rPr>
              <w:t>Funding of IHE-specific indicators (pillar 2);</w:t>
            </w:r>
          </w:p>
          <w:p w14:paraId="73C4D4B6" w14:textId="77777777" w:rsidR="00ED16B1" w:rsidRPr="003C0DF0" w:rsidRDefault="00ED16B1" w:rsidP="00D12977">
            <w:pPr>
              <w:pStyle w:val="ListParagraph"/>
              <w:numPr>
                <w:ilvl w:val="0"/>
                <w:numId w:val="14"/>
              </w:numPr>
              <w:spacing w:after="0" w:line="240" w:lineRule="auto"/>
              <w:ind w:left="0" w:firstLine="0"/>
              <w:rPr>
                <w:rFonts w:ascii="Times New Roman" w:hAnsi="Times New Roman"/>
                <w:noProof/>
                <w:sz w:val="24"/>
                <w:szCs w:val="24"/>
              </w:rPr>
            </w:pPr>
            <w:r w:rsidRPr="003C0DF0">
              <w:rPr>
                <w:rFonts w:ascii="Times New Roman" w:hAnsi="Times New Roman"/>
                <w:noProof/>
                <w:sz w:val="24"/>
              </w:rPr>
              <w:t>Performance agreements negotiated by the MoES, institutions, and sectoral ministries that cover both teaching and learning initiatives and centres of excellence (pillar 3);</w:t>
            </w:r>
          </w:p>
          <w:p w14:paraId="61214632" w14:textId="77777777" w:rsidR="00ED16B1" w:rsidRPr="003C0DF0" w:rsidRDefault="00ED16B1" w:rsidP="00D12977">
            <w:pPr>
              <w:pStyle w:val="ListParagraph"/>
              <w:numPr>
                <w:ilvl w:val="0"/>
                <w:numId w:val="14"/>
              </w:numPr>
              <w:spacing w:after="0" w:line="240" w:lineRule="auto"/>
              <w:ind w:left="0" w:firstLine="0"/>
              <w:rPr>
                <w:rFonts w:ascii="Times New Roman" w:hAnsi="Times New Roman"/>
                <w:noProof/>
                <w:sz w:val="24"/>
                <w:szCs w:val="24"/>
              </w:rPr>
            </w:pPr>
            <w:r w:rsidRPr="003C0DF0">
              <w:rPr>
                <w:rFonts w:ascii="Times New Roman" w:hAnsi="Times New Roman"/>
                <w:noProof/>
                <w:sz w:val="24"/>
              </w:rPr>
              <w:t>Provision of financial management training and support for institutional management to increase autonomy;</w:t>
            </w:r>
          </w:p>
          <w:p w14:paraId="548EE493" w14:textId="77777777" w:rsidR="00ED16B1" w:rsidRPr="003C0DF0" w:rsidRDefault="00ED16B1" w:rsidP="00D12977">
            <w:pPr>
              <w:pStyle w:val="ListParagraph"/>
              <w:numPr>
                <w:ilvl w:val="0"/>
                <w:numId w:val="14"/>
              </w:numPr>
              <w:spacing w:after="0" w:line="240" w:lineRule="auto"/>
              <w:ind w:left="0" w:firstLine="0"/>
              <w:rPr>
                <w:rFonts w:ascii="Times New Roman" w:hAnsi="Times New Roman"/>
                <w:noProof/>
                <w:sz w:val="24"/>
                <w:szCs w:val="24"/>
              </w:rPr>
            </w:pPr>
            <w:r w:rsidRPr="003C0DF0">
              <w:rPr>
                <w:rFonts w:ascii="Times New Roman" w:hAnsi="Times New Roman"/>
                <w:noProof/>
                <w:sz w:val="24"/>
              </w:rPr>
              <w:t>Transitional use of Structural Funds (e.g., for consolidation);</w:t>
            </w:r>
          </w:p>
          <w:p w14:paraId="08E3B146" w14:textId="77777777" w:rsidR="00ED16B1" w:rsidRPr="003C0DF0" w:rsidRDefault="00ED16B1" w:rsidP="00D12977">
            <w:pPr>
              <w:pStyle w:val="ListParagraph"/>
              <w:numPr>
                <w:ilvl w:val="0"/>
                <w:numId w:val="14"/>
              </w:numPr>
              <w:spacing w:after="0" w:line="240" w:lineRule="auto"/>
              <w:ind w:left="0" w:firstLine="0"/>
              <w:rPr>
                <w:rFonts w:ascii="Times New Roman" w:hAnsi="Times New Roman"/>
                <w:noProof/>
                <w:sz w:val="24"/>
                <w:szCs w:val="24"/>
              </w:rPr>
            </w:pPr>
            <w:r w:rsidRPr="003C0DF0">
              <w:rPr>
                <w:rFonts w:ascii="Times New Roman" w:hAnsi="Times New Roman"/>
                <w:noProof/>
                <w:sz w:val="24"/>
              </w:rPr>
              <w:t>Need-based support to students (with a merit component), as a compensation for tuition fee and support for social needs;</w:t>
            </w:r>
          </w:p>
          <w:p w14:paraId="2214840D" w14:textId="77777777" w:rsidR="00ED16B1" w:rsidRPr="003C0DF0" w:rsidRDefault="00ED16B1" w:rsidP="00D12977">
            <w:pPr>
              <w:pStyle w:val="ListParagraph"/>
              <w:numPr>
                <w:ilvl w:val="0"/>
                <w:numId w:val="14"/>
              </w:numPr>
              <w:spacing w:after="0" w:line="240" w:lineRule="auto"/>
              <w:ind w:left="0" w:firstLine="0"/>
              <w:rPr>
                <w:rFonts w:ascii="Times New Roman" w:hAnsi="Times New Roman"/>
                <w:noProof/>
                <w:sz w:val="24"/>
                <w:szCs w:val="24"/>
              </w:rPr>
            </w:pPr>
            <w:r w:rsidRPr="003C0DF0">
              <w:rPr>
                <w:rFonts w:ascii="Times New Roman" w:hAnsi="Times New Roman"/>
                <w:noProof/>
                <w:sz w:val="24"/>
              </w:rPr>
              <w:t>Enhanced study and student loan programme, promoting accessibility of State guaranteed loans.</w:t>
            </w:r>
          </w:p>
        </w:tc>
        <w:tc>
          <w:tcPr>
            <w:tcW w:w="2121" w:type="pct"/>
          </w:tcPr>
          <w:p w14:paraId="081AB45A" w14:textId="2453CCBD" w:rsidR="00ED16B1" w:rsidRPr="003C0DF0" w:rsidRDefault="00ED16B1" w:rsidP="00D12977">
            <w:pPr>
              <w:pStyle w:val="ListParagraph"/>
              <w:numPr>
                <w:ilvl w:val="0"/>
                <w:numId w:val="14"/>
              </w:numPr>
              <w:spacing w:after="0" w:line="240" w:lineRule="auto"/>
              <w:ind w:left="0" w:firstLine="0"/>
              <w:rPr>
                <w:rFonts w:ascii="Times New Roman" w:hAnsi="Times New Roman"/>
                <w:noProof/>
                <w:sz w:val="24"/>
                <w:szCs w:val="24"/>
              </w:rPr>
            </w:pPr>
            <w:r w:rsidRPr="003C0DF0">
              <w:rPr>
                <w:rFonts w:ascii="Times New Roman" w:hAnsi="Times New Roman"/>
                <w:noProof/>
                <w:sz w:val="24"/>
              </w:rPr>
              <w:t>Not applicable</w:t>
            </w:r>
          </w:p>
          <w:p w14:paraId="03859B12" w14:textId="77777777" w:rsidR="00ED16B1" w:rsidRPr="003C0DF0" w:rsidRDefault="00ED16B1" w:rsidP="00D12977">
            <w:pPr>
              <w:pStyle w:val="ListParagraph"/>
              <w:spacing w:after="0" w:line="240" w:lineRule="auto"/>
              <w:ind w:left="0"/>
              <w:rPr>
                <w:rFonts w:ascii="Times New Roman" w:hAnsi="Times New Roman"/>
                <w:noProof/>
                <w:sz w:val="24"/>
                <w:szCs w:val="24"/>
              </w:rPr>
            </w:pPr>
          </w:p>
        </w:tc>
      </w:tr>
      <w:tr w:rsidR="00ED16B1" w:rsidRPr="003C0DF0" w14:paraId="233C531E" w14:textId="77777777" w:rsidTr="00D12977">
        <w:tc>
          <w:tcPr>
            <w:tcW w:w="5000" w:type="pct"/>
            <w:gridSpan w:val="2"/>
            <w:shd w:val="clear" w:color="auto" w:fill="DBE5F1" w:themeFill="accent1" w:themeFillTint="33"/>
          </w:tcPr>
          <w:p w14:paraId="423C6D5D" w14:textId="77777777" w:rsidR="00ED16B1" w:rsidRPr="003C0DF0" w:rsidRDefault="00ED16B1" w:rsidP="00D85172">
            <w:pPr>
              <w:spacing w:after="0" w:line="240" w:lineRule="auto"/>
              <w:jc w:val="center"/>
              <w:rPr>
                <w:rFonts w:ascii="Times New Roman" w:hAnsi="Times New Roman"/>
                <w:b/>
                <w:noProof/>
                <w:sz w:val="24"/>
                <w:szCs w:val="24"/>
              </w:rPr>
            </w:pPr>
            <w:r w:rsidRPr="003C0DF0">
              <w:rPr>
                <w:rFonts w:ascii="Times New Roman" w:hAnsi="Times New Roman"/>
                <w:b/>
                <w:noProof/>
                <w:sz w:val="24"/>
              </w:rPr>
              <w:t>Alternatives for Consideration</w:t>
            </w:r>
          </w:p>
        </w:tc>
      </w:tr>
      <w:tr w:rsidR="00ED16B1" w:rsidRPr="003C0DF0" w14:paraId="52934EC0" w14:textId="77777777" w:rsidTr="00D12977">
        <w:tc>
          <w:tcPr>
            <w:tcW w:w="5000" w:type="pct"/>
            <w:gridSpan w:val="2"/>
          </w:tcPr>
          <w:p w14:paraId="5C4D6091" w14:textId="3DE2370B" w:rsidR="00ED16B1" w:rsidRPr="003C0DF0" w:rsidRDefault="00ED16B1" w:rsidP="00D12977">
            <w:pPr>
              <w:pStyle w:val="ListParagraph"/>
              <w:numPr>
                <w:ilvl w:val="0"/>
                <w:numId w:val="14"/>
              </w:numPr>
              <w:spacing w:after="0" w:line="240" w:lineRule="auto"/>
              <w:ind w:left="0" w:firstLine="0"/>
              <w:rPr>
                <w:rFonts w:ascii="Times New Roman" w:hAnsi="Times New Roman"/>
                <w:noProof/>
                <w:sz w:val="24"/>
                <w:szCs w:val="24"/>
              </w:rPr>
            </w:pPr>
            <w:r w:rsidRPr="003C0DF0">
              <w:rPr>
                <w:rFonts w:ascii="Times New Roman" w:hAnsi="Times New Roman"/>
                <w:noProof/>
                <w:sz w:val="24"/>
              </w:rPr>
              <w:t>Revised tuition fee;</w:t>
            </w:r>
          </w:p>
          <w:p w14:paraId="1F7E7D22" w14:textId="77777777" w:rsidR="00ED16B1" w:rsidRPr="003C0DF0" w:rsidRDefault="00ED16B1" w:rsidP="00D12977">
            <w:pPr>
              <w:pStyle w:val="ListParagraph"/>
              <w:numPr>
                <w:ilvl w:val="0"/>
                <w:numId w:val="14"/>
              </w:numPr>
              <w:spacing w:after="0" w:line="240" w:lineRule="auto"/>
              <w:ind w:left="0" w:firstLine="0"/>
              <w:rPr>
                <w:rFonts w:ascii="Times New Roman" w:hAnsi="Times New Roman"/>
                <w:noProof/>
                <w:sz w:val="24"/>
                <w:szCs w:val="24"/>
              </w:rPr>
            </w:pPr>
            <w:r w:rsidRPr="003C0DF0">
              <w:rPr>
                <w:rFonts w:ascii="Times New Roman" w:hAnsi="Times New Roman"/>
                <w:noProof/>
                <w:sz w:val="24"/>
              </w:rPr>
              <w:t>“Innovation Fund” for internationally competitive research in collaboration between institutions of higher education and/or research institutes, sector and international research organisations as a separate part of the third pillar.</w:t>
            </w:r>
          </w:p>
        </w:tc>
      </w:tr>
    </w:tbl>
    <w:p w14:paraId="356F98DA" w14:textId="77777777" w:rsidR="00D85172" w:rsidRPr="003C0DF0" w:rsidRDefault="00D85172" w:rsidP="00BB175A">
      <w:pPr>
        <w:pStyle w:val="Heading3"/>
        <w:rPr>
          <w:noProof/>
        </w:rPr>
      </w:pPr>
      <w:bookmarkStart w:id="35" w:name="_Toc421550735"/>
    </w:p>
    <w:p w14:paraId="78410DF0" w14:textId="1BBB7DFA" w:rsidR="00ED16B1" w:rsidRPr="00D12977" w:rsidRDefault="00D85172" w:rsidP="00D12977">
      <w:pPr>
        <w:pStyle w:val="Heading3"/>
        <w:keepNext/>
      </w:pPr>
      <w:bookmarkStart w:id="36" w:name="_Toc453155039"/>
      <w:r w:rsidRPr="00D12977">
        <w:lastRenderedPageBreak/>
        <w:t>2.1.2. Limited Expansion Model</w:t>
      </w:r>
      <w:bookmarkEnd w:id="35"/>
      <w:bookmarkEnd w:id="36"/>
    </w:p>
    <w:p w14:paraId="1547A6DC" w14:textId="77777777" w:rsidR="00D85172" w:rsidRPr="003C0DF0" w:rsidRDefault="00D85172" w:rsidP="00D12977">
      <w:pPr>
        <w:keepNext/>
        <w:spacing w:after="0" w:line="240" w:lineRule="auto"/>
        <w:ind w:firstLine="709"/>
        <w:jc w:val="both"/>
        <w:rPr>
          <w:rFonts w:ascii="Times New Roman" w:hAnsi="Times New Roman"/>
          <w:noProof/>
          <w:sz w:val="24"/>
          <w:szCs w:val="26"/>
        </w:rPr>
      </w:pPr>
    </w:p>
    <w:p w14:paraId="72C0A97E" w14:textId="32879AE6" w:rsidR="00ED16B1" w:rsidRPr="003C0DF0" w:rsidRDefault="00ED16B1" w:rsidP="00D12977">
      <w:pPr>
        <w:keepNext/>
        <w:spacing w:after="0" w:line="240" w:lineRule="auto"/>
        <w:ind w:firstLine="709"/>
        <w:jc w:val="both"/>
        <w:rPr>
          <w:rFonts w:ascii="Times New Roman" w:hAnsi="Times New Roman"/>
          <w:noProof/>
          <w:sz w:val="24"/>
          <w:szCs w:val="26"/>
        </w:rPr>
      </w:pPr>
      <w:r w:rsidRPr="003C0DF0">
        <w:rPr>
          <w:rFonts w:ascii="Times New Roman" w:hAnsi="Times New Roman"/>
          <w:noProof/>
          <w:sz w:val="24"/>
        </w:rPr>
        <w:t>Limited expansion model (Scenario B) foresees a less rapid pace of growth. The first pillar funding is maintained at the current level despite the reduction in the number of students. The second pillar (performance-based financing) and third pillar (development funding) are introduced. With the funding of the first pillar remaining at EUR 85 million annually, the second and third pillar increase by 5 % annually, including additional funds from business and sector (Figure 4). By 2025, the second pillar (performance) funding increases to EUR 11.4 million, funding of the third pillar (innovations) – to EUR 8.1 million. By implementing such policy, the total investments in 2025 account for EUR 119.5</w:t>
      </w:r>
      <w:r w:rsidR="003C0DF0" w:rsidRPr="003C0DF0">
        <w:rPr>
          <w:rFonts w:ascii="Times New Roman" w:hAnsi="Times New Roman"/>
          <w:noProof/>
          <w:sz w:val="24"/>
        </w:rPr>
        <w:t xml:space="preserve"> </w:t>
      </w:r>
      <w:r w:rsidRPr="003C0DF0">
        <w:rPr>
          <w:rFonts w:ascii="Times New Roman" w:hAnsi="Times New Roman"/>
          <w:noProof/>
          <w:sz w:val="24"/>
        </w:rPr>
        <w:t>million.</w:t>
      </w:r>
    </w:p>
    <w:p w14:paraId="135A1C0F" w14:textId="77777777" w:rsidR="00D85172" w:rsidRDefault="00D85172" w:rsidP="00D12977">
      <w:pPr>
        <w:spacing w:after="0" w:line="240" w:lineRule="auto"/>
        <w:jc w:val="both"/>
        <w:rPr>
          <w:rFonts w:ascii="Times New Roman" w:hAnsi="Times New Roman"/>
          <w:noProof/>
          <w:sz w:val="24"/>
          <w:szCs w:val="26"/>
        </w:rPr>
      </w:pPr>
    </w:p>
    <w:p w14:paraId="021E6670" w14:textId="7F318DEE" w:rsidR="00D12977" w:rsidRDefault="00D12977" w:rsidP="00D12977">
      <w:pPr>
        <w:spacing w:after="0" w:line="240" w:lineRule="auto"/>
        <w:jc w:val="center"/>
        <w:rPr>
          <w:rFonts w:ascii="Times New Roman" w:hAnsi="Times New Roman"/>
          <w:noProof/>
          <w:sz w:val="24"/>
          <w:szCs w:val="26"/>
        </w:rPr>
      </w:pPr>
      <w:r>
        <w:rPr>
          <w:rFonts w:ascii="Times New Roman" w:hAnsi="Times New Roman"/>
          <w:noProof/>
          <w:sz w:val="24"/>
          <w:szCs w:val="26"/>
          <w:lang w:val="lv-LV" w:eastAsia="lv-LV" w:bidi="ar-SA"/>
        </w:rPr>
        <w:drawing>
          <wp:inline distT="0" distB="0" distL="0" distR="0" wp14:anchorId="3FCEB4B6" wp14:editId="4E8FD6D5">
            <wp:extent cx="4895850" cy="33432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95850" cy="3343275"/>
                    </a:xfrm>
                    <a:prstGeom prst="rect">
                      <a:avLst/>
                    </a:prstGeom>
                    <a:noFill/>
                    <a:ln>
                      <a:noFill/>
                    </a:ln>
                  </pic:spPr>
                </pic:pic>
              </a:graphicData>
            </a:graphic>
          </wp:inline>
        </w:drawing>
      </w:r>
    </w:p>
    <w:p w14:paraId="634C818B" w14:textId="77777777" w:rsidR="00D12977" w:rsidRPr="003C0DF0" w:rsidRDefault="00D12977" w:rsidP="00D12977">
      <w:pPr>
        <w:spacing w:after="0" w:line="240" w:lineRule="auto"/>
        <w:jc w:val="both"/>
        <w:rPr>
          <w:rFonts w:ascii="Times New Roman" w:hAnsi="Times New Roman"/>
          <w:noProof/>
          <w:sz w:val="24"/>
          <w:szCs w:val="26"/>
        </w:rPr>
      </w:pPr>
    </w:p>
    <w:p w14:paraId="15EE9225" w14:textId="77777777" w:rsidR="006E539B" w:rsidRPr="003C0DF0" w:rsidRDefault="00ED16B1" w:rsidP="00D85172">
      <w:pPr>
        <w:spacing w:after="0" w:line="240" w:lineRule="auto"/>
        <w:ind w:firstLine="709"/>
        <w:jc w:val="both"/>
        <w:rPr>
          <w:rFonts w:ascii="Times New Roman" w:hAnsi="Times New Roman"/>
          <w:b/>
          <w:bCs/>
          <w:noProof/>
          <w:sz w:val="24"/>
          <w:szCs w:val="24"/>
        </w:rPr>
      </w:pPr>
      <w:r w:rsidRPr="003C0DF0">
        <w:rPr>
          <w:rFonts w:ascii="Times New Roman" w:hAnsi="Times New Roman"/>
          <w:i/>
          <w:noProof/>
          <w:sz w:val="24"/>
        </w:rPr>
        <w:t xml:space="preserve">Figure 4. </w:t>
      </w:r>
      <w:r w:rsidRPr="003C0DF0">
        <w:rPr>
          <w:rFonts w:ascii="Times New Roman" w:hAnsi="Times New Roman"/>
          <w:b/>
          <w:noProof/>
          <w:sz w:val="24"/>
        </w:rPr>
        <w:t>Limited Expansion Model</w:t>
      </w:r>
    </w:p>
    <w:p w14:paraId="11C6829F" w14:textId="77777777" w:rsidR="00D85172" w:rsidRPr="003C0DF0" w:rsidRDefault="00D85172" w:rsidP="00D85172">
      <w:pPr>
        <w:spacing w:after="0" w:line="240" w:lineRule="auto"/>
        <w:ind w:firstLine="709"/>
        <w:jc w:val="both"/>
        <w:rPr>
          <w:rFonts w:ascii="Times New Roman" w:hAnsi="Times New Roman"/>
          <w:b/>
          <w:bCs/>
          <w:noProof/>
          <w:sz w:val="24"/>
          <w:szCs w:val="24"/>
        </w:rPr>
      </w:pPr>
    </w:p>
    <w:p w14:paraId="04E1E07D" w14:textId="18587E36" w:rsidR="00ED16B1" w:rsidRPr="003C0DF0" w:rsidRDefault="00ED16B1" w:rsidP="00D85172">
      <w:pPr>
        <w:spacing w:after="0" w:line="240" w:lineRule="auto"/>
        <w:ind w:firstLine="709"/>
        <w:jc w:val="both"/>
        <w:rPr>
          <w:rFonts w:ascii="Times New Roman" w:hAnsi="Times New Roman"/>
          <w:bCs/>
          <w:noProof/>
          <w:sz w:val="24"/>
          <w:szCs w:val="26"/>
        </w:rPr>
      </w:pPr>
      <w:r w:rsidRPr="003C0DF0">
        <w:rPr>
          <w:rFonts w:ascii="Times New Roman" w:hAnsi="Times New Roman"/>
          <w:noProof/>
          <w:sz w:val="24"/>
        </w:rPr>
        <w:t>Limited Expansion Model in absolute figures is presented in Table 7.</w:t>
      </w:r>
    </w:p>
    <w:p w14:paraId="078DCE47" w14:textId="77777777" w:rsidR="00D85172" w:rsidRPr="003C0DF0" w:rsidRDefault="00D85172" w:rsidP="006E539B">
      <w:pPr>
        <w:spacing w:after="0" w:line="240" w:lineRule="auto"/>
        <w:jc w:val="both"/>
        <w:rPr>
          <w:rFonts w:ascii="Times New Roman" w:hAnsi="Times New Roman"/>
          <w:bCs/>
          <w:noProof/>
          <w:sz w:val="24"/>
          <w:szCs w:val="26"/>
        </w:rPr>
      </w:pPr>
    </w:p>
    <w:p w14:paraId="686DCDD6" w14:textId="77777777" w:rsidR="00ED16B1" w:rsidRPr="003C0DF0" w:rsidRDefault="00ED16B1" w:rsidP="00D85172">
      <w:pPr>
        <w:pStyle w:val="ListParagraph"/>
        <w:spacing w:after="0" w:line="240" w:lineRule="auto"/>
        <w:ind w:left="0"/>
        <w:jc w:val="right"/>
        <w:rPr>
          <w:rFonts w:ascii="Times New Roman" w:hAnsi="Times New Roman"/>
          <w:b/>
          <w:noProof/>
          <w:sz w:val="24"/>
          <w:szCs w:val="24"/>
        </w:rPr>
      </w:pPr>
      <w:r w:rsidRPr="003C0DF0">
        <w:rPr>
          <w:rFonts w:ascii="Times New Roman" w:hAnsi="Times New Roman"/>
          <w:i/>
          <w:noProof/>
          <w:sz w:val="24"/>
        </w:rPr>
        <w:t xml:space="preserve">Table 7. </w:t>
      </w:r>
      <w:r w:rsidRPr="003C0DF0">
        <w:rPr>
          <w:rFonts w:ascii="Times New Roman" w:hAnsi="Times New Roman"/>
          <w:b/>
          <w:noProof/>
          <w:sz w:val="24"/>
        </w:rPr>
        <w:t>Limited Expansion Model</w:t>
      </w:r>
    </w:p>
    <w:p w14:paraId="577E6DF2" w14:textId="77777777" w:rsidR="00ED16B1" w:rsidRPr="003C0DF0" w:rsidRDefault="00ED16B1" w:rsidP="006E539B">
      <w:pPr>
        <w:pStyle w:val="ListParagraph"/>
        <w:spacing w:after="0" w:line="240" w:lineRule="auto"/>
        <w:ind w:left="0"/>
        <w:jc w:val="both"/>
        <w:rPr>
          <w:rFonts w:ascii="Times New Roman" w:hAnsi="Times New Roman"/>
          <w:b/>
          <w:noProof/>
          <w:sz w:val="24"/>
          <w:szCs w:val="24"/>
        </w:rPr>
      </w:pPr>
    </w:p>
    <w:tbl>
      <w:tblPr>
        <w:tblStyle w:val="TableGrid"/>
        <w:tblW w:w="5000" w:type="pct"/>
        <w:tblLook w:val="04A0" w:firstRow="1" w:lastRow="0" w:firstColumn="1" w:lastColumn="0" w:noHBand="0" w:noVBand="1"/>
      </w:tblPr>
      <w:tblGrid>
        <w:gridCol w:w="1339"/>
        <w:gridCol w:w="1539"/>
        <w:gridCol w:w="1604"/>
        <w:gridCol w:w="1604"/>
        <w:gridCol w:w="1330"/>
        <w:gridCol w:w="1645"/>
      </w:tblGrid>
      <w:tr w:rsidR="00ED16B1" w:rsidRPr="003C0DF0" w14:paraId="7BAC1C04" w14:textId="77777777" w:rsidTr="00D12977">
        <w:tc>
          <w:tcPr>
            <w:tcW w:w="739" w:type="pct"/>
            <w:shd w:val="clear" w:color="auto" w:fill="DBE5F1" w:themeFill="accent1" w:themeFillTint="33"/>
            <w:vAlign w:val="bottom"/>
          </w:tcPr>
          <w:p w14:paraId="284CC9A3" w14:textId="77777777" w:rsidR="00ED16B1" w:rsidRPr="003C0DF0" w:rsidRDefault="00ED16B1" w:rsidP="006E539B">
            <w:pPr>
              <w:pStyle w:val="ListParagraph"/>
              <w:spacing w:after="0" w:line="240" w:lineRule="auto"/>
              <w:ind w:left="0"/>
              <w:jc w:val="both"/>
              <w:rPr>
                <w:rFonts w:ascii="Times New Roman" w:eastAsia="Times New Roman" w:hAnsi="Times New Roman"/>
                <w:b/>
                <w:bCs/>
                <w:noProof/>
                <w:sz w:val="24"/>
                <w:szCs w:val="24"/>
              </w:rPr>
            </w:pPr>
            <w:r w:rsidRPr="003C0DF0">
              <w:rPr>
                <w:rFonts w:ascii="Times New Roman" w:hAnsi="Times New Roman"/>
                <w:b/>
                <w:noProof/>
                <w:sz w:val="24"/>
              </w:rPr>
              <w:t>Year</w:t>
            </w:r>
          </w:p>
        </w:tc>
        <w:tc>
          <w:tcPr>
            <w:tcW w:w="849" w:type="pct"/>
            <w:shd w:val="clear" w:color="auto" w:fill="DBE5F1" w:themeFill="accent1" w:themeFillTint="33"/>
            <w:vAlign w:val="bottom"/>
          </w:tcPr>
          <w:p w14:paraId="24E03B32" w14:textId="2FDB529B" w:rsidR="00ED16B1" w:rsidRPr="003C0DF0" w:rsidRDefault="00ED16B1" w:rsidP="006E539B">
            <w:pPr>
              <w:pStyle w:val="ListParagraph"/>
              <w:spacing w:after="0" w:line="240" w:lineRule="auto"/>
              <w:ind w:left="0"/>
              <w:jc w:val="both"/>
              <w:rPr>
                <w:rFonts w:ascii="Times New Roman" w:eastAsia="Times New Roman" w:hAnsi="Times New Roman"/>
                <w:i/>
                <w:noProof/>
                <w:sz w:val="24"/>
                <w:szCs w:val="24"/>
              </w:rPr>
            </w:pPr>
            <w:r w:rsidRPr="003C0DF0">
              <w:rPr>
                <w:rFonts w:ascii="Times New Roman" w:hAnsi="Times New Roman"/>
                <w:b/>
              </w:rPr>
              <w:t>Pillar 1 funds</w:t>
            </w:r>
            <w:r w:rsidRPr="003C0DF0">
              <w:rPr>
                <w:rFonts w:ascii="Times New Roman" w:hAnsi="Times New Roman"/>
              </w:rPr>
              <w:t xml:space="preserve"> </w:t>
            </w:r>
            <w:r w:rsidRPr="003C0DF0">
              <w:rPr>
                <w:rFonts w:ascii="Times New Roman" w:hAnsi="Times New Roman"/>
                <w:i/>
              </w:rPr>
              <w:t>(million</w:t>
            </w:r>
            <w:r w:rsidR="003C0DF0" w:rsidRPr="003C0DF0">
              <w:rPr>
                <w:rFonts w:ascii="Times New Roman" w:hAnsi="Times New Roman"/>
                <w:i/>
              </w:rPr>
              <w:t xml:space="preserve"> </w:t>
            </w:r>
            <w:r w:rsidRPr="003C0DF0">
              <w:rPr>
                <w:rFonts w:ascii="Times New Roman" w:hAnsi="Times New Roman"/>
                <w:i/>
                <w:noProof/>
                <w:sz w:val="24"/>
              </w:rPr>
              <w:t>EUR)</w:t>
            </w:r>
          </w:p>
        </w:tc>
        <w:tc>
          <w:tcPr>
            <w:tcW w:w="885" w:type="pct"/>
            <w:shd w:val="clear" w:color="auto" w:fill="DBE5F1" w:themeFill="accent1" w:themeFillTint="33"/>
            <w:vAlign w:val="bottom"/>
          </w:tcPr>
          <w:p w14:paraId="494BC3DB" w14:textId="77777777" w:rsidR="00ED16B1" w:rsidRPr="003C0DF0" w:rsidRDefault="00ED16B1" w:rsidP="006E539B">
            <w:pPr>
              <w:spacing w:after="0" w:line="240" w:lineRule="auto"/>
              <w:jc w:val="both"/>
              <w:rPr>
                <w:rFonts w:ascii="Times New Roman" w:eastAsia="Times New Roman" w:hAnsi="Times New Roman"/>
                <w:b/>
                <w:noProof/>
                <w:sz w:val="24"/>
                <w:szCs w:val="24"/>
              </w:rPr>
            </w:pPr>
            <w:r w:rsidRPr="003C0DF0">
              <w:rPr>
                <w:rFonts w:ascii="Times New Roman" w:hAnsi="Times New Roman"/>
                <w:b/>
                <w:noProof/>
                <w:sz w:val="24"/>
              </w:rPr>
              <w:t>Pillar 2 funds</w:t>
            </w:r>
          </w:p>
          <w:p w14:paraId="7AA58877" w14:textId="77777777" w:rsidR="00ED16B1" w:rsidRPr="003C0DF0" w:rsidRDefault="00ED16B1" w:rsidP="006E539B">
            <w:pPr>
              <w:pStyle w:val="ListParagraph"/>
              <w:spacing w:after="0" w:line="240" w:lineRule="auto"/>
              <w:ind w:left="0"/>
              <w:jc w:val="both"/>
              <w:rPr>
                <w:rFonts w:ascii="Times New Roman" w:eastAsia="Times New Roman" w:hAnsi="Times New Roman"/>
                <w:i/>
                <w:noProof/>
                <w:sz w:val="24"/>
                <w:szCs w:val="24"/>
              </w:rPr>
            </w:pPr>
            <w:r w:rsidRPr="003C0DF0">
              <w:rPr>
                <w:rFonts w:ascii="Times New Roman" w:hAnsi="Times New Roman"/>
                <w:i/>
                <w:noProof/>
                <w:sz w:val="24"/>
              </w:rPr>
              <w:t>(million EUR)</w:t>
            </w:r>
          </w:p>
        </w:tc>
        <w:tc>
          <w:tcPr>
            <w:tcW w:w="885" w:type="pct"/>
            <w:shd w:val="clear" w:color="auto" w:fill="DBE5F1" w:themeFill="accent1" w:themeFillTint="33"/>
            <w:vAlign w:val="bottom"/>
          </w:tcPr>
          <w:p w14:paraId="3B712A40" w14:textId="77777777" w:rsidR="00ED16B1" w:rsidRPr="003C0DF0" w:rsidRDefault="00ED16B1" w:rsidP="006E539B">
            <w:pPr>
              <w:spacing w:after="0" w:line="240" w:lineRule="auto"/>
              <w:jc w:val="both"/>
              <w:rPr>
                <w:rFonts w:ascii="Times New Roman" w:eastAsia="Times New Roman" w:hAnsi="Times New Roman"/>
                <w:b/>
                <w:noProof/>
                <w:sz w:val="24"/>
                <w:szCs w:val="24"/>
              </w:rPr>
            </w:pPr>
            <w:r w:rsidRPr="003C0DF0">
              <w:rPr>
                <w:rFonts w:ascii="Times New Roman" w:hAnsi="Times New Roman"/>
                <w:b/>
                <w:noProof/>
                <w:sz w:val="24"/>
              </w:rPr>
              <w:t>Pillar 3 funds</w:t>
            </w:r>
          </w:p>
          <w:p w14:paraId="7F6EBE2D" w14:textId="77777777" w:rsidR="00ED16B1" w:rsidRPr="003C0DF0" w:rsidRDefault="00ED16B1" w:rsidP="006E539B">
            <w:pPr>
              <w:pStyle w:val="ListParagraph"/>
              <w:spacing w:after="0" w:line="240" w:lineRule="auto"/>
              <w:ind w:left="0"/>
              <w:jc w:val="both"/>
              <w:rPr>
                <w:rFonts w:ascii="Times New Roman" w:eastAsia="Times New Roman" w:hAnsi="Times New Roman"/>
                <w:i/>
                <w:noProof/>
                <w:sz w:val="24"/>
                <w:szCs w:val="24"/>
              </w:rPr>
            </w:pPr>
            <w:r w:rsidRPr="003C0DF0">
              <w:rPr>
                <w:rFonts w:ascii="Times New Roman" w:hAnsi="Times New Roman"/>
                <w:i/>
                <w:noProof/>
                <w:sz w:val="24"/>
              </w:rPr>
              <w:t>(million EUR)</w:t>
            </w:r>
          </w:p>
        </w:tc>
        <w:tc>
          <w:tcPr>
            <w:tcW w:w="734" w:type="pct"/>
            <w:shd w:val="clear" w:color="auto" w:fill="DBE5F1" w:themeFill="accent1" w:themeFillTint="33"/>
            <w:vAlign w:val="bottom"/>
          </w:tcPr>
          <w:p w14:paraId="5682B7E3" w14:textId="77777777" w:rsidR="00ED16B1" w:rsidRPr="003C0DF0" w:rsidRDefault="00ED16B1" w:rsidP="006E539B">
            <w:pPr>
              <w:spacing w:after="0" w:line="240" w:lineRule="auto"/>
              <w:jc w:val="both"/>
              <w:rPr>
                <w:rFonts w:ascii="Times New Roman" w:eastAsia="Times New Roman" w:hAnsi="Times New Roman"/>
                <w:b/>
                <w:noProof/>
                <w:sz w:val="24"/>
                <w:szCs w:val="24"/>
              </w:rPr>
            </w:pPr>
            <w:r w:rsidRPr="003C0DF0">
              <w:rPr>
                <w:rFonts w:ascii="Times New Roman" w:hAnsi="Times New Roman"/>
                <w:b/>
                <w:noProof/>
                <w:sz w:val="24"/>
              </w:rPr>
              <w:t>Tuition fee</w:t>
            </w:r>
          </w:p>
          <w:p w14:paraId="6FD55CE6" w14:textId="77777777" w:rsidR="00ED16B1" w:rsidRPr="003C0DF0" w:rsidRDefault="00ED16B1" w:rsidP="006E539B">
            <w:pPr>
              <w:pStyle w:val="ListParagraph"/>
              <w:spacing w:after="0" w:line="240" w:lineRule="auto"/>
              <w:ind w:left="0"/>
              <w:jc w:val="both"/>
              <w:rPr>
                <w:rFonts w:ascii="Times New Roman" w:eastAsia="Times New Roman" w:hAnsi="Times New Roman"/>
                <w:i/>
                <w:noProof/>
                <w:sz w:val="24"/>
                <w:szCs w:val="24"/>
              </w:rPr>
            </w:pPr>
            <w:r w:rsidRPr="003C0DF0">
              <w:rPr>
                <w:rFonts w:ascii="Times New Roman" w:hAnsi="Times New Roman"/>
                <w:i/>
                <w:noProof/>
                <w:sz w:val="24"/>
              </w:rPr>
              <w:t>(million EUR)</w:t>
            </w:r>
          </w:p>
        </w:tc>
        <w:tc>
          <w:tcPr>
            <w:tcW w:w="909" w:type="pct"/>
            <w:shd w:val="clear" w:color="auto" w:fill="DBE5F1" w:themeFill="accent1" w:themeFillTint="33"/>
            <w:vAlign w:val="bottom"/>
          </w:tcPr>
          <w:p w14:paraId="3AB0D10B" w14:textId="77777777" w:rsidR="00D12977" w:rsidRDefault="00D12977" w:rsidP="006E539B">
            <w:pPr>
              <w:pStyle w:val="ListParagraph"/>
              <w:spacing w:after="0" w:line="240" w:lineRule="auto"/>
              <w:ind w:left="0"/>
              <w:jc w:val="both"/>
              <w:rPr>
                <w:rFonts w:ascii="Times New Roman" w:hAnsi="Times New Roman"/>
                <w:b/>
                <w:noProof/>
                <w:sz w:val="24"/>
              </w:rPr>
            </w:pPr>
            <w:r>
              <w:rPr>
                <w:rFonts w:ascii="Times New Roman" w:hAnsi="Times New Roman"/>
                <w:b/>
                <w:noProof/>
                <w:sz w:val="24"/>
              </w:rPr>
              <w:t>Total</w:t>
            </w:r>
          </w:p>
          <w:p w14:paraId="6759D0CC" w14:textId="10F5A468" w:rsidR="00ED16B1" w:rsidRPr="003C0DF0" w:rsidRDefault="00ED16B1" w:rsidP="006E539B">
            <w:pPr>
              <w:pStyle w:val="ListParagraph"/>
              <w:spacing w:after="0" w:line="240" w:lineRule="auto"/>
              <w:ind w:left="0"/>
              <w:jc w:val="both"/>
              <w:rPr>
                <w:rFonts w:ascii="Times New Roman" w:eastAsia="Times New Roman" w:hAnsi="Times New Roman"/>
                <w:i/>
                <w:noProof/>
                <w:sz w:val="24"/>
                <w:szCs w:val="24"/>
              </w:rPr>
            </w:pPr>
            <w:r w:rsidRPr="003C0DF0">
              <w:rPr>
                <w:rFonts w:ascii="Times New Roman" w:hAnsi="Times New Roman"/>
                <w:i/>
                <w:noProof/>
                <w:sz w:val="24"/>
              </w:rPr>
              <w:t>(million EUR)</w:t>
            </w:r>
          </w:p>
        </w:tc>
      </w:tr>
      <w:tr w:rsidR="00ED16B1" w:rsidRPr="003C0DF0" w14:paraId="0BEBD664" w14:textId="77777777" w:rsidTr="00D12977">
        <w:tc>
          <w:tcPr>
            <w:tcW w:w="739" w:type="pct"/>
            <w:vAlign w:val="bottom"/>
          </w:tcPr>
          <w:p w14:paraId="14BBB39A" w14:textId="2C5073BB" w:rsidR="00ED16B1" w:rsidRPr="003C0DF0" w:rsidRDefault="00ED16B1" w:rsidP="006E539B">
            <w:pPr>
              <w:pStyle w:val="ListParagraph"/>
              <w:spacing w:after="0" w:line="240" w:lineRule="auto"/>
              <w:ind w:left="0"/>
              <w:jc w:val="both"/>
              <w:rPr>
                <w:rFonts w:ascii="Times New Roman" w:eastAsia="Times New Roman" w:hAnsi="Times New Roman"/>
                <w:noProof/>
                <w:sz w:val="24"/>
                <w:szCs w:val="24"/>
              </w:rPr>
            </w:pPr>
            <w:r w:rsidRPr="003C0DF0">
              <w:rPr>
                <w:rFonts w:ascii="Times New Roman" w:hAnsi="Times New Roman"/>
                <w:noProof/>
                <w:sz w:val="24"/>
              </w:rPr>
              <w:t>2014</w:t>
            </w:r>
          </w:p>
        </w:tc>
        <w:tc>
          <w:tcPr>
            <w:tcW w:w="849" w:type="pct"/>
            <w:vAlign w:val="center"/>
          </w:tcPr>
          <w:p w14:paraId="7FE5CF04" w14:textId="77777777" w:rsidR="00ED16B1" w:rsidRPr="003C0DF0" w:rsidRDefault="00ED16B1" w:rsidP="00DE5551">
            <w:pPr>
              <w:pStyle w:val="ListParagraph"/>
              <w:spacing w:after="0" w:line="240" w:lineRule="auto"/>
              <w:ind w:left="0"/>
              <w:jc w:val="center"/>
              <w:rPr>
                <w:rFonts w:ascii="Times New Roman" w:hAnsi="Times New Roman"/>
                <w:noProof/>
                <w:sz w:val="24"/>
                <w:szCs w:val="24"/>
              </w:rPr>
            </w:pPr>
            <w:r w:rsidRPr="003C0DF0">
              <w:rPr>
                <w:rFonts w:ascii="Times New Roman" w:hAnsi="Times New Roman"/>
                <w:noProof/>
                <w:sz w:val="24"/>
              </w:rPr>
              <w:t>85</w:t>
            </w:r>
          </w:p>
        </w:tc>
        <w:tc>
          <w:tcPr>
            <w:tcW w:w="885" w:type="pct"/>
            <w:vAlign w:val="center"/>
          </w:tcPr>
          <w:p w14:paraId="2E43D5DF" w14:textId="77777777" w:rsidR="00ED16B1" w:rsidRPr="003C0DF0" w:rsidRDefault="00ED16B1" w:rsidP="00DE5551">
            <w:pPr>
              <w:pStyle w:val="ListParagraph"/>
              <w:spacing w:after="0" w:line="240" w:lineRule="auto"/>
              <w:ind w:left="0"/>
              <w:jc w:val="center"/>
              <w:rPr>
                <w:rFonts w:ascii="Times New Roman" w:hAnsi="Times New Roman"/>
                <w:noProof/>
                <w:sz w:val="24"/>
                <w:szCs w:val="24"/>
              </w:rPr>
            </w:pPr>
            <w:r w:rsidRPr="003C0DF0">
              <w:rPr>
                <w:rFonts w:ascii="Times New Roman" w:hAnsi="Times New Roman"/>
                <w:noProof/>
                <w:sz w:val="24"/>
              </w:rPr>
              <w:t>0</w:t>
            </w:r>
          </w:p>
        </w:tc>
        <w:tc>
          <w:tcPr>
            <w:tcW w:w="885" w:type="pct"/>
            <w:vAlign w:val="center"/>
          </w:tcPr>
          <w:p w14:paraId="7B70AAF1" w14:textId="77777777" w:rsidR="00ED16B1" w:rsidRPr="003C0DF0" w:rsidRDefault="00ED16B1" w:rsidP="00DE5551">
            <w:pPr>
              <w:pStyle w:val="ListParagraph"/>
              <w:spacing w:after="0" w:line="240" w:lineRule="auto"/>
              <w:ind w:left="0"/>
              <w:jc w:val="center"/>
              <w:rPr>
                <w:rFonts w:ascii="Times New Roman" w:hAnsi="Times New Roman"/>
                <w:noProof/>
                <w:sz w:val="24"/>
                <w:szCs w:val="24"/>
              </w:rPr>
            </w:pPr>
            <w:r w:rsidRPr="003C0DF0">
              <w:rPr>
                <w:rFonts w:ascii="Times New Roman" w:hAnsi="Times New Roman"/>
                <w:noProof/>
                <w:sz w:val="24"/>
              </w:rPr>
              <w:t>0</w:t>
            </w:r>
          </w:p>
        </w:tc>
        <w:tc>
          <w:tcPr>
            <w:tcW w:w="734" w:type="pct"/>
            <w:vAlign w:val="center"/>
          </w:tcPr>
          <w:p w14:paraId="2C5AE513" w14:textId="77777777" w:rsidR="00ED16B1" w:rsidRPr="003C0DF0" w:rsidRDefault="00ED16B1" w:rsidP="00DE5551">
            <w:pPr>
              <w:pStyle w:val="ListParagraph"/>
              <w:spacing w:after="0" w:line="240" w:lineRule="auto"/>
              <w:ind w:left="0"/>
              <w:jc w:val="center"/>
              <w:rPr>
                <w:rFonts w:ascii="Times New Roman" w:hAnsi="Times New Roman"/>
                <w:noProof/>
                <w:sz w:val="24"/>
                <w:szCs w:val="24"/>
              </w:rPr>
            </w:pPr>
            <w:r w:rsidRPr="003C0DF0">
              <w:rPr>
                <w:rFonts w:ascii="Times New Roman" w:hAnsi="Times New Roman"/>
                <w:noProof/>
                <w:sz w:val="24"/>
              </w:rPr>
              <w:t>15</w:t>
            </w:r>
          </w:p>
        </w:tc>
        <w:tc>
          <w:tcPr>
            <w:tcW w:w="909" w:type="pct"/>
            <w:vAlign w:val="center"/>
          </w:tcPr>
          <w:p w14:paraId="3612D7C1" w14:textId="77777777" w:rsidR="00ED16B1" w:rsidRPr="003C0DF0" w:rsidRDefault="00ED16B1" w:rsidP="00DE5551">
            <w:pPr>
              <w:pStyle w:val="ListParagraph"/>
              <w:spacing w:after="0" w:line="240" w:lineRule="auto"/>
              <w:ind w:left="0"/>
              <w:jc w:val="center"/>
              <w:rPr>
                <w:rFonts w:ascii="Times New Roman" w:hAnsi="Times New Roman"/>
                <w:b/>
                <w:bCs/>
                <w:noProof/>
                <w:sz w:val="24"/>
                <w:szCs w:val="24"/>
              </w:rPr>
            </w:pPr>
            <w:r w:rsidRPr="003C0DF0">
              <w:rPr>
                <w:rFonts w:ascii="Times New Roman" w:hAnsi="Times New Roman"/>
                <w:b/>
                <w:noProof/>
                <w:sz w:val="24"/>
              </w:rPr>
              <w:t>100</w:t>
            </w:r>
          </w:p>
        </w:tc>
      </w:tr>
      <w:tr w:rsidR="00ED16B1" w:rsidRPr="003C0DF0" w14:paraId="5512AF43" w14:textId="77777777" w:rsidTr="00D12977">
        <w:tc>
          <w:tcPr>
            <w:tcW w:w="739" w:type="pct"/>
            <w:shd w:val="clear" w:color="auto" w:fill="auto"/>
            <w:vAlign w:val="bottom"/>
          </w:tcPr>
          <w:p w14:paraId="718C748B" w14:textId="77777777" w:rsidR="00ED16B1" w:rsidRPr="003C0DF0" w:rsidRDefault="00ED16B1" w:rsidP="006E539B">
            <w:pPr>
              <w:pStyle w:val="ListParagraph"/>
              <w:spacing w:after="0" w:line="240" w:lineRule="auto"/>
              <w:ind w:left="0"/>
              <w:jc w:val="both"/>
              <w:rPr>
                <w:rFonts w:ascii="Times New Roman" w:eastAsia="Times New Roman" w:hAnsi="Times New Roman"/>
                <w:noProof/>
                <w:sz w:val="24"/>
                <w:szCs w:val="24"/>
              </w:rPr>
            </w:pPr>
            <w:r w:rsidRPr="003C0DF0">
              <w:rPr>
                <w:rFonts w:ascii="Times New Roman" w:hAnsi="Times New Roman"/>
                <w:noProof/>
                <w:sz w:val="24"/>
              </w:rPr>
              <w:t>2015</w:t>
            </w:r>
          </w:p>
        </w:tc>
        <w:tc>
          <w:tcPr>
            <w:tcW w:w="849" w:type="pct"/>
            <w:shd w:val="clear" w:color="auto" w:fill="auto"/>
            <w:vAlign w:val="center"/>
          </w:tcPr>
          <w:p w14:paraId="345FFDDF" w14:textId="77777777" w:rsidR="00ED16B1" w:rsidRPr="003C0DF0" w:rsidRDefault="00ED16B1" w:rsidP="00DE5551">
            <w:pPr>
              <w:pStyle w:val="ListParagraph"/>
              <w:spacing w:after="0" w:line="240" w:lineRule="auto"/>
              <w:ind w:left="0"/>
              <w:jc w:val="center"/>
              <w:rPr>
                <w:rFonts w:ascii="Times New Roman" w:hAnsi="Times New Roman"/>
                <w:noProof/>
                <w:sz w:val="24"/>
                <w:szCs w:val="24"/>
              </w:rPr>
            </w:pPr>
            <w:r w:rsidRPr="003C0DF0">
              <w:rPr>
                <w:rFonts w:ascii="Times New Roman" w:hAnsi="Times New Roman"/>
                <w:noProof/>
                <w:sz w:val="24"/>
              </w:rPr>
              <w:t>85</w:t>
            </w:r>
          </w:p>
        </w:tc>
        <w:tc>
          <w:tcPr>
            <w:tcW w:w="885" w:type="pct"/>
            <w:shd w:val="clear" w:color="auto" w:fill="auto"/>
            <w:vAlign w:val="center"/>
          </w:tcPr>
          <w:p w14:paraId="619B13C6" w14:textId="77777777" w:rsidR="00ED16B1" w:rsidRPr="003C0DF0" w:rsidRDefault="00ED16B1" w:rsidP="00DE5551">
            <w:pPr>
              <w:pStyle w:val="ListParagraph"/>
              <w:spacing w:after="0" w:line="240" w:lineRule="auto"/>
              <w:ind w:left="0"/>
              <w:jc w:val="center"/>
              <w:rPr>
                <w:rFonts w:ascii="Times New Roman" w:hAnsi="Times New Roman"/>
                <w:noProof/>
                <w:sz w:val="24"/>
                <w:szCs w:val="24"/>
              </w:rPr>
            </w:pPr>
            <w:r w:rsidRPr="003C0DF0">
              <w:rPr>
                <w:rFonts w:ascii="Times New Roman" w:hAnsi="Times New Roman"/>
                <w:noProof/>
                <w:sz w:val="24"/>
              </w:rPr>
              <w:t>7</w:t>
            </w:r>
          </w:p>
        </w:tc>
        <w:tc>
          <w:tcPr>
            <w:tcW w:w="885" w:type="pct"/>
            <w:shd w:val="clear" w:color="auto" w:fill="auto"/>
            <w:vAlign w:val="center"/>
          </w:tcPr>
          <w:p w14:paraId="155282E0" w14:textId="77777777" w:rsidR="00ED16B1" w:rsidRPr="003C0DF0" w:rsidRDefault="00ED16B1" w:rsidP="00DE5551">
            <w:pPr>
              <w:pStyle w:val="ListParagraph"/>
              <w:spacing w:after="0" w:line="240" w:lineRule="auto"/>
              <w:ind w:left="0"/>
              <w:jc w:val="center"/>
              <w:rPr>
                <w:rFonts w:ascii="Times New Roman" w:hAnsi="Times New Roman"/>
                <w:noProof/>
                <w:sz w:val="24"/>
                <w:szCs w:val="24"/>
              </w:rPr>
            </w:pPr>
            <w:r w:rsidRPr="003C0DF0">
              <w:rPr>
                <w:rFonts w:ascii="Times New Roman" w:hAnsi="Times New Roman"/>
                <w:noProof/>
                <w:sz w:val="24"/>
              </w:rPr>
              <w:t>5</w:t>
            </w:r>
          </w:p>
        </w:tc>
        <w:tc>
          <w:tcPr>
            <w:tcW w:w="734" w:type="pct"/>
            <w:shd w:val="clear" w:color="auto" w:fill="auto"/>
            <w:vAlign w:val="center"/>
          </w:tcPr>
          <w:p w14:paraId="19738D17" w14:textId="77777777" w:rsidR="00ED16B1" w:rsidRPr="003C0DF0" w:rsidRDefault="00ED16B1" w:rsidP="00DE5551">
            <w:pPr>
              <w:pStyle w:val="ListParagraph"/>
              <w:spacing w:after="0" w:line="240" w:lineRule="auto"/>
              <w:ind w:left="0"/>
              <w:jc w:val="center"/>
              <w:rPr>
                <w:rFonts w:ascii="Times New Roman" w:hAnsi="Times New Roman"/>
                <w:noProof/>
                <w:sz w:val="24"/>
                <w:szCs w:val="24"/>
              </w:rPr>
            </w:pPr>
            <w:r w:rsidRPr="003C0DF0">
              <w:rPr>
                <w:rFonts w:ascii="Times New Roman" w:hAnsi="Times New Roman"/>
                <w:noProof/>
                <w:sz w:val="24"/>
              </w:rPr>
              <w:t>15</w:t>
            </w:r>
          </w:p>
        </w:tc>
        <w:tc>
          <w:tcPr>
            <w:tcW w:w="909" w:type="pct"/>
            <w:shd w:val="clear" w:color="auto" w:fill="auto"/>
            <w:vAlign w:val="center"/>
          </w:tcPr>
          <w:p w14:paraId="00F86A4D" w14:textId="77777777" w:rsidR="00ED16B1" w:rsidRPr="003C0DF0" w:rsidRDefault="00ED16B1" w:rsidP="00DE5551">
            <w:pPr>
              <w:pStyle w:val="ListParagraph"/>
              <w:spacing w:after="0" w:line="240" w:lineRule="auto"/>
              <w:ind w:left="0"/>
              <w:jc w:val="center"/>
              <w:rPr>
                <w:rFonts w:ascii="Times New Roman" w:hAnsi="Times New Roman"/>
                <w:b/>
                <w:bCs/>
                <w:noProof/>
                <w:sz w:val="24"/>
                <w:szCs w:val="24"/>
              </w:rPr>
            </w:pPr>
            <w:r w:rsidRPr="003C0DF0">
              <w:rPr>
                <w:rFonts w:ascii="Times New Roman" w:hAnsi="Times New Roman"/>
                <w:b/>
                <w:noProof/>
                <w:sz w:val="24"/>
              </w:rPr>
              <w:t>112</w:t>
            </w:r>
          </w:p>
        </w:tc>
      </w:tr>
      <w:tr w:rsidR="00ED16B1" w:rsidRPr="003C0DF0" w14:paraId="70637091" w14:textId="77777777" w:rsidTr="00D12977">
        <w:tc>
          <w:tcPr>
            <w:tcW w:w="739" w:type="pct"/>
            <w:shd w:val="clear" w:color="auto" w:fill="auto"/>
            <w:vAlign w:val="bottom"/>
          </w:tcPr>
          <w:p w14:paraId="48DA8C62" w14:textId="77777777" w:rsidR="00ED16B1" w:rsidRPr="003C0DF0" w:rsidRDefault="00ED16B1" w:rsidP="006E539B">
            <w:pPr>
              <w:pStyle w:val="ListParagraph"/>
              <w:spacing w:after="0" w:line="240" w:lineRule="auto"/>
              <w:ind w:left="0"/>
              <w:jc w:val="both"/>
              <w:rPr>
                <w:rFonts w:ascii="Times New Roman" w:eastAsia="Times New Roman" w:hAnsi="Times New Roman"/>
                <w:noProof/>
                <w:sz w:val="24"/>
                <w:szCs w:val="24"/>
              </w:rPr>
            </w:pPr>
            <w:r w:rsidRPr="003C0DF0">
              <w:rPr>
                <w:rFonts w:ascii="Times New Roman" w:hAnsi="Times New Roman"/>
                <w:noProof/>
                <w:sz w:val="24"/>
              </w:rPr>
              <w:t>2016</w:t>
            </w:r>
          </w:p>
        </w:tc>
        <w:tc>
          <w:tcPr>
            <w:tcW w:w="849" w:type="pct"/>
            <w:shd w:val="clear" w:color="auto" w:fill="auto"/>
            <w:vAlign w:val="center"/>
          </w:tcPr>
          <w:p w14:paraId="03487840" w14:textId="77777777" w:rsidR="00ED16B1" w:rsidRPr="003C0DF0" w:rsidRDefault="00ED16B1" w:rsidP="00DE5551">
            <w:pPr>
              <w:pStyle w:val="ListParagraph"/>
              <w:spacing w:after="0" w:line="240" w:lineRule="auto"/>
              <w:ind w:left="0"/>
              <w:jc w:val="center"/>
              <w:rPr>
                <w:rFonts w:ascii="Times New Roman" w:hAnsi="Times New Roman"/>
                <w:noProof/>
                <w:sz w:val="24"/>
                <w:szCs w:val="24"/>
              </w:rPr>
            </w:pPr>
            <w:r w:rsidRPr="003C0DF0">
              <w:rPr>
                <w:rFonts w:ascii="Times New Roman" w:hAnsi="Times New Roman"/>
                <w:noProof/>
                <w:sz w:val="24"/>
              </w:rPr>
              <w:t>85</w:t>
            </w:r>
          </w:p>
        </w:tc>
        <w:tc>
          <w:tcPr>
            <w:tcW w:w="885" w:type="pct"/>
            <w:shd w:val="clear" w:color="auto" w:fill="auto"/>
            <w:vAlign w:val="center"/>
          </w:tcPr>
          <w:p w14:paraId="0E39F144" w14:textId="77777777" w:rsidR="00ED16B1" w:rsidRPr="003C0DF0" w:rsidRDefault="00ED16B1" w:rsidP="00DE5551">
            <w:pPr>
              <w:pStyle w:val="ListParagraph"/>
              <w:spacing w:after="0" w:line="240" w:lineRule="auto"/>
              <w:ind w:left="0"/>
              <w:jc w:val="center"/>
              <w:rPr>
                <w:rFonts w:ascii="Times New Roman" w:hAnsi="Times New Roman"/>
                <w:noProof/>
                <w:sz w:val="24"/>
                <w:szCs w:val="24"/>
              </w:rPr>
            </w:pPr>
            <w:r w:rsidRPr="003C0DF0">
              <w:rPr>
                <w:rFonts w:ascii="Times New Roman" w:hAnsi="Times New Roman"/>
                <w:noProof/>
                <w:sz w:val="24"/>
              </w:rPr>
              <w:t>7.4</w:t>
            </w:r>
          </w:p>
        </w:tc>
        <w:tc>
          <w:tcPr>
            <w:tcW w:w="885" w:type="pct"/>
            <w:shd w:val="clear" w:color="auto" w:fill="auto"/>
            <w:vAlign w:val="center"/>
          </w:tcPr>
          <w:p w14:paraId="5FE97227" w14:textId="77777777" w:rsidR="00ED16B1" w:rsidRPr="003C0DF0" w:rsidRDefault="00ED16B1" w:rsidP="00DE5551">
            <w:pPr>
              <w:pStyle w:val="ListParagraph"/>
              <w:spacing w:after="0" w:line="240" w:lineRule="auto"/>
              <w:ind w:left="0"/>
              <w:jc w:val="center"/>
              <w:rPr>
                <w:rFonts w:ascii="Times New Roman" w:hAnsi="Times New Roman"/>
                <w:noProof/>
                <w:sz w:val="24"/>
                <w:szCs w:val="24"/>
              </w:rPr>
            </w:pPr>
            <w:r w:rsidRPr="003C0DF0">
              <w:rPr>
                <w:rFonts w:ascii="Times New Roman" w:hAnsi="Times New Roman"/>
                <w:noProof/>
                <w:sz w:val="24"/>
              </w:rPr>
              <w:t>5.3</w:t>
            </w:r>
          </w:p>
        </w:tc>
        <w:tc>
          <w:tcPr>
            <w:tcW w:w="734" w:type="pct"/>
            <w:shd w:val="clear" w:color="auto" w:fill="auto"/>
            <w:vAlign w:val="center"/>
          </w:tcPr>
          <w:p w14:paraId="19CD38B5" w14:textId="77777777" w:rsidR="00ED16B1" w:rsidRPr="003C0DF0" w:rsidRDefault="00ED16B1" w:rsidP="00DE5551">
            <w:pPr>
              <w:pStyle w:val="ListParagraph"/>
              <w:spacing w:after="0" w:line="240" w:lineRule="auto"/>
              <w:ind w:left="0"/>
              <w:jc w:val="center"/>
              <w:rPr>
                <w:rFonts w:ascii="Times New Roman" w:hAnsi="Times New Roman"/>
                <w:noProof/>
                <w:sz w:val="24"/>
                <w:szCs w:val="24"/>
              </w:rPr>
            </w:pPr>
            <w:r w:rsidRPr="003C0DF0">
              <w:rPr>
                <w:rFonts w:ascii="Times New Roman" w:hAnsi="Times New Roman"/>
                <w:noProof/>
                <w:sz w:val="24"/>
              </w:rPr>
              <w:t>15</w:t>
            </w:r>
          </w:p>
        </w:tc>
        <w:tc>
          <w:tcPr>
            <w:tcW w:w="909" w:type="pct"/>
            <w:shd w:val="clear" w:color="auto" w:fill="auto"/>
            <w:vAlign w:val="center"/>
          </w:tcPr>
          <w:p w14:paraId="710538DD" w14:textId="77777777" w:rsidR="00ED16B1" w:rsidRPr="003C0DF0" w:rsidRDefault="00ED16B1" w:rsidP="00DE5551">
            <w:pPr>
              <w:pStyle w:val="ListParagraph"/>
              <w:spacing w:after="0" w:line="240" w:lineRule="auto"/>
              <w:ind w:left="0"/>
              <w:jc w:val="center"/>
              <w:rPr>
                <w:rFonts w:ascii="Times New Roman" w:hAnsi="Times New Roman"/>
                <w:b/>
                <w:bCs/>
                <w:noProof/>
                <w:sz w:val="24"/>
                <w:szCs w:val="24"/>
              </w:rPr>
            </w:pPr>
            <w:r w:rsidRPr="003C0DF0">
              <w:rPr>
                <w:rFonts w:ascii="Times New Roman" w:hAnsi="Times New Roman"/>
                <w:b/>
                <w:noProof/>
                <w:sz w:val="24"/>
              </w:rPr>
              <w:t>112.6</w:t>
            </w:r>
          </w:p>
        </w:tc>
      </w:tr>
      <w:tr w:rsidR="00ED16B1" w:rsidRPr="003C0DF0" w14:paraId="25B95EA5" w14:textId="77777777" w:rsidTr="00D12977">
        <w:tc>
          <w:tcPr>
            <w:tcW w:w="739" w:type="pct"/>
            <w:shd w:val="clear" w:color="auto" w:fill="auto"/>
            <w:vAlign w:val="bottom"/>
          </w:tcPr>
          <w:p w14:paraId="31E2554D" w14:textId="77777777" w:rsidR="00ED16B1" w:rsidRPr="003C0DF0" w:rsidRDefault="00ED16B1" w:rsidP="006E539B">
            <w:pPr>
              <w:pStyle w:val="ListParagraph"/>
              <w:spacing w:after="0" w:line="240" w:lineRule="auto"/>
              <w:ind w:left="0"/>
              <w:jc w:val="both"/>
              <w:rPr>
                <w:rFonts w:ascii="Times New Roman" w:eastAsia="Times New Roman" w:hAnsi="Times New Roman"/>
                <w:noProof/>
                <w:sz w:val="24"/>
                <w:szCs w:val="24"/>
              </w:rPr>
            </w:pPr>
            <w:r w:rsidRPr="003C0DF0">
              <w:rPr>
                <w:rFonts w:ascii="Times New Roman" w:hAnsi="Times New Roman"/>
                <w:noProof/>
                <w:sz w:val="24"/>
              </w:rPr>
              <w:t>2017</w:t>
            </w:r>
          </w:p>
        </w:tc>
        <w:tc>
          <w:tcPr>
            <w:tcW w:w="849" w:type="pct"/>
            <w:shd w:val="clear" w:color="auto" w:fill="auto"/>
            <w:vAlign w:val="center"/>
          </w:tcPr>
          <w:p w14:paraId="52EF30BB" w14:textId="77777777" w:rsidR="00ED16B1" w:rsidRPr="003C0DF0" w:rsidRDefault="00ED16B1" w:rsidP="00DE5551">
            <w:pPr>
              <w:pStyle w:val="ListParagraph"/>
              <w:spacing w:after="0" w:line="240" w:lineRule="auto"/>
              <w:ind w:left="0"/>
              <w:jc w:val="center"/>
              <w:rPr>
                <w:rFonts w:ascii="Times New Roman" w:hAnsi="Times New Roman"/>
                <w:noProof/>
                <w:sz w:val="24"/>
                <w:szCs w:val="24"/>
              </w:rPr>
            </w:pPr>
            <w:r w:rsidRPr="003C0DF0">
              <w:rPr>
                <w:rFonts w:ascii="Times New Roman" w:hAnsi="Times New Roman"/>
                <w:noProof/>
                <w:sz w:val="24"/>
              </w:rPr>
              <w:t>85</w:t>
            </w:r>
          </w:p>
        </w:tc>
        <w:tc>
          <w:tcPr>
            <w:tcW w:w="885" w:type="pct"/>
            <w:shd w:val="clear" w:color="auto" w:fill="auto"/>
            <w:vAlign w:val="center"/>
          </w:tcPr>
          <w:p w14:paraId="3D2D53E5" w14:textId="77777777" w:rsidR="00ED16B1" w:rsidRPr="003C0DF0" w:rsidRDefault="00ED16B1" w:rsidP="00DE5551">
            <w:pPr>
              <w:pStyle w:val="ListParagraph"/>
              <w:spacing w:after="0" w:line="240" w:lineRule="auto"/>
              <w:ind w:left="0"/>
              <w:jc w:val="center"/>
              <w:rPr>
                <w:rFonts w:ascii="Times New Roman" w:hAnsi="Times New Roman"/>
                <w:noProof/>
                <w:sz w:val="24"/>
                <w:szCs w:val="24"/>
              </w:rPr>
            </w:pPr>
            <w:r w:rsidRPr="003C0DF0">
              <w:rPr>
                <w:rFonts w:ascii="Times New Roman" w:hAnsi="Times New Roman"/>
                <w:noProof/>
                <w:sz w:val="24"/>
              </w:rPr>
              <w:t>7.7</w:t>
            </w:r>
          </w:p>
        </w:tc>
        <w:tc>
          <w:tcPr>
            <w:tcW w:w="885" w:type="pct"/>
            <w:shd w:val="clear" w:color="auto" w:fill="auto"/>
            <w:vAlign w:val="center"/>
          </w:tcPr>
          <w:p w14:paraId="0EF8497E" w14:textId="77777777" w:rsidR="00ED16B1" w:rsidRPr="003C0DF0" w:rsidRDefault="00ED16B1" w:rsidP="00DE5551">
            <w:pPr>
              <w:pStyle w:val="ListParagraph"/>
              <w:spacing w:after="0" w:line="240" w:lineRule="auto"/>
              <w:ind w:left="0"/>
              <w:jc w:val="center"/>
              <w:rPr>
                <w:rFonts w:ascii="Times New Roman" w:hAnsi="Times New Roman"/>
                <w:noProof/>
                <w:sz w:val="24"/>
                <w:szCs w:val="24"/>
              </w:rPr>
            </w:pPr>
            <w:r w:rsidRPr="003C0DF0">
              <w:rPr>
                <w:rFonts w:ascii="Times New Roman" w:hAnsi="Times New Roman"/>
                <w:noProof/>
                <w:sz w:val="24"/>
              </w:rPr>
              <w:t>5.5</w:t>
            </w:r>
          </w:p>
        </w:tc>
        <w:tc>
          <w:tcPr>
            <w:tcW w:w="734" w:type="pct"/>
            <w:shd w:val="clear" w:color="auto" w:fill="auto"/>
            <w:vAlign w:val="center"/>
          </w:tcPr>
          <w:p w14:paraId="66281D52" w14:textId="77777777" w:rsidR="00ED16B1" w:rsidRPr="003C0DF0" w:rsidRDefault="00ED16B1" w:rsidP="00DE5551">
            <w:pPr>
              <w:pStyle w:val="ListParagraph"/>
              <w:spacing w:after="0" w:line="240" w:lineRule="auto"/>
              <w:ind w:left="0"/>
              <w:jc w:val="center"/>
              <w:rPr>
                <w:rFonts w:ascii="Times New Roman" w:hAnsi="Times New Roman"/>
                <w:noProof/>
                <w:sz w:val="24"/>
                <w:szCs w:val="24"/>
              </w:rPr>
            </w:pPr>
            <w:r w:rsidRPr="003C0DF0">
              <w:rPr>
                <w:rFonts w:ascii="Times New Roman" w:hAnsi="Times New Roman"/>
                <w:noProof/>
                <w:sz w:val="24"/>
              </w:rPr>
              <w:t>15</w:t>
            </w:r>
          </w:p>
        </w:tc>
        <w:tc>
          <w:tcPr>
            <w:tcW w:w="909" w:type="pct"/>
            <w:shd w:val="clear" w:color="auto" w:fill="auto"/>
            <w:vAlign w:val="center"/>
          </w:tcPr>
          <w:p w14:paraId="2BF9B59F" w14:textId="77777777" w:rsidR="00ED16B1" w:rsidRPr="003C0DF0" w:rsidRDefault="00ED16B1" w:rsidP="00DE5551">
            <w:pPr>
              <w:pStyle w:val="ListParagraph"/>
              <w:spacing w:after="0" w:line="240" w:lineRule="auto"/>
              <w:ind w:left="0"/>
              <w:jc w:val="center"/>
              <w:rPr>
                <w:rFonts w:ascii="Times New Roman" w:hAnsi="Times New Roman"/>
                <w:b/>
                <w:bCs/>
                <w:noProof/>
                <w:sz w:val="24"/>
                <w:szCs w:val="24"/>
              </w:rPr>
            </w:pPr>
            <w:r w:rsidRPr="003C0DF0">
              <w:rPr>
                <w:rFonts w:ascii="Times New Roman" w:hAnsi="Times New Roman"/>
                <w:b/>
                <w:noProof/>
                <w:sz w:val="24"/>
              </w:rPr>
              <w:t>113.2</w:t>
            </w:r>
          </w:p>
        </w:tc>
      </w:tr>
      <w:tr w:rsidR="00ED16B1" w:rsidRPr="003C0DF0" w14:paraId="2E3CE56C" w14:textId="77777777" w:rsidTr="00D12977">
        <w:tc>
          <w:tcPr>
            <w:tcW w:w="739" w:type="pct"/>
            <w:vAlign w:val="bottom"/>
          </w:tcPr>
          <w:p w14:paraId="5370972A" w14:textId="77777777" w:rsidR="00ED16B1" w:rsidRPr="003C0DF0" w:rsidRDefault="00ED16B1" w:rsidP="006E539B">
            <w:pPr>
              <w:pStyle w:val="ListParagraph"/>
              <w:spacing w:after="0" w:line="240" w:lineRule="auto"/>
              <w:ind w:left="0"/>
              <w:jc w:val="both"/>
              <w:rPr>
                <w:rFonts w:ascii="Times New Roman" w:eastAsia="Times New Roman" w:hAnsi="Times New Roman"/>
                <w:noProof/>
                <w:sz w:val="24"/>
                <w:szCs w:val="24"/>
              </w:rPr>
            </w:pPr>
            <w:r w:rsidRPr="003C0DF0">
              <w:rPr>
                <w:rFonts w:ascii="Times New Roman" w:hAnsi="Times New Roman"/>
                <w:noProof/>
                <w:sz w:val="24"/>
              </w:rPr>
              <w:t>2018</w:t>
            </w:r>
          </w:p>
        </w:tc>
        <w:tc>
          <w:tcPr>
            <w:tcW w:w="849" w:type="pct"/>
            <w:vAlign w:val="center"/>
          </w:tcPr>
          <w:p w14:paraId="2163FB14" w14:textId="77777777" w:rsidR="00ED16B1" w:rsidRPr="003C0DF0" w:rsidRDefault="00ED16B1" w:rsidP="00DE5551">
            <w:pPr>
              <w:pStyle w:val="ListParagraph"/>
              <w:spacing w:after="0" w:line="240" w:lineRule="auto"/>
              <w:ind w:left="0"/>
              <w:jc w:val="center"/>
              <w:rPr>
                <w:rFonts w:ascii="Times New Roman" w:hAnsi="Times New Roman"/>
                <w:noProof/>
                <w:sz w:val="24"/>
                <w:szCs w:val="24"/>
              </w:rPr>
            </w:pPr>
            <w:r w:rsidRPr="003C0DF0">
              <w:rPr>
                <w:rFonts w:ascii="Times New Roman" w:hAnsi="Times New Roman"/>
                <w:noProof/>
                <w:sz w:val="24"/>
              </w:rPr>
              <w:t>85</w:t>
            </w:r>
          </w:p>
        </w:tc>
        <w:tc>
          <w:tcPr>
            <w:tcW w:w="885" w:type="pct"/>
            <w:vAlign w:val="center"/>
          </w:tcPr>
          <w:p w14:paraId="13A3F96C" w14:textId="77777777" w:rsidR="00ED16B1" w:rsidRPr="003C0DF0" w:rsidRDefault="00ED16B1" w:rsidP="00DE5551">
            <w:pPr>
              <w:pStyle w:val="ListParagraph"/>
              <w:spacing w:after="0" w:line="240" w:lineRule="auto"/>
              <w:ind w:left="0"/>
              <w:jc w:val="center"/>
              <w:rPr>
                <w:rFonts w:ascii="Times New Roman" w:hAnsi="Times New Roman"/>
                <w:noProof/>
                <w:sz w:val="24"/>
                <w:szCs w:val="24"/>
              </w:rPr>
            </w:pPr>
            <w:r w:rsidRPr="003C0DF0">
              <w:rPr>
                <w:rFonts w:ascii="Times New Roman" w:hAnsi="Times New Roman"/>
                <w:noProof/>
                <w:sz w:val="24"/>
              </w:rPr>
              <w:t>8.1</w:t>
            </w:r>
          </w:p>
        </w:tc>
        <w:tc>
          <w:tcPr>
            <w:tcW w:w="885" w:type="pct"/>
            <w:vAlign w:val="center"/>
          </w:tcPr>
          <w:p w14:paraId="14A45ED5" w14:textId="77777777" w:rsidR="00ED16B1" w:rsidRPr="003C0DF0" w:rsidRDefault="00ED16B1" w:rsidP="00DE5551">
            <w:pPr>
              <w:pStyle w:val="ListParagraph"/>
              <w:spacing w:after="0" w:line="240" w:lineRule="auto"/>
              <w:ind w:left="0"/>
              <w:jc w:val="center"/>
              <w:rPr>
                <w:rFonts w:ascii="Times New Roman" w:hAnsi="Times New Roman"/>
                <w:noProof/>
                <w:sz w:val="24"/>
                <w:szCs w:val="24"/>
              </w:rPr>
            </w:pPr>
            <w:r w:rsidRPr="003C0DF0">
              <w:rPr>
                <w:rFonts w:ascii="Times New Roman" w:hAnsi="Times New Roman"/>
                <w:noProof/>
                <w:sz w:val="24"/>
              </w:rPr>
              <w:t>5.8</w:t>
            </w:r>
          </w:p>
        </w:tc>
        <w:tc>
          <w:tcPr>
            <w:tcW w:w="734" w:type="pct"/>
            <w:vAlign w:val="center"/>
          </w:tcPr>
          <w:p w14:paraId="00D6C682" w14:textId="77777777" w:rsidR="00ED16B1" w:rsidRPr="003C0DF0" w:rsidRDefault="00ED16B1" w:rsidP="00DE5551">
            <w:pPr>
              <w:pStyle w:val="ListParagraph"/>
              <w:spacing w:after="0" w:line="240" w:lineRule="auto"/>
              <w:ind w:left="0"/>
              <w:jc w:val="center"/>
              <w:rPr>
                <w:rFonts w:ascii="Times New Roman" w:hAnsi="Times New Roman"/>
                <w:noProof/>
                <w:sz w:val="24"/>
                <w:szCs w:val="24"/>
              </w:rPr>
            </w:pPr>
            <w:r w:rsidRPr="003C0DF0">
              <w:rPr>
                <w:rFonts w:ascii="Times New Roman" w:hAnsi="Times New Roman"/>
                <w:noProof/>
                <w:sz w:val="24"/>
              </w:rPr>
              <w:t>15</w:t>
            </w:r>
          </w:p>
        </w:tc>
        <w:tc>
          <w:tcPr>
            <w:tcW w:w="909" w:type="pct"/>
            <w:vAlign w:val="center"/>
          </w:tcPr>
          <w:p w14:paraId="4A8A1463" w14:textId="77777777" w:rsidR="00ED16B1" w:rsidRPr="003C0DF0" w:rsidRDefault="00ED16B1" w:rsidP="00DE5551">
            <w:pPr>
              <w:pStyle w:val="ListParagraph"/>
              <w:spacing w:after="0" w:line="240" w:lineRule="auto"/>
              <w:ind w:left="0"/>
              <w:jc w:val="center"/>
              <w:rPr>
                <w:rFonts w:ascii="Times New Roman" w:hAnsi="Times New Roman"/>
                <w:b/>
                <w:bCs/>
                <w:noProof/>
                <w:sz w:val="24"/>
                <w:szCs w:val="24"/>
              </w:rPr>
            </w:pPr>
            <w:r w:rsidRPr="003C0DF0">
              <w:rPr>
                <w:rFonts w:ascii="Times New Roman" w:hAnsi="Times New Roman"/>
                <w:b/>
                <w:noProof/>
                <w:sz w:val="24"/>
              </w:rPr>
              <w:t>113.9</w:t>
            </w:r>
          </w:p>
        </w:tc>
      </w:tr>
      <w:tr w:rsidR="00ED16B1" w:rsidRPr="003C0DF0" w14:paraId="2A139471" w14:textId="77777777" w:rsidTr="00D12977">
        <w:tc>
          <w:tcPr>
            <w:tcW w:w="739" w:type="pct"/>
            <w:vAlign w:val="bottom"/>
          </w:tcPr>
          <w:p w14:paraId="713A1BCD" w14:textId="77777777" w:rsidR="00ED16B1" w:rsidRPr="003C0DF0" w:rsidRDefault="00ED16B1" w:rsidP="006E539B">
            <w:pPr>
              <w:pStyle w:val="ListParagraph"/>
              <w:spacing w:after="0" w:line="240" w:lineRule="auto"/>
              <w:ind w:left="0"/>
              <w:jc w:val="both"/>
              <w:rPr>
                <w:rFonts w:ascii="Times New Roman" w:eastAsia="Times New Roman" w:hAnsi="Times New Roman"/>
                <w:noProof/>
                <w:sz w:val="24"/>
                <w:szCs w:val="24"/>
              </w:rPr>
            </w:pPr>
            <w:r w:rsidRPr="003C0DF0">
              <w:rPr>
                <w:rFonts w:ascii="Times New Roman" w:hAnsi="Times New Roman"/>
                <w:noProof/>
                <w:sz w:val="24"/>
              </w:rPr>
              <w:t>2019</w:t>
            </w:r>
          </w:p>
        </w:tc>
        <w:tc>
          <w:tcPr>
            <w:tcW w:w="849" w:type="pct"/>
            <w:vAlign w:val="center"/>
          </w:tcPr>
          <w:p w14:paraId="5D4970D2" w14:textId="77777777" w:rsidR="00ED16B1" w:rsidRPr="003C0DF0" w:rsidRDefault="00ED16B1" w:rsidP="00DE5551">
            <w:pPr>
              <w:pStyle w:val="ListParagraph"/>
              <w:spacing w:after="0" w:line="240" w:lineRule="auto"/>
              <w:ind w:left="0"/>
              <w:jc w:val="center"/>
              <w:rPr>
                <w:rFonts w:ascii="Times New Roman" w:hAnsi="Times New Roman"/>
                <w:noProof/>
                <w:sz w:val="24"/>
                <w:szCs w:val="24"/>
              </w:rPr>
            </w:pPr>
            <w:r w:rsidRPr="003C0DF0">
              <w:rPr>
                <w:rFonts w:ascii="Times New Roman" w:hAnsi="Times New Roman"/>
                <w:noProof/>
                <w:sz w:val="24"/>
              </w:rPr>
              <w:t>85</w:t>
            </w:r>
          </w:p>
        </w:tc>
        <w:tc>
          <w:tcPr>
            <w:tcW w:w="885" w:type="pct"/>
            <w:vAlign w:val="center"/>
          </w:tcPr>
          <w:p w14:paraId="657A111D" w14:textId="77777777" w:rsidR="00ED16B1" w:rsidRPr="003C0DF0" w:rsidRDefault="00ED16B1" w:rsidP="00DE5551">
            <w:pPr>
              <w:pStyle w:val="ListParagraph"/>
              <w:spacing w:after="0" w:line="240" w:lineRule="auto"/>
              <w:ind w:left="0"/>
              <w:jc w:val="center"/>
              <w:rPr>
                <w:rFonts w:ascii="Times New Roman" w:hAnsi="Times New Roman"/>
                <w:noProof/>
                <w:sz w:val="24"/>
                <w:szCs w:val="24"/>
              </w:rPr>
            </w:pPr>
            <w:r w:rsidRPr="003C0DF0">
              <w:rPr>
                <w:rFonts w:ascii="Times New Roman" w:hAnsi="Times New Roman"/>
                <w:noProof/>
                <w:sz w:val="24"/>
              </w:rPr>
              <w:t>8.5</w:t>
            </w:r>
          </w:p>
        </w:tc>
        <w:tc>
          <w:tcPr>
            <w:tcW w:w="885" w:type="pct"/>
            <w:vAlign w:val="center"/>
          </w:tcPr>
          <w:p w14:paraId="16EF63CC" w14:textId="77777777" w:rsidR="00ED16B1" w:rsidRPr="003C0DF0" w:rsidRDefault="00ED16B1" w:rsidP="00DE5551">
            <w:pPr>
              <w:pStyle w:val="ListParagraph"/>
              <w:spacing w:after="0" w:line="240" w:lineRule="auto"/>
              <w:ind w:left="0"/>
              <w:jc w:val="center"/>
              <w:rPr>
                <w:rFonts w:ascii="Times New Roman" w:hAnsi="Times New Roman"/>
                <w:noProof/>
                <w:sz w:val="24"/>
                <w:szCs w:val="24"/>
              </w:rPr>
            </w:pPr>
            <w:r w:rsidRPr="003C0DF0">
              <w:rPr>
                <w:rFonts w:ascii="Times New Roman" w:hAnsi="Times New Roman"/>
                <w:noProof/>
                <w:sz w:val="24"/>
              </w:rPr>
              <w:t>6.1</w:t>
            </w:r>
          </w:p>
        </w:tc>
        <w:tc>
          <w:tcPr>
            <w:tcW w:w="734" w:type="pct"/>
            <w:vAlign w:val="center"/>
          </w:tcPr>
          <w:p w14:paraId="78D44FEA" w14:textId="77777777" w:rsidR="00ED16B1" w:rsidRPr="003C0DF0" w:rsidRDefault="00ED16B1" w:rsidP="00DE5551">
            <w:pPr>
              <w:pStyle w:val="ListParagraph"/>
              <w:spacing w:after="0" w:line="240" w:lineRule="auto"/>
              <w:ind w:left="0"/>
              <w:jc w:val="center"/>
              <w:rPr>
                <w:rFonts w:ascii="Times New Roman" w:hAnsi="Times New Roman"/>
                <w:noProof/>
                <w:sz w:val="24"/>
                <w:szCs w:val="24"/>
              </w:rPr>
            </w:pPr>
            <w:r w:rsidRPr="003C0DF0">
              <w:rPr>
                <w:rFonts w:ascii="Times New Roman" w:hAnsi="Times New Roman"/>
                <w:noProof/>
                <w:sz w:val="24"/>
              </w:rPr>
              <w:t>15</w:t>
            </w:r>
          </w:p>
        </w:tc>
        <w:tc>
          <w:tcPr>
            <w:tcW w:w="909" w:type="pct"/>
            <w:vAlign w:val="center"/>
          </w:tcPr>
          <w:p w14:paraId="040AB6CD" w14:textId="77777777" w:rsidR="00ED16B1" w:rsidRPr="003C0DF0" w:rsidRDefault="00ED16B1" w:rsidP="00DE5551">
            <w:pPr>
              <w:pStyle w:val="ListParagraph"/>
              <w:spacing w:after="0" w:line="240" w:lineRule="auto"/>
              <w:ind w:left="0"/>
              <w:jc w:val="center"/>
              <w:rPr>
                <w:rFonts w:ascii="Times New Roman" w:hAnsi="Times New Roman"/>
                <w:b/>
                <w:bCs/>
                <w:noProof/>
                <w:sz w:val="24"/>
                <w:szCs w:val="24"/>
              </w:rPr>
            </w:pPr>
            <w:r w:rsidRPr="003C0DF0">
              <w:rPr>
                <w:rFonts w:ascii="Times New Roman" w:hAnsi="Times New Roman"/>
                <w:b/>
                <w:noProof/>
                <w:sz w:val="24"/>
              </w:rPr>
              <w:t>114.6</w:t>
            </w:r>
          </w:p>
        </w:tc>
      </w:tr>
      <w:tr w:rsidR="00ED16B1" w:rsidRPr="003C0DF0" w14:paraId="4634CC51" w14:textId="77777777" w:rsidTr="00D12977">
        <w:tc>
          <w:tcPr>
            <w:tcW w:w="739" w:type="pct"/>
            <w:vAlign w:val="bottom"/>
          </w:tcPr>
          <w:p w14:paraId="4C326ED8" w14:textId="77777777" w:rsidR="00ED16B1" w:rsidRPr="003C0DF0" w:rsidRDefault="00ED16B1" w:rsidP="006E539B">
            <w:pPr>
              <w:pStyle w:val="ListParagraph"/>
              <w:spacing w:after="0" w:line="240" w:lineRule="auto"/>
              <w:ind w:left="0"/>
              <w:jc w:val="both"/>
              <w:rPr>
                <w:rFonts w:ascii="Times New Roman" w:eastAsia="Times New Roman" w:hAnsi="Times New Roman"/>
                <w:noProof/>
                <w:sz w:val="24"/>
                <w:szCs w:val="24"/>
              </w:rPr>
            </w:pPr>
            <w:r w:rsidRPr="003C0DF0">
              <w:rPr>
                <w:rFonts w:ascii="Times New Roman" w:hAnsi="Times New Roman"/>
                <w:noProof/>
                <w:sz w:val="24"/>
              </w:rPr>
              <w:t>2020</w:t>
            </w:r>
          </w:p>
        </w:tc>
        <w:tc>
          <w:tcPr>
            <w:tcW w:w="849" w:type="pct"/>
            <w:vAlign w:val="center"/>
          </w:tcPr>
          <w:p w14:paraId="45D32C5C" w14:textId="77777777" w:rsidR="00ED16B1" w:rsidRPr="003C0DF0" w:rsidRDefault="00ED16B1" w:rsidP="00DE5551">
            <w:pPr>
              <w:pStyle w:val="ListParagraph"/>
              <w:spacing w:after="0" w:line="240" w:lineRule="auto"/>
              <w:ind w:left="0"/>
              <w:jc w:val="center"/>
              <w:rPr>
                <w:rFonts w:ascii="Times New Roman" w:hAnsi="Times New Roman"/>
                <w:noProof/>
                <w:sz w:val="24"/>
                <w:szCs w:val="24"/>
              </w:rPr>
            </w:pPr>
            <w:r w:rsidRPr="003C0DF0">
              <w:rPr>
                <w:rFonts w:ascii="Times New Roman" w:hAnsi="Times New Roman"/>
                <w:noProof/>
                <w:sz w:val="24"/>
              </w:rPr>
              <w:t>85</w:t>
            </w:r>
          </w:p>
        </w:tc>
        <w:tc>
          <w:tcPr>
            <w:tcW w:w="885" w:type="pct"/>
            <w:vAlign w:val="center"/>
          </w:tcPr>
          <w:p w14:paraId="5159A1BC" w14:textId="77777777" w:rsidR="00ED16B1" w:rsidRPr="003C0DF0" w:rsidRDefault="00ED16B1" w:rsidP="00DE5551">
            <w:pPr>
              <w:pStyle w:val="ListParagraph"/>
              <w:spacing w:after="0" w:line="240" w:lineRule="auto"/>
              <w:ind w:left="0"/>
              <w:jc w:val="center"/>
              <w:rPr>
                <w:rFonts w:ascii="Times New Roman" w:hAnsi="Times New Roman"/>
                <w:noProof/>
                <w:sz w:val="24"/>
                <w:szCs w:val="24"/>
              </w:rPr>
            </w:pPr>
            <w:r w:rsidRPr="003C0DF0">
              <w:rPr>
                <w:rFonts w:ascii="Times New Roman" w:hAnsi="Times New Roman"/>
                <w:noProof/>
                <w:sz w:val="24"/>
              </w:rPr>
              <w:t>8.9</w:t>
            </w:r>
          </w:p>
        </w:tc>
        <w:tc>
          <w:tcPr>
            <w:tcW w:w="885" w:type="pct"/>
            <w:vAlign w:val="center"/>
          </w:tcPr>
          <w:p w14:paraId="769E7ABE" w14:textId="77777777" w:rsidR="00ED16B1" w:rsidRPr="003C0DF0" w:rsidRDefault="00ED16B1" w:rsidP="00DE5551">
            <w:pPr>
              <w:pStyle w:val="ListParagraph"/>
              <w:spacing w:after="0" w:line="240" w:lineRule="auto"/>
              <w:ind w:left="0"/>
              <w:jc w:val="center"/>
              <w:rPr>
                <w:rFonts w:ascii="Times New Roman" w:hAnsi="Times New Roman"/>
                <w:noProof/>
                <w:sz w:val="24"/>
                <w:szCs w:val="24"/>
              </w:rPr>
            </w:pPr>
            <w:r w:rsidRPr="003C0DF0">
              <w:rPr>
                <w:rFonts w:ascii="Times New Roman" w:hAnsi="Times New Roman"/>
                <w:noProof/>
                <w:sz w:val="24"/>
              </w:rPr>
              <w:t>6.4</w:t>
            </w:r>
          </w:p>
        </w:tc>
        <w:tc>
          <w:tcPr>
            <w:tcW w:w="734" w:type="pct"/>
            <w:vAlign w:val="center"/>
          </w:tcPr>
          <w:p w14:paraId="38D7B5DF" w14:textId="77777777" w:rsidR="00ED16B1" w:rsidRPr="003C0DF0" w:rsidRDefault="00ED16B1" w:rsidP="00DE5551">
            <w:pPr>
              <w:pStyle w:val="ListParagraph"/>
              <w:spacing w:after="0" w:line="240" w:lineRule="auto"/>
              <w:ind w:left="0"/>
              <w:jc w:val="center"/>
              <w:rPr>
                <w:rFonts w:ascii="Times New Roman" w:hAnsi="Times New Roman"/>
                <w:noProof/>
                <w:sz w:val="24"/>
                <w:szCs w:val="24"/>
              </w:rPr>
            </w:pPr>
            <w:r w:rsidRPr="003C0DF0">
              <w:rPr>
                <w:rFonts w:ascii="Times New Roman" w:hAnsi="Times New Roman"/>
                <w:noProof/>
                <w:sz w:val="24"/>
              </w:rPr>
              <w:t>15</w:t>
            </w:r>
          </w:p>
        </w:tc>
        <w:tc>
          <w:tcPr>
            <w:tcW w:w="909" w:type="pct"/>
            <w:vAlign w:val="center"/>
          </w:tcPr>
          <w:p w14:paraId="466906C0" w14:textId="77777777" w:rsidR="00ED16B1" w:rsidRPr="003C0DF0" w:rsidRDefault="00ED16B1" w:rsidP="00DE5551">
            <w:pPr>
              <w:pStyle w:val="ListParagraph"/>
              <w:spacing w:after="0" w:line="240" w:lineRule="auto"/>
              <w:ind w:left="0"/>
              <w:jc w:val="center"/>
              <w:rPr>
                <w:rFonts w:ascii="Times New Roman" w:hAnsi="Times New Roman"/>
                <w:b/>
                <w:bCs/>
                <w:noProof/>
                <w:sz w:val="24"/>
                <w:szCs w:val="24"/>
              </w:rPr>
            </w:pPr>
            <w:r w:rsidRPr="003C0DF0">
              <w:rPr>
                <w:rFonts w:ascii="Times New Roman" w:hAnsi="Times New Roman"/>
                <w:b/>
                <w:noProof/>
                <w:sz w:val="24"/>
              </w:rPr>
              <w:t>115.3</w:t>
            </w:r>
          </w:p>
        </w:tc>
      </w:tr>
      <w:tr w:rsidR="00ED16B1" w:rsidRPr="003C0DF0" w14:paraId="6978784D" w14:textId="77777777" w:rsidTr="00D12977">
        <w:tc>
          <w:tcPr>
            <w:tcW w:w="739" w:type="pct"/>
            <w:vAlign w:val="bottom"/>
          </w:tcPr>
          <w:p w14:paraId="728F0DB9" w14:textId="77777777" w:rsidR="00ED16B1" w:rsidRPr="003C0DF0" w:rsidRDefault="00ED16B1" w:rsidP="006E539B">
            <w:pPr>
              <w:pStyle w:val="ListParagraph"/>
              <w:spacing w:after="0" w:line="240" w:lineRule="auto"/>
              <w:ind w:left="0"/>
              <w:jc w:val="both"/>
              <w:rPr>
                <w:rFonts w:ascii="Times New Roman" w:eastAsia="Times New Roman" w:hAnsi="Times New Roman"/>
                <w:noProof/>
                <w:sz w:val="24"/>
                <w:szCs w:val="24"/>
              </w:rPr>
            </w:pPr>
            <w:r w:rsidRPr="003C0DF0">
              <w:rPr>
                <w:rFonts w:ascii="Times New Roman" w:hAnsi="Times New Roman"/>
                <w:noProof/>
                <w:sz w:val="24"/>
              </w:rPr>
              <w:t>2021</w:t>
            </w:r>
          </w:p>
        </w:tc>
        <w:tc>
          <w:tcPr>
            <w:tcW w:w="849" w:type="pct"/>
            <w:vAlign w:val="center"/>
          </w:tcPr>
          <w:p w14:paraId="750E6B4A" w14:textId="77777777" w:rsidR="00ED16B1" w:rsidRPr="003C0DF0" w:rsidRDefault="00ED16B1" w:rsidP="00DE5551">
            <w:pPr>
              <w:pStyle w:val="ListParagraph"/>
              <w:spacing w:after="0" w:line="240" w:lineRule="auto"/>
              <w:ind w:left="0"/>
              <w:jc w:val="center"/>
              <w:rPr>
                <w:rFonts w:ascii="Times New Roman" w:hAnsi="Times New Roman"/>
                <w:noProof/>
                <w:sz w:val="24"/>
                <w:szCs w:val="24"/>
              </w:rPr>
            </w:pPr>
            <w:r w:rsidRPr="003C0DF0">
              <w:rPr>
                <w:rFonts w:ascii="Times New Roman" w:hAnsi="Times New Roman"/>
                <w:noProof/>
                <w:sz w:val="24"/>
              </w:rPr>
              <w:t>85</w:t>
            </w:r>
          </w:p>
        </w:tc>
        <w:tc>
          <w:tcPr>
            <w:tcW w:w="885" w:type="pct"/>
            <w:vAlign w:val="center"/>
          </w:tcPr>
          <w:p w14:paraId="4536E41A" w14:textId="77777777" w:rsidR="00ED16B1" w:rsidRPr="003C0DF0" w:rsidRDefault="00ED16B1" w:rsidP="00DE5551">
            <w:pPr>
              <w:pStyle w:val="ListParagraph"/>
              <w:spacing w:after="0" w:line="240" w:lineRule="auto"/>
              <w:ind w:left="0"/>
              <w:jc w:val="center"/>
              <w:rPr>
                <w:rFonts w:ascii="Times New Roman" w:hAnsi="Times New Roman"/>
                <w:noProof/>
                <w:sz w:val="24"/>
                <w:szCs w:val="24"/>
              </w:rPr>
            </w:pPr>
            <w:r w:rsidRPr="003C0DF0">
              <w:rPr>
                <w:rFonts w:ascii="Times New Roman" w:hAnsi="Times New Roman"/>
                <w:noProof/>
                <w:sz w:val="24"/>
              </w:rPr>
              <w:t>9.4</w:t>
            </w:r>
          </w:p>
        </w:tc>
        <w:tc>
          <w:tcPr>
            <w:tcW w:w="885" w:type="pct"/>
            <w:vAlign w:val="center"/>
          </w:tcPr>
          <w:p w14:paraId="65D99AC6" w14:textId="77777777" w:rsidR="00ED16B1" w:rsidRPr="003C0DF0" w:rsidRDefault="00ED16B1" w:rsidP="00DE5551">
            <w:pPr>
              <w:pStyle w:val="ListParagraph"/>
              <w:spacing w:after="0" w:line="240" w:lineRule="auto"/>
              <w:ind w:left="0"/>
              <w:jc w:val="center"/>
              <w:rPr>
                <w:rFonts w:ascii="Times New Roman" w:hAnsi="Times New Roman"/>
                <w:noProof/>
                <w:sz w:val="24"/>
                <w:szCs w:val="24"/>
              </w:rPr>
            </w:pPr>
            <w:r w:rsidRPr="003C0DF0">
              <w:rPr>
                <w:rFonts w:ascii="Times New Roman" w:hAnsi="Times New Roman"/>
                <w:noProof/>
                <w:sz w:val="24"/>
              </w:rPr>
              <w:t>6.7</w:t>
            </w:r>
          </w:p>
        </w:tc>
        <w:tc>
          <w:tcPr>
            <w:tcW w:w="734" w:type="pct"/>
            <w:vAlign w:val="center"/>
          </w:tcPr>
          <w:p w14:paraId="68139C42" w14:textId="77777777" w:rsidR="00ED16B1" w:rsidRPr="003C0DF0" w:rsidRDefault="00ED16B1" w:rsidP="00DE5551">
            <w:pPr>
              <w:pStyle w:val="ListParagraph"/>
              <w:spacing w:after="0" w:line="240" w:lineRule="auto"/>
              <w:ind w:left="0"/>
              <w:jc w:val="center"/>
              <w:rPr>
                <w:rFonts w:ascii="Times New Roman" w:hAnsi="Times New Roman"/>
                <w:noProof/>
                <w:sz w:val="24"/>
                <w:szCs w:val="24"/>
              </w:rPr>
            </w:pPr>
            <w:r w:rsidRPr="003C0DF0">
              <w:rPr>
                <w:rFonts w:ascii="Times New Roman" w:hAnsi="Times New Roman"/>
                <w:noProof/>
                <w:sz w:val="24"/>
              </w:rPr>
              <w:t>15</w:t>
            </w:r>
          </w:p>
        </w:tc>
        <w:tc>
          <w:tcPr>
            <w:tcW w:w="909" w:type="pct"/>
            <w:vAlign w:val="center"/>
          </w:tcPr>
          <w:p w14:paraId="535E7341" w14:textId="77777777" w:rsidR="00ED16B1" w:rsidRPr="003C0DF0" w:rsidRDefault="00ED16B1" w:rsidP="00DE5551">
            <w:pPr>
              <w:pStyle w:val="ListParagraph"/>
              <w:spacing w:after="0" w:line="240" w:lineRule="auto"/>
              <w:ind w:left="0"/>
              <w:jc w:val="center"/>
              <w:rPr>
                <w:rFonts w:ascii="Times New Roman" w:hAnsi="Times New Roman"/>
                <w:b/>
                <w:bCs/>
                <w:noProof/>
                <w:sz w:val="24"/>
                <w:szCs w:val="24"/>
              </w:rPr>
            </w:pPr>
            <w:r w:rsidRPr="003C0DF0">
              <w:rPr>
                <w:rFonts w:ascii="Times New Roman" w:hAnsi="Times New Roman"/>
                <w:b/>
                <w:noProof/>
                <w:sz w:val="24"/>
              </w:rPr>
              <w:t>116.1</w:t>
            </w:r>
          </w:p>
        </w:tc>
      </w:tr>
      <w:tr w:rsidR="00ED16B1" w:rsidRPr="003C0DF0" w14:paraId="1C15CEE5" w14:textId="77777777" w:rsidTr="00D12977">
        <w:tc>
          <w:tcPr>
            <w:tcW w:w="739" w:type="pct"/>
            <w:vAlign w:val="bottom"/>
          </w:tcPr>
          <w:p w14:paraId="4DAC0D32" w14:textId="77777777" w:rsidR="00ED16B1" w:rsidRPr="003C0DF0" w:rsidRDefault="00ED16B1" w:rsidP="006E539B">
            <w:pPr>
              <w:pStyle w:val="ListParagraph"/>
              <w:spacing w:after="0" w:line="240" w:lineRule="auto"/>
              <w:ind w:left="0"/>
              <w:jc w:val="both"/>
              <w:rPr>
                <w:rFonts w:ascii="Times New Roman" w:eastAsia="Times New Roman" w:hAnsi="Times New Roman"/>
                <w:noProof/>
                <w:sz w:val="24"/>
                <w:szCs w:val="24"/>
              </w:rPr>
            </w:pPr>
            <w:r w:rsidRPr="003C0DF0">
              <w:rPr>
                <w:rFonts w:ascii="Times New Roman" w:hAnsi="Times New Roman"/>
                <w:noProof/>
                <w:sz w:val="24"/>
              </w:rPr>
              <w:t>2022</w:t>
            </w:r>
          </w:p>
        </w:tc>
        <w:tc>
          <w:tcPr>
            <w:tcW w:w="849" w:type="pct"/>
            <w:vAlign w:val="center"/>
          </w:tcPr>
          <w:p w14:paraId="5C830E3B" w14:textId="77777777" w:rsidR="00ED16B1" w:rsidRPr="003C0DF0" w:rsidRDefault="00ED16B1" w:rsidP="00DE5551">
            <w:pPr>
              <w:pStyle w:val="ListParagraph"/>
              <w:spacing w:after="0" w:line="240" w:lineRule="auto"/>
              <w:ind w:left="0"/>
              <w:jc w:val="center"/>
              <w:rPr>
                <w:rFonts w:ascii="Times New Roman" w:hAnsi="Times New Roman"/>
                <w:noProof/>
                <w:sz w:val="24"/>
                <w:szCs w:val="24"/>
              </w:rPr>
            </w:pPr>
            <w:r w:rsidRPr="003C0DF0">
              <w:rPr>
                <w:rFonts w:ascii="Times New Roman" w:hAnsi="Times New Roman"/>
                <w:noProof/>
                <w:sz w:val="24"/>
              </w:rPr>
              <w:t>85</w:t>
            </w:r>
          </w:p>
        </w:tc>
        <w:tc>
          <w:tcPr>
            <w:tcW w:w="885" w:type="pct"/>
            <w:vAlign w:val="center"/>
          </w:tcPr>
          <w:p w14:paraId="2AC5C9D2" w14:textId="77777777" w:rsidR="00ED16B1" w:rsidRPr="003C0DF0" w:rsidRDefault="00ED16B1" w:rsidP="00DE5551">
            <w:pPr>
              <w:pStyle w:val="ListParagraph"/>
              <w:spacing w:after="0" w:line="240" w:lineRule="auto"/>
              <w:ind w:left="0"/>
              <w:jc w:val="center"/>
              <w:rPr>
                <w:rFonts w:ascii="Times New Roman" w:hAnsi="Times New Roman"/>
                <w:noProof/>
                <w:sz w:val="24"/>
                <w:szCs w:val="24"/>
              </w:rPr>
            </w:pPr>
            <w:r w:rsidRPr="003C0DF0">
              <w:rPr>
                <w:rFonts w:ascii="Times New Roman" w:hAnsi="Times New Roman"/>
                <w:noProof/>
                <w:sz w:val="24"/>
              </w:rPr>
              <w:t>9.8</w:t>
            </w:r>
          </w:p>
        </w:tc>
        <w:tc>
          <w:tcPr>
            <w:tcW w:w="885" w:type="pct"/>
            <w:vAlign w:val="center"/>
          </w:tcPr>
          <w:p w14:paraId="00DC55B5" w14:textId="77777777" w:rsidR="00ED16B1" w:rsidRPr="003C0DF0" w:rsidRDefault="00ED16B1" w:rsidP="00DE5551">
            <w:pPr>
              <w:pStyle w:val="ListParagraph"/>
              <w:spacing w:after="0" w:line="240" w:lineRule="auto"/>
              <w:ind w:left="0"/>
              <w:jc w:val="center"/>
              <w:rPr>
                <w:rFonts w:ascii="Times New Roman" w:hAnsi="Times New Roman"/>
                <w:noProof/>
                <w:sz w:val="24"/>
                <w:szCs w:val="24"/>
              </w:rPr>
            </w:pPr>
            <w:r w:rsidRPr="003C0DF0">
              <w:rPr>
                <w:rFonts w:ascii="Times New Roman" w:hAnsi="Times New Roman"/>
                <w:noProof/>
                <w:sz w:val="24"/>
              </w:rPr>
              <w:t>7</w:t>
            </w:r>
          </w:p>
        </w:tc>
        <w:tc>
          <w:tcPr>
            <w:tcW w:w="734" w:type="pct"/>
            <w:vAlign w:val="center"/>
          </w:tcPr>
          <w:p w14:paraId="1FD0C11F" w14:textId="77777777" w:rsidR="00ED16B1" w:rsidRPr="003C0DF0" w:rsidRDefault="00ED16B1" w:rsidP="00DE5551">
            <w:pPr>
              <w:pStyle w:val="ListParagraph"/>
              <w:spacing w:after="0" w:line="240" w:lineRule="auto"/>
              <w:ind w:left="0"/>
              <w:jc w:val="center"/>
              <w:rPr>
                <w:rFonts w:ascii="Times New Roman" w:hAnsi="Times New Roman"/>
                <w:noProof/>
                <w:sz w:val="24"/>
                <w:szCs w:val="24"/>
              </w:rPr>
            </w:pPr>
            <w:r w:rsidRPr="003C0DF0">
              <w:rPr>
                <w:rFonts w:ascii="Times New Roman" w:hAnsi="Times New Roman"/>
                <w:noProof/>
                <w:sz w:val="24"/>
              </w:rPr>
              <w:t>15</w:t>
            </w:r>
          </w:p>
        </w:tc>
        <w:tc>
          <w:tcPr>
            <w:tcW w:w="909" w:type="pct"/>
            <w:vAlign w:val="center"/>
          </w:tcPr>
          <w:p w14:paraId="268D76DD" w14:textId="77777777" w:rsidR="00ED16B1" w:rsidRPr="003C0DF0" w:rsidRDefault="00ED16B1" w:rsidP="00DE5551">
            <w:pPr>
              <w:pStyle w:val="ListParagraph"/>
              <w:spacing w:after="0" w:line="240" w:lineRule="auto"/>
              <w:ind w:left="0"/>
              <w:jc w:val="center"/>
              <w:rPr>
                <w:rFonts w:ascii="Times New Roman" w:hAnsi="Times New Roman"/>
                <w:b/>
                <w:bCs/>
                <w:noProof/>
                <w:sz w:val="24"/>
                <w:szCs w:val="24"/>
              </w:rPr>
            </w:pPr>
            <w:r w:rsidRPr="003C0DF0">
              <w:rPr>
                <w:rFonts w:ascii="Times New Roman" w:hAnsi="Times New Roman"/>
                <w:b/>
                <w:noProof/>
                <w:sz w:val="24"/>
              </w:rPr>
              <w:t>116.9</w:t>
            </w:r>
          </w:p>
        </w:tc>
      </w:tr>
      <w:tr w:rsidR="00ED16B1" w:rsidRPr="003C0DF0" w14:paraId="244C9AA2" w14:textId="77777777" w:rsidTr="00D12977">
        <w:tc>
          <w:tcPr>
            <w:tcW w:w="739" w:type="pct"/>
            <w:vAlign w:val="bottom"/>
          </w:tcPr>
          <w:p w14:paraId="0BAEF7C8" w14:textId="77777777" w:rsidR="00ED16B1" w:rsidRPr="003C0DF0" w:rsidRDefault="00ED16B1" w:rsidP="006E539B">
            <w:pPr>
              <w:pStyle w:val="ListParagraph"/>
              <w:spacing w:after="0" w:line="240" w:lineRule="auto"/>
              <w:ind w:left="0"/>
              <w:jc w:val="both"/>
              <w:rPr>
                <w:rFonts w:ascii="Times New Roman" w:eastAsia="Times New Roman" w:hAnsi="Times New Roman"/>
                <w:noProof/>
                <w:sz w:val="24"/>
                <w:szCs w:val="24"/>
              </w:rPr>
            </w:pPr>
            <w:r w:rsidRPr="003C0DF0">
              <w:rPr>
                <w:rFonts w:ascii="Times New Roman" w:hAnsi="Times New Roman"/>
                <w:noProof/>
                <w:sz w:val="24"/>
              </w:rPr>
              <w:t>2023</w:t>
            </w:r>
          </w:p>
        </w:tc>
        <w:tc>
          <w:tcPr>
            <w:tcW w:w="849" w:type="pct"/>
            <w:vAlign w:val="center"/>
          </w:tcPr>
          <w:p w14:paraId="5264618D" w14:textId="77777777" w:rsidR="00ED16B1" w:rsidRPr="003C0DF0" w:rsidRDefault="00ED16B1" w:rsidP="00DE5551">
            <w:pPr>
              <w:pStyle w:val="ListParagraph"/>
              <w:spacing w:after="0" w:line="240" w:lineRule="auto"/>
              <w:ind w:left="0"/>
              <w:jc w:val="center"/>
              <w:rPr>
                <w:rFonts w:ascii="Times New Roman" w:hAnsi="Times New Roman"/>
                <w:noProof/>
                <w:sz w:val="24"/>
                <w:szCs w:val="24"/>
              </w:rPr>
            </w:pPr>
            <w:r w:rsidRPr="003C0DF0">
              <w:rPr>
                <w:rFonts w:ascii="Times New Roman" w:hAnsi="Times New Roman"/>
                <w:noProof/>
                <w:sz w:val="24"/>
              </w:rPr>
              <w:t>85</w:t>
            </w:r>
          </w:p>
        </w:tc>
        <w:tc>
          <w:tcPr>
            <w:tcW w:w="885" w:type="pct"/>
            <w:vAlign w:val="center"/>
          </w:tcPr>
          <w:p w14:paraId="6FFF2EA8" w14:textId="77777777" w:rsidR="00ED16B1" w:rsidRPr="003C0DF0" w:rsidRDefault="00ED16B1" w:rsidP="00DE5551">
            <w:pPr>
              <w:pStyle w:val="ListParagraph"/>
              <w:spacing w:after="0" w:line="240" w:lineRule="auto"/>
              <w:ind w:left="0"/>
              <w:jc w:val="center"/>
              <w:rPr>
                <w:rFonts w:ascii="Times New Roman" w:hAnsi="Times New Roman"/>
                <w:noProof/>
                <w:sz w:val="24"/>
                <w:szCs w:val="24"/>
              </w:rPr>
            </w:pPr>
            <w:r w:rsidRPr="003C0DF0">
              <w:rPr>
                <w:rFonts w:ascii="Times New Roman" w:hAnsi="Times New Roman"/>
                <w:noProof/>
                <w:sz w:val="24"/>
              </w:rPr>
              <w:t>10.3</w:t>
            </w:r>
          </w:p>
        </w:tc>
        <w:tc>
          <w:tcPr>
            <w:tcW w:w="885" w:type="pct"/>
            <w:vAlign w:val="center"/>
          </w:tcPr>
          <w:p w14:paraId="2BADCFAE" w14:textId="77777777" w:rsidR="00ED16B1" w:rsidRPr="003C0DF0" w:rsidRDefault="00ED16B1" w:rsidP="00DE5551">
            <w:pPr>
              <w:pStyle w:val="ListParagraph"/>
              <w:spacing w:after="0" w:line="240" w:lineRule="auto"/>
              <w:ind w:left="0"/>
              <w:jc w:val="center"/>
              <w:rPr>
                <w:rFonts w:ascii="Times New Roman" w:hAnsi="Times New Roman"/>
                <w:noProof/>
                <w:sz w:val="24"/>
                <w:szCs w:val="24"/>
              </w:rPr>
            </w:pPr>
            <w:r w:rsidRPr="003C0DF0">
              <w:rPr>
                <w:rFonts w:ascii="Times New Roman" w:hAnsi="Times New Roman"/>
                <w:noProof/>
                <w:sz w:val="24"/>
              </w:rPr>
              <w:t>7.4</w:t>
            </w:r>
          </w:p>
        </w:tc>
        <w:tc>
          <w:tcPr>
            <w:tcW w:w="734" w:type="pct"/>
            <w:vAlign w:val="center"/>
          </w:tcPr>
          <w:p w14:paraId="4605085F" w14:textId="77777777" w:rsidR="00ED16B1" w:rsidRPr="003C0DF0" w:rsidRDefault="00ED16B1" w:rsidP="00DE5551">
            <w:pPr>
              <w:pStyle w:val="ListParagraph"/>
              <w:spacing w:after="0" w:line="240" w:lineRule="auto"/>
              <w:ind w:left="0"/>
              <w:jc w:val="center"/>
              <w:rPr>
                <w:rFonts w:ascii="Times New Roman" w:hAnsi="Times New Roman"/>
                <w:noProof/>
                <w:sz w:val="24"/>
                <w:szCs w:val="24"/>
              </w:rPr>
            </w:pPr>
            <w:r w:rsidRPr="003C0DF0">
              <w:rPr>
                <w:rFonts w:ascii="Times New Roman" w:hAnsi="Times New Roman"/>
                <w:noProof/>
                <w:sz w:val="24"/>
              </w:rPr>
              <w:t>15</w:t>
            </w:r>
          </w:p>
        </w:tc>
        <w:tc>
          <w:tcPr>
            <w:tcW w:w="909" w:type="pct"/>
            <w:vAlign w:val="center"/>
          </w:tcPr>
          <w:p w14:paraId="4A1F0D43" w14:textId="77777777" w:rsidR="00ED16B1" w:rsidRPr="003C0DF0" w:rsidRDefault="00ED16B1" w:rsidP="00DE5551">
            <w:pPr>
              <w:pStyle w:val="ListParagraph"/>
              <w:spacing w:after="0" w:line="240" w:lineRule="auto"/>
              <w:ind w:left="0"/>
              <w:jc w:val="center"/>
              <w:rPr>
                <w:rFonts w:ascii="Times New Roman" w:hAnsi="Times New Roman"/>
                <w:b/>
                <w:bCs/>
                <w:noProof/>
                <w:sz w:val="24"/>
                <w:szCs w:val="24"/>
              </w:rPr>
            </w:pPr>
            <w:r w:rsidRPr="003C0DF0">
              <w:rPr>
                <w:rFonts w:ascii="Times New Roman" w:hAnsi="Times New Roman"/>
                <w:b/>
                <w:noProof/>
                <w:sz w:val="24"/>
              </w:rPr>
              <w:t>117.7</w:t>
            </w:r>
          </w:p>
        </w:tc>
      </w:tr>
      <w:tr w:rsidR="00ED16B1" w:rsidRPr="003C0DF0" w14:paraId="7C3DED32" w14:textId="77777777" w:rsidTr="00D12977">
        <w:tc>
          <w:tcPr>
            <w:tcW w:w="739" w:type="pct"/>
            <w:vAlign w:val="bottom"/>
          </w:tcPr>
          <w:p w14:paraId="29D503C8" w14:textId="77777777" w:rsidR="00ED16B1" w:rsidRPr="003C0DF0" w:rsidRDefault="00ED16B1" w:rsidP="006E539B">
            <w:pPr>
              <w:pStyle w:val="ListParagraph"/>
              <w:spacing w:after="0" w:line="240" w:lineRule="auto"/>
              <w:ind w:left="0"/>
              <w:jc w:val="both"/>
              <w:rPr>
                <w:rFonts w:ascii="Times New Roman" w:eastAsia="Times New Roman" w:hAnsi="Times New Roman"/>
                <w:noProof/>
                <w:sz w:val="24"/>
                <w:szCs w:val="24"/>
              </w:rPr>
            </w:pPr>
            <w:r w:rsidRPr="003C0DF0">
              <w:rPr>
                <w:rFonts w:ascii="Times New Roman" w:hAnsi="Times New Roman"/>
                <w:noProof/>
                <w:sz w:val="24"/>
              </w:rPr>
              <w:t>2024</w:t>
            </w:r>
          </w:p>
        </w:tc>
        <w:tc>
          <w:tcPr>
            <w:tcW w:w="849" w:type="pct"/>
            <w:vAlign w:val="center"/>
          </w:tcPr>
          <w:p w14:paraId="6BFEDBB5" w14:textId="77777777" w:rsidR="00ED16B1" w:rsidRPr="003C0DF0" w:rsidRDefault="00ED16B1" w:rsidP="00DE5551">
            <w:pPr>
              <w:pStyle w:val="ListParagraph"/>
              <w:spacing w:after="0" w:line="240" w:lineRule="auto"/>
              <w:ind w:left="0"/>
              <w:jc w:val="center"/>
              <w:rPr>
                <w:rFonts w:ascii="Times New Roman" w:hAnsi="Times New Roman"/>
                <w:noProof/>
                <w:sz w:val="24"/>
                <w:szCs w:val="24"/>
              </w:rPr>
            </w:pPr>
            <w:r w:rsidRPr="003C0DF0">
              <w:rPr>
                <w:rFonts w:ascii="Times New Roman" w:hAnsi="Times New Roman"/>
                <w:noProof/>
                <w:sz w:val="24"/>
              </w:rPr>
              <w:t>85</w:t>
            </w:r>
          </w:p>
        </w:tc>
        <w:tc>
          <w:tcPr>
            <w:tcW w:w="885" w:type="pct"/>
            <w:vAlign w:val="center"/>
          </w:tcPr>
          <w:p w14:paraId="2B3F969B" w14:textId="77777777" w:rsidR="00ED16B1" w:rsidRPr="003C0DF0" w:rsidRDefault="00ED16B1" w:rsidP="00DE5551">
            <w:pPr>
              <w:pStyle w:val="ListParagraph"/>
              <w:spacing w:after="0" w:line="240" w:lineRule="auto"/>
              <w:ind w:left="0"/>
              <w:jc w:val="center"/>
              <w:rPr>
                <w:rFonts w:ascii="Times New Roman" w:hAnsi="Times New Roman"/>
                <w:noProof/>
                <w:sz w:val="24"/>
                <w:szCs w:val="24"/>
              </w:rPr>
            </w:pPr>
            <w:r w:rsidRPr="003C0DF0">
              <w:rPr>
                <w:rFonts w:ascii="Times New Roman" w:hAnsi="Times New Roman"/>
                <w:noProof/>
                <w:sz w:val="24"/>
              </w:rPr>
              <w:t>10.9</w:t>
            </w:r>
          </w:p>
        </w:tc>
        <w:tc>
          <w:tcPr>
            <w:tcW w:w="885" w:type="pct"/>
            <w:vAlign w:val="center"/>
          </w:tcPr>
          <w:p w14:paraId="418188DB" w14:textId="77777777" w:rsidR="00ED16B1" w:rsidRPr="003C0DF0" w:rsidRDefault="00ED16B1" w:rsidP="00DE5551">
            <w:pPr>
              <w:pStyle w:val="ListParagraph"/>
              <w:spacing w:after="0" w:line="240" w:lineRule="auto"/>
              <w:ind w:left="0"/>
              <w:jc w:val="center"/>
              <w:rPr>
                <w:rFonts w:ascii="Times New Roman" w:hAnsi="Times New Roman"/>
                <w:noProof/>
                <w:sz w:val="24"/>
                <w:szCs w:val="24"/>
              </w:rPr>
            </w:pPr>
            <w:r w:rsidRPr="003C0DF0">
              <w:rPr>
                <w:rFonts w:ascii="Times New Roman" w:hAnsi="Times New Roman"/>
                <w:noProof/>
                <w:sz w:val="24"/>
              </w:rPr>
              <w:t>7.8</w:t>
            </w:r>
          </w:p>
        </w:tc>
        <w:tc>
          <w:tcPr>
            <w:tcW w:w="734" w:type="pct"/>
            <w:vAlign w:val="center"/>
          </w:tcPr>
          <w:p w14:paraId="216C1D84" w14:textId="77777777" w:rsidR="00ED16B1" w:rsidRPr="003C0DF0" w:rsidRDefault="00ED16B1" w:rsidP="00DE5551">
            <w:pPr>
              <w:pStyle w:val="ListParagraph"/>
              <w:spacing w:after="0" w:line="240" w:lineRule="auto"/>
              <w:ind w:left="0"/>
              <w:jc w:val="center"/>
              <w:rPr>
                <w:rFonts w:ascii="Times New Roman" w:hAnsi="Times New Roman"/>
                <w:noProof/>
                <w:sz w:val="24"/>
                <w:szCs w:val="24"/>
              </w:rPr>
            </w:pPr>
            <w:r w:rsidRPr="003C0DF0">
              <w:rPr>
                <w:rFonts w:ascii="Times New Roman" w:hAnsi="Times New Roman"/>
                <w:noProof/>
                <w:sz w:val="24"/>
              </w:rPr>
              <w:t>15</w:t>
            </w:r>
          </w:p>
        </w:tc>
        <w:tc>
          <w:tcPr>
            <w:tcW w:w="909" w:type="pct"/>
            <w:vAlign w:val="center"/>
          </w:tcPr>
          <w:p w14:paraId="4BB51044" w14:textId="77777777" w:rsidR="00ED16B1" w:rsidRPr="003C0DF0" w:rsidRDefault="00ED16B1" w:rsidP="00DE5551">
            <w:pPr>
              <w:pStyle w:val="ListParagraph"/>
              <w:spacing w:after="0" w:line="240" w:lineRule="auto"/>
              <w:ind w:left="0"/>
              <w:jc w:val="center"/>
              <w:rPr>
                <w:rFonts w:ascii="Times New Roman" w:hAnsi="Times New Roman"/>
                <w:b/>
                <w:bCs/>
                <w:noProof/>
                <w:sz w:val="24"/>
                <w:szCs w:val="24"/>
              </w:rPr>
            </w:pPr>
            <w:r w:rsidRPr="003C0DF0">
              <w:rPr>
                <w:rFonts w:ascii="Times New Roman" w:hAnsi="Times New Roman"/>
                <w:b/>
                <w:noProof/>
                <w:sz w:val="24"/>
              </w:rPr>
              <w:t>118.6</w:t>
            </w:r>
          </w:p>
        </w:tc>
      </w:tr>
      <w:tr w:rsidR="00ED16B1" w:rsidRPr="003C0DF0" w14:paraId="57C9FF97" w14:textId="77777777" w:rsidTr="00D12977">
        <w:tc>
          <w:tcPr>
            <w:tcW w:w="739" w:type="pct"/>
            <w:vAlign w:val="bottom"/>
          </w:tcPr>
          <w:p w14:paraId="6EC197F7" w14:textId="77777777" w:rsidR="00ED16B1" w:rsidRPr="003C0DF0" w:rsidRDefault="00ED16B1" w:rsidP="006E539B">
            <w:pPr>
              <w:pStyle w:val="ListParagraph"/>
              <w:spacing w:after="0" w:line="240" w:lineRule="auto"/>
              <w:ind w:left="0"/>
              <w:jc w:val="both"/>
              <w:rPr>
                <w:rFonts w:ascii="Times New Roman" w:eastAsia="Times New Roman" w:hAnsi="Times New Roman"/>
                <w:noProof/>
                <w:sz w:val="24"/>
                <w:szCs w:val="24"/>
              </w:rPr>
            </w:pPr>
            <w:r w:rsidRPr="003C0DF0">
              <w:rPr>
                <w:rFonts w:ascii="Times New Roman" w:hAnsi="Times New Roman"/>
                <w:noProof/>
                <w:sz w:val="24"/>
              </w:rPr>
              <w:t>2025</w:t>
            </w:r>
          </w:p>
        </w:tc>
        <w:tc>
          <w:tcPr>
            <w:tcW w:w="849" w:type="pct"/>
            <w:vAlign w:val="center"/>
          </w:tcPr>
          <w:p w14:paraId="13EFC1DD" w14:textId="77777777" w:rsidR="00ED16B1" w:rsidRPr="003C0DF0" w:rsidRDefault="00ED16B1" w:rsidP="00DE5551">
            <w:pPr>
              <w:pStyle w:val="ListParagraph"/>
              <w:spacing w:after="0" w:line="240" w:lineRule="auto"/>
              <w:ind w:left="0"/>
              <w:jc w:val="center"/>
              <w:rPr>
                <w:rFonts w:ascii="Times New Roman" w:hAnsi="Times New Roman"/>
                <w:noProof/>
                <w:sz w:val="24"/>
                <w:szCs w:val="24"/>
              </w:rPr>
            </w:pPr>
            <w:r w:rsidRPr="003C0DF0">
              <w:rPr>
                <w:rFonts w:ascii="Times New Roman" w:hAnsi="Times New Roman"/>
                <w:noProof/>
                <w:sz w:val="24"/>
              </w:rPr>
              <w:t>85</w:t>
            </w:r>
          </w:p>
        </w:tc>
        <w:tc>
          <w:tcPr>
            <w:tcW w:w="885" w:type="pct"/>
            <w:vAlign w:val="center"/>
          </w:tcPr>
          <w:p w14:paraId="6FECFABF" w14:textId="77777777" w:rsidR="00ED16B1" w:rsidRPr="003C0DF0" w:rsidRDefault="00ED16B1" w:rsidP="00DE5551">
            <w:pPr>
              <w:pStyle w:val="ListParagraph"/>
              <w:spacing w:after="0" w:line="240" w:lineRule="auto"/>
              <w:ind w:left="0"/>
              <w:jc w:val="center"/>
              <w:rPr>
                <w:rFonts w:ascii="Times New Roman" w:hAnsi="Times New Roman"/>
                <w:noProof/>
                <w:sz w:val="24"/>
                <w:szCs w:val="24"/>
              </w:rPr>
            </w:pPr>
            <w:r w:rsidRPr="003C0DF0">
              <w:rPr>
                <w:rFonts w:ascii="Times New Roman" w:hAnsi="Times New Roman"/>
                <w:noProof/>
                <w:sz w:val="24"/>
              </w:rPr>
              <w:t>11.4</w:t>
            </w:r>
          </w:p>
        </w:tc>
        <w:tc>
          <w:tcPr>
            <w:tcW w:w="885" w:type="pct"/>
            <w:vAlign w:val="center"/>
          </w:tcPr>
          <w:p w14:paraId="715C6BD1" w14:textId="77777777" w:rsidR="00ED16B1" w:rsidRPr="003C0DF0" w:rsidRDefault="00ED16B1" w:rsidP="00DE5551">
            <w:pPr>
              <w:pStyle w:val="ListParagraph"/>
              <w:spacing w:after="0" w:line="240" w:lineRule="auto"/>
              <w:ind w:left="0"/>
              <w:jc w:val="center"/>
              <w:rPr>
                <w:rFonts w:ascii="Times New Roman" w:hAnsi="Times New Roman"/>
                <w:noProof/>
                <w:sz w:val="24"/>
                <w:szCs w:val="24"/>
              </w:rPr>
            </w:pPr>
            <w:r w:rsidRPr="003C0DF0">
              <w:rPr>
                <w:rFonts w:ascii="Times New Roman" w:hAnsi="Times New Roman"/>
                <w:noProof/>
                <w:sz w:val="24"/>
              </w:rPr>
              <w:t>8.1</w:t>
            </w:r>
          </w:p>
        </w:tc>
        <w:tc>
          <w:tcPr>
            <w:tcW w:w="734" w:type="pct"/>
            <w:vAlign w:val="center"/>
          </w:tcPr>
          <w:p w14:paraId="01A129A4" w14:textId="77777777" w:rsidR="00ED16B1" w:rsidRPr="003C0DF0" w:rsidRDefault="00ED16B1" w:rsidP="00DE5551">
            <w:pPr>
              <w:pStyle w:val="ListParagraph"/>
              <w:spacing w:after="0" w:line="240" w:lineRule="auto"/>
              <w:ind w:left="0"/>
              <w:jc w:val="center"/>
              <w:rPr>
                <w:rFonts w:ascii="Times New Roman" w:hAnsi="Times New Roman"/>
                <w:noProof/>
                <w:sz w:val="24"/>
                <w:szCs w:val="24"/>
              </w:rPr>
            </w:pPr>
            <w:r w:rsidRPr="003C0DF0">
              <w:rPr>
                <w:rFonts w:ascii="Times New Roman" w:hAnsi="Times New Roman"/>
                <w:noProof/>
                <w:sz w:val="24"/>
              </w:rPr>
              <w:t>15</w:t>
            </w:r>
          </w:p>
        </w:tc>
        <w:tc>
          <w:tcPr>
            <w:tcW w:w="909" w:type="pct"/>
            <w:vAlign w:val="center"/>
          </w:tcPr>
          <w:p w14:paraId="1EC71DAC" w14:textId="77777777" w:rsidR="00ED16B1" w:rsidRPr="003C0DF0" w:rsidRDefault="00ED16B1" w:rsidP="00DE5551">
            <w:pPr>
              <w:pStyle w:val="ListParagraph"/>
              <w:spacing w:after="0" w:line="240" w:lineRule="auto"/>
              <w:ind w:left="0"/>
              <w:jc w:val="center"/>
              <w:rPr>
                <w:rFonts w:ascii="Times New Roman" w:hAnsi="Times New Roman"/>
                <w:b/>
                <w:bCs/>
                <w:noProof/>
                <w:sz w:val="24"/>
                <w:szCs w:val="24"/>
              </w:rPr>
            </w:pPr>
            <w:r w:rsidRPr="003C0DF0">
              <w:rPr>
                <w:rFonts w:ascii="Times New Roman" w:hAnsi="Times New Roman"/>
                <w:b/>
                <w:noProof/>
                <w:sz w:val="24"/>
              </w:rPr>
              <w:t>119.5</w:t>
            </w:r>
          </w:p>
        </w:tc>
      </w:tr>
    </w:tbl>
    <w:p w14:paraId="7B5F1A5B" w14:textId="77777777" w:rsidR="00ED16B1" w:rsidRPr="003C0DF0" w:rsidRDefault="00ED16B1" w:rsidP="006E539B">
      <w:pPr>
        <w:pStyle w:val="ListParagraph"/>
        <w:spacing w:after="0" w:line="240" w:lineRule="auto"/>
        <w:ind w:left="0"/>
        <w:jc w:val="both"/>
        <w:rPr>
          <w:rFonts w:ascii="Times New Roman" w:hAnsi="Times New Roman"/>
          <w:noProof/>
          <w:sz w:val="24"/>
          <w:szCs w:val="24"/>
        </w:rPr>
      </w:pPr>
    </w:p>
    <w:p w14:paraId="0A831D22" w14:textId="77777777" w:rsidR="00ED16B1" w:rsidRPr="003C0DF0" w:rsidRDefault="00ED16B1" w:rsidP="00DE5551">
      <w:pPr>
        <w:pStyle w:val="ListParagraph"/>
        <w:spacing w:after="0" w:line="240" w:lineRule="auto"/>
        <w:ind w:left="0" w:firstLine="709"/>
        <w:jc w:val="both"/>
        <w:rPr>
          <w:rFonts w:ascii="Times New Roman" w:hAnsi="Times New Roman"/>
          <w:noProof/>
          <w:sz w:val="24"/>
          <w:szCs w:val="26"/>
        </w:rPr>
      </w:pPr>
      <w:r w:rsidRPr="003C0DF0">
        <w:rPr>
          <w:rFonts w:ascii="Times New Roman" w:hAnsi="Times New Roman"/>
          <w:noProof/>
          <w:sz w:val="24"/>
        </w:rPr>
        <w:t>In limited funding conditions, it is necessary to improve the existing financing mechanisms. This includes revision of the sectoral structure of study programmes, specialisation according to the development directions and profile of study and research programmes laid down in the strategies of institutions of higher education, which have been aligned with the labour market demand, implementation of efficient financial incentives to move towards the stated growth objectives, taking into account the policy priorities. Maintaining the current level of funding for the sector, financial incentives for growth, and competitiveness are to be provided gradually. Tuition fee system is not significantly reformed, because it remains an essential source of income for institutions of higher education; however, it ensures that part of the funding is directed to social needs, creating compensatory mechanisms for covering tuition fees for vulnerable social groups. The student loan system is revised, putting more emphasis on support for social needs.</w:t>
      </w:r>
    </w:p>
    <w:p w14:paraId="63014F6E" w14:textId="77777777" w:rsidR="00ED16B1" w:rsidRPr="003C0DF0" w:rsidRDefault="00ED16B1" w:rsidP="006E539B">
      <w:pPr>
        <w:pStyle w:val="ListParagraph"/>
        <w:spacing w:after="0" w:line="240" w:lineRule="auto"/>
        <w:ind w:left="0"/>
        <w:jc w:val="both"/>
        <w:rPr>
          <w:rFonts w:ascii="Times New Roman" w:hAnsi="Times New Roman"/>
          <w:noProof/>
          <w:sz w:val="24"/>
          <w:szCs w:val="26"/>
        </w:rPr>
      </w:pPr>
    </w:p>
    <w:p w14:paraId="44512400" w14:textId="65AD0591" w:rsidR="00ED16B1" w:rsidRPr="003C0DF0" w:rsidRDefault="00ED16B1" w:rsidP="00DE5551">
      <w:pPr>
        <w:spacing w:after="0" w:line="240" w:lineRule="auto"/>
        <w:jc w:val="right"/>
        <w:rPr>
          <w:rFonts w:ascii="Times New Roman" w:hAnsi="Times New Roman"/>
          <w:b/>
          <w:noProof/>
          <w:sz w:val="24"/>
          <w:szCs w:val="24"/>
        </w:rPr>
      </w:pPr>
      <w:r w:rsidRPr="003C0DF0">
        <w:rPr>
          <w:rFonts w:ascii="Times New Roman" w:hAnsi="Times New Roman"/>
          <w:i/>
          <w:noProof/>
          <w:sz w:val="24"/>
        </w:rPr>
        <w:t xml:space="preserve">Table 8. </w:t>
      </w:r>
      <w:r w:rsidRPr="003C0DF0">
        <w:rPr>
          <w:rFonts w:ascii="Times New Roman" w:hAnsi="Times New Roman"/>
          <w:b/>
          <w:noProof/>
          <w:sz w:val="24"/>
        </w:rPr>
        <w:t>Components of the Limited Expansion Model</w:t>
      </w:r>
    </w:p>
    <w:p w14:paraId="711FA294" w14:textId="77777777" w:rsidR="00DE5551" w:rsidRPr="003C0DF0" w:rsidRDefault="00DE5551" w:rsidP="006E539B">
      <w:pPr>
        <w:spacing w:after="0" w:line="240" w:lineRule="auto"/>
        <w:jc w:val="both"/>
        <w:rPr>
          <w:rFonts w:ascii="Times New Roman" w:hAnsi="Times New Roman"/>
          <w:b/>
          <w:noProof/>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9"/>
        <w:gridCol w:w="4532"/>
      </w:tblGrid>
      <w:tr w:rsidR="00ED16B1" w:rsidRPr="003C0DF0" w14:paraId="04CF4936" w14:textId="77777777" w:rsidTr="00D12977">
        <w:tc>
          <w:tcPr>
            <w:tcW w:w="2499" w:type="pct"/>
            <w:shd w:val="clear" w:color="auto" w:fill="DBE5F1" w:themeFill="accent1" w:themeFillTint="33"/>
          </w:tcPr>
          <w:p w14:paraId="77DEE332" w14:textId="77777777" w:rsidR="00ED16B1" w:rsidRPr="003C0DF0" w:rsidRDefault="00ED16B1" w:rsidP="00DE5551">
            <w:pPr>
              <w:spacing w:after="0" w:line="240" w:lineRule="auto"/>
              <w:jc w:val="center"/>
              <w:rPr>
                <w:rFonts w:ascii="Times New Roman" w:hAnsi="Times New Roman"/>
                <w:b/>
                <w:noProof/>
                <w:sz w:val="24"/>
                <w:szCs w:val="24"/>
              </w:rPr>
            </w:pPr>
            <w:r w:rsidRPr="003C0DF0">
              <w:rPr>
                <w:rFonts w:ascii="Times New Roman" w:hAnsi="Times New Roman"/>
                <w:b/>
                <w:noProof/>
                <w:sz w:val="24"/>
              </w:rPr>
              <w:t>Components Included</w:t>
            </w:r>
          </w:p>
        </w:tc>
        <w:tc>
          <w:tcPr>
            <w:tcW w:w="2501" w:type="pct"/>
            <w:shd w:val="clear" w:color="auto" w:fill="DBE5F1" w:themeFill="accent1" w:themeFillTint="33"/>
          </w:tcPr>
          <w:p w14:paraId="3CBEF524" w14:textId="77777777" w:rsidR="00ED16B1" w:rsidRPr="003C0DF0" w:rsidRDefault="00ED16B1" w:rsidP="00DE5551">
            <w:pPr>
              <w:spacing w:after="0" w:line="240" w:lineRule="auto"/>
              <w:jc w:val="center"/>
              <w:rPr>
                <w:rFonts w:ascii="Times New Roman" w:hAnsi="Times New Roman"/>
                <w:b/>
                <w:noProof/>
                <w:sz w:val="24"/>
                <w:szCs w:val="24"/>
              </w:rPr>
            </w:pPr>
            <w:r w:rsidRPr="003C0DF0">
              <w:rPr>
                <w:rFonts w:ascii="Times New Roman" w:hAnsi="Times New Roman"/>
                <w:b/>
                <w:noProof/>
                <w:sz w:val="24"/>
              </w:rPr>
              <w:t>Extra Components Introduced when Future Funding Level Allows</w:t>
            </w:r>
          </w:p>
        </w:tc>
      </w:tr>
      <w:tr w:rsidR="00ED16B1" w:rsidRPr="003C0DF0" w14:paraId="0CA81B30" w14:textId="77777777" w:rsidTr="00D12977">
        <w:tc>
          <w:tcPr>
            <w:tcW w:w="2499" w:type="pct"/>
          </w:tcPr>
          <w:p w14:paraId="1F385C02" w14:textId="77777777" w:rsidR="00ED16B1" w:rsidRPr="003C0DF0" w:rsidRDefault="00ED16B1" w:rsidP="00D12977">
            <w:pPr>
              <w:pStyle w:val="ListParagraph"/>
              <w:numPr>
                <w:ilvl w:val="0"/>
                <w:numId w:val="14"/>
              </w:numPr>
              <w:spacing w:after="0" w:line="240" w:lineRule="auto"/>
              <w:ind w:left="0" w:firstLine="0"/>
              <w:rPr>
                <w:rFonts w:ascii="Times New Roman" w:hAnsi="Times New Roman"/>
                <w:noProof/>
                <w:sz w:val="24"/>
                <w:szCs w:val="24"/>
              </w:rPr>
            </w:pPr>
            <w:r w:rsidRPr="003C0DF0">
              <w:rPr>
                <w:rFonts w:ascii="Times New Roman" w:hAnsi="Times New Roman"/>
                <w:noProof/>
                <w:sz w:val="24"/>
              </w:rPr>
              <w:t>Revised study place model (pillar 1);</w:t>
            </w:r>
          </w:p>
          <w:p w14:paraId="502E85D4" w14:textId="77777777" w:rsidR="00ED16B1" w:rsidRPr="003C0DF0" w:rsidRDefault="00ED16B1" w:rsidP="00D12977">
            <w:pPr>
              <w:pStyle w:val="ListParagraph"/>
              <w:numPr>
                <w:ilvl w:val="0"/>
                <w:numId w:val="14"/>
              </w:numPr>
              <w:spacing w:after="0" w:line="240" w:lineRule="auto"/>
              <w:ind w:left="0" w:firstLine="0"/>
              <w:rPr>
                <w:rFonts w:ascii="Times New Roman" w:hAnsi="Times New Roman"/>
                <w:noProof/>
                <w:sz w:val="24"/>
                <w:szCs w:val="24"/>
              </w:rPr>
            </w:pPr>
            <w:r w:rsidRPr="003C0DF0">
              <w:rPr>
                <w:rFonts w:ascii="Times New Roman" w:hAnsi="Times New Roman"/>
                <w:noProof/>
                <w:sz w:val="24"/>
              </w:rPr>
              <w:t>Performance agreements negotiated in co-operation between the MoES, institutions and sectoral ministries;</w:t>
            </w:r>
          </w:p>
          <w:p w14:paraId="7004FB2F" w14:textId="77777777" w:rsidR="006E539B" w:rsidRPr="003C0DF0" w:rsidRDefault="00ED16B1" w:rsidP="00D12977">
            <w:pPr>
              <w:pStyle w:val="ListParagraph"/>
              <w:numPr>
                <w:ilvl w:val="0"/>
                <w:numId w:val="14"/>
              </w:numPr>
              <w:spacing w:after="0" w:line="240" w:lineRule="auto"/>
              <w:ind w:left="0" w:firstLine="0"/>
              <w:rPr>
                <w:rFonts w:ascii="Times New Roman" w:hAnsi="Times New Roman"/>
                <w:noProof/>
                <w:sz w:val="24"/>
                <w:szCs w:val="24"/>
              </w:rPr>
            </w:pPr>
            <w:r w:rsidRPr="003C0DF0">
              <w:rPr>
                <w:rFonts w:ascii="Times New Roman" w:hAnsi="Times New Roman"/>
                <w:noProof/>
                <w:sz w:val="24"/>
              </w:rPr>
              <w:t>Continued financial autonomy and support for institutions;</w:t>
            </w:r>
          </w:p>
          <w:p w14:paraId="21075C50" w14:textId="7C695594" w:rsidR="00ED16B1" w:rsidRPr="003C0DF0" w:rsidRDefault="00ED16B1" w:rsidP="00D12977">
            <w:pPr>
              <w:pStyle w:val="ListParagraph"/>
              <w:numPr>
                <w:ilvl w:val="0"/>
                <w:numId w:val="14"/>
              </w:numPr>
              <w:spacing w:after="0" w:line="240" w:lineRule="auto"/>
              <w:ind w:left="0" w:firstLine="0"/>
              <w:rPr>
                <w:rFonts w:ascii="Times New Roman" w:hAnsi="Times New Roman"/>
                <w:noProof/>
                <w:sz w:val="24"/>
                <w:szCs w:val="24"/>
              </w:rPr>
            </w:pPr>
            <w:r w:rsidRPr="003C0DF0">
              <w:rPr>
                <w:rFonts w:ascii="Times New Roman" w:hAnsi="Times New Roman"/>
                <w:noProof/>
                <w:sz w:val="24"/>
              </w:rPr>
              <w:t>Transitional use of Structural Funds (e.g., for consolidation);</w:t>
            </w:r>
          </w:p>
          <w:p w14:paraId="326D1DF7" w14:textId="77777777" w:rsidR="00ED16B1" w:rsidRPr="003C0DF0" w:rsidRDefault="00ED16B1" w:rsidP="00D12977">
            <w:pPr>
              <w:pStyle w:val="ListParagraph"/>
              <w:numPr>
                <w:ilvl w:val="0"/>
                <w:numId w:val="14"/>
              </w:numPr>
              <w:spacing w:after="0" w:line="240" w:lineRule="auto"/>
              <w:ind w:left="0" w:firstLine="0"/>
              <w:rPr>
                <w:rFonts w:ascii="Times New Roman" w:hAnsi="Times New Roman"/>
                <w:noProof/>
                <w:sz w:val="24"/>
                <w:szCs w:val="24"/>
              </w:rPr>
            </w:pPr>
            <w:r w:rsidRPr="003C0DF0">
              <w:rPr>
                <w:rFonts w:ascii="Times New Roman" w:hAnsi="Times New Roman"/>
                <w:noProof/>
                <w:sz w:val="24"/>
              </w:rPr>
              <w:t>Tuition fee serves as an important source of income;</w:t>
            </w:r>
          </w:p>
          <w:p w14:paraId="50481267" w14:textId="2EC7574E" w:rsidR="006E539B" w:rsidRPr="003C0DF0" w:rsidRDefault="00ED16B1" w:rsidP="00D12977">
            <w:pPr>
              <w:pStyle w:val="ListParagraph"/>
              <w:numPr>
                <w:ilvl w:val="0"/>
                <w:numId w:val="14"/>
              </w:numPr>
              <w:spacing w:after="0" w:line="240" w:lineRule="auto"/>
              <w:ind w:left="0" w:firstLine="0"/>
              <w:rPr>
                <w:rFonts w:ascii="Times New Roman" w:hAnsi="Times New Roman"/>
                <w:noProof/>
                <w:sz w:val="24"/>
                <w:szCs w:val="24"/>
              </w:rPr>
            </w:pPr>
            <w:r w:rsidRPr="003C0DF0">
              <w:rPr>
                <w:rFonts w:ascii="Times New Roman" w:hAnsi="Times New Roman"/>
                <w:noProof/>
                <w:sz w:val="24"/>
              </w:rPr>
              <w:t>Need-based student support, but only to compensate the tuition fee;</w:t>
            </w:r>
          </w:p>
          <w:p w14:paraId="27C1B326" w14:textId="0A2533FC" w:rsidR="00ED16B1" w:rsidRPr="003C0DF0" w:rsidRDefault="00ED16B1" w:rsidP="00D12977">
            <w:pPr>
              <w:pStyle w:val="ListParagraph"/>
              <w:numPr>
                <w:ilvl w:val="0"/>
                <w:numId w:val="14"/>
              </w:numPr>
              <w:spacing w:after="0" w:line="240" w:lineRule="auto"/>
              <w:ind w:left="0" w:firstLine="0"/>
              <w:rPr>
                <w:rFonts w:ascii="Times New Roman" w:hAnsi="Times New Roman"/>
                <w:noProof/>
                <w:sz w:val="24"/>
                <w:szCs w:val="24"/>
              </w:rPr>
            </w:pPr>
            <w:r w:rsidRPr="003C0DF0">
              <w:rPr>
                <w:rFonts w:ascii="Times New Roman" w:hAnsi="Times New Roman"/>
                <w:noProof/>
                <w:sz w:val="24"/>
              </w:rPr>
              <w:t>Training of financial management and support for institutional management to increase autonomy;</w:t>
            </w:r>
          </w:p>
          <w:p w14:paraId="4D028E26" w14:textId="77777777" w:rsidR="00ED16B1" w:rsidRPr="003C0DF0" w:rsidRDefault="00ED16B1" w:rsidP="00D12977">
            <w:pPr>
              <w:pStyle w:val="ListParagraph"/>
              <w:numPr>
                <w:ilvl w:val="0"/>
                <w:numId w:val="14"/>
              </w:numPr>
              <w:spacing w:after="0" w:line="240" w:lineRule="auto"/>
              <w:ind w:left="0" w:firstLine="0"/>
              <w:rPr>
                <w:rFonts w:ascii="Times New Roman" w:hAnsi="Times New Roman"/>
                <w:noProof/>
                <w:sz w:val="24"/>
                <w:szCs w:val="24"/>
              </w:rPr>
            </w:pPr>
            <w:r w:rsidRPr="003C0DF0">
              <w:rPr>
                <w:rFonts w:ascii="Times New Roman" w:hAnsi="Times New Roman"/>
                <w:noProof/>
                <w:sz w:val="24"/>
              </w:rPr>
              <w:t>Improved student loan procedures;</w:t>
            </w:r>
          </w:p>
          <w:p w14:paraId="76141D5F" w14:textId="77777777" w:rsidR="00ED16B1" w:rsidRPr="003C0DF0" w:rsidRDefault="00ED16B1" w:rsidP="00D12977">
            <w:pPr>
              <w:pStyle w:val="ListParagraph"/>
              <w:numPr>
                <w:ilvl w:val="0"/>
                <w:numId w:val="14"/>
              </w:numPr>
              <w:spacing w:after="0" w:line="240" w:lineRule="auto"/>
              <w:ind w:left="0" w:firstLine="0"/>
              <w:rPr>
                <w:rFonts w:ascii="Times New Roman" w:hAnsi="Times New Roman"/>
                <w:noProof/>
                <w:sz w:val="24"/>
                <w:szCs w:val="24"/>
              </w:rPr>
            </w:pPr>
            <w:r w:rsidRPr="003C0DF0">
              <w:rPr>
                <w:rFonts w:ascii="Times New Roman" w:hAnsi="Times New Roman"/>
                <w:noProof/>
                <w:sz w:val="24"/>
              </w:rPr>
              <w:t xml:space="preserve">Teaching innovation fund provides start-up capital for new programmes. The fund ensures sufficient amount of resources to implement a certain number of initiatives per year </w:t>
            </w:r>
          </w:p>
        </w:tc>
        <w:tc>
          <w:tcPr>
            <w:tcW w:w="2501" w:type="pct"/>
          </w:tcPr>
          <w:p w14:paraId="7CB7AFFB" w14:textId="77777777" w:rsidR="00ED16B1" w:rsidRPr="003C0DF0" w:rsidRDefault="00ED16B1" w:rsidP="00D12977">
            <w:pPr>
              <w:pStyle w:val="ListParagraph"/>
              <w:numPr>
                <w:ilvl w:val="0"/>
                <w:numId w:val="14"/>
              </w:numPr>
              <w:spacing w:after="0" w:line="240" w:lineRule="auto"/>
              <w:ind w:left="0" w:firstLine="0"/>
              <w:rPr>
                <w:rFonts w:ascii="Times New Roman" w:hAnsi="Times New Roman"/>
                <w:noProof/>
                <w:sz w:val="24"/>
                <w:szCs w:val="24"/>
              </w:rPr>
            </w:pPr>
            <w:r w:rsidRPr="003C0DF0">
              <w:rPr>
                <w:rFonts w:ascii="Times New Roman" w:hAnsi="Times New Roman"/>
                <w:noProof/>
                <w:sz w:val="24"/>
              </w:rPr>
              <w:t>Basic funding for research (pillar 1);</w:t>
            </w:r>
          </w:p>
          <w:p w14:paraId="2DE734BC" w14:textId="77777777" w:rsidR="00ED16B1" w:rsidRPr="003C0DF0" w:rsidRDefault="00ED16B1" w:rsidP="00D12977">
            <w:pPr>
              <w:pStyle w:val="ListParagraph"/>
              <w:numPr>
                <w:ilvl w:val="0"/>
                <w:numId w:val="14"/>
              </w:numPr>
              <w:spacing w:after="0" w:line="240" w:lineRule="auto"/>
              <w:ind w:left="0" w:firstLine="0"/>
              <w:rPr>
                <w:rFonts w:ascii="Times New Roman" w:hAnsi="Times New Roman"/>
                <w:noProof/>
                <w:sz w:val="24"/>
                <w:szCs w:val="24"/>
              </w:rPr>
            </w:pPr>
            <w:r w:rsidRPr="003C0DF0">
              <w:rPr>
                <w:rFonts w:ascii="Times New Roman" w:hAnsi="Times New Roman"/>
                <w:noProof/>
                <w:sz w:val="24"/>
              </w:rPr>
              <w:t>Universal indicator-based funding formula (pillar 2);</w:t>
            </w:r>
          </w:p>
          <w:p w14:paraId="19DED037" w14:textId="77777777" w:rsidR="00ED16B1" w:rsidRPr="003C0DF0" w:rsidRDefault="00ED16B1" w:rsidP="00D12977">
            <w:pPr>
              <w:pStyle w:val="ListParagraph"/>
              <w:numPr>
                <w:ilvl w:val="0"/>
                <w:numId w:val="14"/>
              </w:numPr>
              <w:spacing w:after="0" w:line="240" w:lineRule="auto"/>
              <w:ind w:left="0" w:firstLine="0"/>
              <w:rPr>
                <w:rFonts w:ascii="Times New Roman" w:hAnsi="Times New Roman"/>
                <w:noProof/>
                <w:sz w:val="24"/>
                <w:szCs w:val="24"/>
              </w:rPr>
            </w:pPr>
            <w:r w:rsidRPr="003C0DF0">
              <w:rPr>
                <w:rFonts w:ascii="Times New Roman" w:hAnsi="Times New Roman"/>
                <w:noProof/>
                <w:sz w:val="24"/>
              </w:rPr>
              <w:t>Funding of performance indicators specific for institutions of higher education (pillar 2);</w:t>
            </w:r>
          </w:p>
          <w:p w14:paraId="13E67F23" w14:textId="77777777" w:rsidR="00ED16B1" w:rsidRPr="003C0DF0" w:rsidRDefault="00ED16B1" w:rsidP="00D12977">
            <w:pPr>
              <w:pStyle w:val="ListParagraph"/>
              <w:numPr>
                <w:ilvl w:val="0"/>
                <w:numId w:val="14"/>
              </w:numPr>
              <w:spacing w:after="0" w:line="240" w:lineRule="auto"/>
              <w:ind w:left="0" w:firstLine="0"/>
              <w:rPr>
                <w:rFonts w:ascii="Times New Roman" w:hAnsi="Times New Roman"/>
                <w:noProof/>
                <w:sz w:val="24"/>
                <w:szCs w:val="24"/>
              </w:rPr>
            </w:pPr>
            <w:r w:rsidRPr="003C0DF0">
              <w:rPr>
                <w:rFonts w:ascii="Times New Roman" w:hAnsi="Times New Roman"/>
                <w:noProof/>
                <w:sz w:val="24"/>
              </w:rPr>
              <w:t>Development funding to cover both teaching and study initiatives and creation of competence centres (pillar 3).</w:t>
            </w:r>
          </w:p>
        </w:tc>
      </w:tr>
      <w:tr w:rsidR="00ED16B1" w:rsidRPr="003C0DF0" w14:paraId="1802749A" w14:textId="77777777" w:rsidTr="00D12977">
        <w:tc>
          <w:tcPr>
            <w:tcW w:w="5000" w:type="pct"/>
            <w:gridSpan w:val="2"/>
            <w:shd w:val="clear" w:color="auto" w:fill="DBE5F1" w:themeFill="accent1" w:themeFillTint="33"/>
          </w:tcPr>
          <w:p w14:paraId="2827C021" w14:textId="77777777" w:rsidR="00ED16B1" w:rsidRPr="003C0DF0" w:rsidRDefault="00ED16B1" w:rsidP="00DE5551">
            <w:pPr>
              <w:spacing w:after="0" w:line="240" w:lineRule="auto"/>
              <w:jc w:val="center"/>
              <w:rPr>
                <w:rFonts w:ascii="Times New Roman" w:hAnsi="Times New Roman"/>
                <w:b/>
                <w:noProof/>
                <w:sz w:val="24"/>
                <w:szCs w:val="24"/>
              </w:rPr>
            </w:pPr>
            <w:r w:rsidRPr="003C0DF0">
              <w:rPr>
                <w:rFonts w:ascii="Times New Roman" w:hAnsi="Times New Roman"/>
                <w:b/>
                <w:noProof/>
                <w:sz w:val="24"/>
              </w:rPr>
              <w:t>Alternatives for Consideration</w:t>
            </w:r>
          </w:p>
        </w:tc>
      </w:tr>
      <w:tr w:rsidR="00ED16B1" w:rsidRPr="003C0DF0" w14:paraId="7CCA77E1" w14:textId="77777777" w:rsidTr="00D12977">
        <w:tc>
          <w:tcPr>
            <w:tcW w:w="5000" w:type="pct"/>
            <w:gridSpan w:val="2"/>
          </w:tcPr>
          <w:p w14:paraId="313FFDC8" w14:textId="77777777" w:rsidR="00ED16B1" w:rsidRPr="003C0DF0" w:rsidRDefault="00ED16B1" w:rsidP="00D12977">
            <w:pPr>
              <w:pStyle w:val="ListParagraph"/>
              <w:numPr>
                <w:ilvl w:val="0"/>
                <w:numId w:val="14"/>
              </w:numPr>
              <w:spacing w:after="0" w:line="240" w:lineRule="auto"/>
              <w:ind w:left="0" w:firstLine="0"/>
              <w:rPr>
                <w:rFonts w:ascii="Times New Roman" w:hAnsi="Times New Roman"/>
                <w:noProof/>
                <w:sz w:val="24"/>
                <w:szCs w:val="24"/>
              </w:rPr>
            </w:pPr>
            <w:r w:rsidRPr="003C0DF0">
              <w:rPr>
                <w:rFonts w:ascii="Times New Roman" w:hAnsi="Times New Roman"/>
                <w:noProof/>
                <w:sz w:val="24"/>
              </w:rPr>
              <w:t>With the higher private cost investment (tuition fee), a portion of those additional funds (e.g., 20 %) must be immediately reallocated as support to students unable to afford the tuition fee;</w:t>
            </w:r>
          </w:p>
          <w:p w14:paraId="7EF7A038" w14:textId="77777777" w:rsidR="00ED16B1" w:rsidRPr="003C0DF0" w:rsidRDefault="00ED16B1" w:rsidP="00D12977">
            <w:pPr>
              <w:pStyle w:val="ListParagraph"/>
              <w:numPr>
                <w:ilvl w:val="0"/>
                <w:numId w:val="14"/>
              </w:numPr>
              <w:spacing w:after="0" w:line="240" w:lineRule="auto"/>
              <w:ind w:left="0" w:firstLine="0"/>
              <w:rPr>
                <w:rFonts w:ascii="Times New Roman" w:hAnsi="Times New Roman"/>
                <w:noProof/>
                <w:sz w:val="24"/>
                <w:szCs w:val="24"/>
              </w:rPr>
            </w:pPr>
            <w:r w:rsidRPr="003C0DF0">
              <w:rPr>
                <w:rFonts w:ascii="Times New Roman" w:hAnsi="Times New Roman"/>
                <w:noProof/>
                <w:sz w:val="24"/>
              </w:rPr>
              <w:t>A financing model based on the number of new entrants, students, graduates, doctors according to three different funding tariffs (social sciences, science and engineering, medical programmes) and relative success indicators in attracting third party funding.</w:t>
            </w:r>
          </w:p>
        </w:tc>
      </w:tr>
    </w:tbl>
    <w:p w14:paraId="39BB8AFB" w14:textId="77777777" w:rsidR="00DE5551" w:rsidRPr="003C0DF0" w:rsidRDefault="00DE5551" w:rsidP="006E539B">
      <w:pPr>
        <w:spacing w:after="0" w:line="240" w:lineRule="auto"/>
        <w:jc w:val="both"/>
        <w:rPr>
          <w:rFonts w:ascii="Times New Roman" w:hAnsi="Times New Roman"/>
          <w:noProof/>
          <w:sz w:val="24"/>
          <w:szCs w:val="26"/>
        </w:rPr>
      </w:pPr>
    </w:p>
    <w:p w14:paraId="7E65F689" w14:textId="77777777" w:rsidR="00ED16B1" w:rsidRPr="003C0DF0" w:rsidRDefault="00ED16B1" w:rsidP="00DE5551">
      <w:pPr>
        <w:spacing w:after="0" w:line="240" w:lineRule="auto"/>
        <w:ind w:firstLine="709"/>
        <w:jc w:val="both"/>
        <w:rPr>
          <w:rFonts w:ascii="Times New Roman" w:hAnsi="Times New Roman"/>
          <w:noProof/>
          <w:sz w:val="24"/>
          <w:szCs w:val="26"/>
        </w:rPr>
      </w:pPr>
      <w:r w:rsidRPr="003C0DF0">
        <w:rPr>
          <w:rFonts w:ascii="Times New Roman" w:hAnsi="Times New Roman"/>
          <w:noProof/>
          <w:sz w:val="24"/>
        </w:rPr>
        <w:t xml:space="preserve">In its essence the limited expansion model foresees that the State strengthens the element of competition in the sector. Institutions of higher education have an opportunity to apply for funding for good results in the study work and research. In limited funding conditions </w:t>
      </w:r>
      <w:r w:rsidRPr="003C0DF0">
        <w:rPr>
          <w:rFonts w:ascii="Times New Roman" w:hAnsi="Times New Roman"/>
          <w:noProof/>
          <w:sz w:val="24"/>
        </w:rPr>
        <w:lastRenderedPageBreak/>
        <w:t>optimisation of the available funds should be ensured by implementing structural reforms; stricter monitoring of performance agreements should be provided; well focused and balanced performance criteria are required; and efficient use of the additional financial opportunities found should be ensured. However, scenario B may not be considered as a sustainable solution for advancement towards international competitiveness of the Latvian higher education and research sector, because Latvia will not be on equal positions with other European countries in investments in higher education and research. For the growth of system performance and international competitiveness a targeted increase in public funding in all the pillars is needed.</w:t>
      </w:r>
    </w:p>
    <w:p w14:paraId="28AFD317" w14:textId="77777777" w:rsidR="00ED16B1" w:rsidRPr="003C0DF0" w:rsidRDefault="00ED16B1" w:rsidP="006E539B">
      <w:pPr>
        <w:pStyle w:val="ListParagraph"/>
        <w:spacing w:after="0" w:line="240" w:lineRule="auto"/>
        <w:ind w:left="0"/>
        <w:jc w:val="both"/>
        <w:rPr>
          <w:rFonts w:ascii="Times New Roman" w:hAnsi="Times New Roman"/>
          <w:noProof/>
          <w:sz w:val="24"/>
          <w:szCs w:val="24"/>
        </w:rPr>
      </w:pPr>
    </w:p>
    <w:p w14:paraId="7C41F3CA" w14:textId="42C251B9" w:rsidR="00ED16B1" w:rsidRPr="00D12977" w:rsidRDefault="00DE5551" w:rsidP="00D12977">
      <w:pPr>
        <w:pStyle w:val="Heading3"/>
      </w:pPr>
      <w:bookmarkStart w:id="37" w:name="_Toc421550736"/>
      <w:bookmarkStart w:id="38" w:name="_Toc453155040"/>
      <w:r w:rsidRPr="00D12977">
        <w:t>2.1.3. Scarcity Model</w:t>
      </w:r>
      <w:bookmarkEnd w:id="37"/>
      <w:bookmarkEnd w:id="38"/>
    </w:p>
    <w:p w14:paraId="33C5EEE3" w14:textId="77777777" w:rsidR="00DE5551" w:rsidRPr="003C0DF0" w:rsidRDefault="00DE5551" w:rsidP="00DE5551">
      <w:pPr>
        <w:spacing w:after="0" w:line="240" w:lineRule="auto"/>
        <w:ind w:firstLine="709"/>
        <w:jc w:val="both"/>
        <w:rPr>
          <w:rFonts w:ascii="Times New Roman" w:hAnsi="Times New Roman"/>
          <w:noProof/>
          <w:sz w:val="24"/>
          <w:szCs w:val="26"/>
        </w:rPr>
      </w:pPr>
    </w:p>
    <w:p w14:paraId="542FEFD8" w14:textId="61DF9311" w:rsidR="006E539B" w:rsidRPr="003C0DF0" w:rsidRDefault="00ED16B1" w:rsidP="00DE5551">
      <w:pPr>
        <w:spacing w:after="0" w:line="240" w:lineRule="auto"/>
        <w:ind w:firstLine="709"/>
        <w:jc w:val="both"/>
        <w:rPr>
          <w:rFonts w:ascii="Times New Roman" w:hAnsi="Times New Roman"/>
          <w:noProof/>
          <w:sz w:val="24"/>
          <w:szCs w:val="26"/>
        </w:rPr>
      </w:pPr>
      <w:r w:rsidRPr="003C0DF0">
        <w:rPr>
          <w:rFonts w:ascii="Times New Roman" w:hAnsi="Times New Roman"/>
          <w:noProof/>
          <w:sz w:val="24"/>
        </w:rPr>
        <w:t>Scarcity model (scenario C) is the least favourable scenario for the development, because it shows a situation in which public expenditure is maintained relatively stable, but due to the reduction in the number of students, the first pillar funding is decreased (to illustrate the situation, the annual 2.5 percent decrease in the number of students is taken, with the proportion of paying and budget students in State institutions of higher education remaining unchanged</w:t>
      </w:r>
      <w:r w:rsidRPr="003C0DF0">
        <w:rPr>
          <w:rStyle w:val="FootnoteReference"/>
          <w:rFonts w:ascii="Times New Roman" w:hAnsi="Times New Roman"/>
          <w:noProof/>
          <w:sz w:val="24"/>
        </w:rPr>
        <w:footnoteReference w:id="14"/>
      </w:r>
      <w:r w:rsidRPr="003C0DF0">
        <w:rPr>
          <w:rFonts w:ascii="Times New Roman" w:hAnsi="Times New Roman"/>
          <w:noProof/>
          <w:sz w:val="24"/>
        </w:rPr>
        <w:t>). Additional public funding is invested in forming second and third pillar reserves to make the system more competitive and oriented towards the strategic objectives. Due to demographic fluctuations, the first pillar funding may shrink to EUR 64.3 million in 2025, which may be compensated by the second and third pillar funding, the growth of which is forecast to be respectively EUR 18.6 million and EUR 12.4 million in 2025. All in all, the funding remains almost unchanged – EUR 110.3 million; however, it has a negative effect on the stability of the system. It is expected that in this scenario results in terms of performance and achievement of the policy objectives will be significantly lower.</w:t>
      </w:r>
    </w:p>
    <w:p w14:paraId="74A9B867" w14:textId="77F6DAAC" w:rsidR="00ED16B1" w:rsidRDefault="00ED16B1" w:rsidP="006E539B">
      <w:pPr>
        <w:pStyle w:val="ListParagraph"/>
        <w:spacing w:after="0" w:line="240" w:lineRule="auto"/>
        <w:ind w:left="0"/>
        <w:jc w:val="both"/>
        <w:rPr>
          <w:rFonts w:ascii="Times New Roman" w:hAnsi="Times New Roman"/>
          <w:noProof/>
          <w:sz w:val="24"/>
          <w:szCs w:val="26"/>
        </w:rPr>
      </w:pPr>
    </w:p>
    <w:p w14:paraId="319DCA18" w14:textId="7435A471" w:rsidR="00942154" w:rsidRDefault="00942154" w:rsidP="00942154">
      <w:pPr>
        <w:pStyle w:val="ListParagraph"/>
        <w:spacing w:after="0" w:line="240" w:lineRule="auto"/>
        <w:ind w:left="0"/>
        <w:jc w:val="center"/>
        <w:rPr>
          <w:rFonts w:ascii="Times New Roman" w:hAnsi="Times New Roman"/>
          <w:noProof/>
          <w:sz w:val="24"/>
          <w:szCs w:val="26"/>
        </w:rPr>
      </w:pPr>
      <w:r>
        <w:rPr>
          <w:rFonts w:ascii="Times New Roman" w:hAnsi="Times New Roman"/>
          <w:noProof/>
          <w:sz w:val="24"/>
          <w:szCs w:val="26"/>
          <w:lang w:val="lv-LV" w:eastAsia="lv-LV" w:bidi="ar-SA"/>
        </w:rPr>
        <w:drawing>
          <wp:inline distT="0" distB="0" distL="0" distR="0" wp14:anchorId="7D0C1E96" wp14:editId="043B5B99">
            <wp:extent cx="4924425" cy="329565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24425" cy="3295650"/>
                    </a:xfrm>
                    <a:prstGeom prst="rect">
                      <a:avLst/>
                    </a:prstGeom>
                    <a:noFill/>
                    <a:ln>
                      <a:noFill/>
                    </a:ln>
                  </pic:spPr>
                </pic:pic>
              </a:graphicData>
            </a:graphic>
          </wp:inline>
        </w:drawing>
      </w:r>
    </w:p>
    <w:p w14:paraId="0D5EDA68" w14:textId="77777777" w:rsidR="00942154" w:rsidRPr="003C0DF0" w:rsidRDefault="00942154" w:rsidP="006E539B">
      <w:pPr>
        <w:pStyle w:val="ListParagraph"/>
        <w:spacing w:after="0" w:line="240" w:lineRule="auto"/>
        <w:ind w:left="0"/>
        <w:jc w:val="both"/>
        <w:rPr>
          <w:rFonts w:ascii="Times New Roman" w:hAnsi="Times New Roman"/>
          <w:noProof/>
          <w:sz w:val="24"/>
          <w:szCs w:val="26"/>
        </w:rPr>
      </w:pPr>
    </w:p>
    <w:p w14:paraId="5BD88766" w14:textId="77777777" w:rsidR="00ED16B1" w:rsidRPr="003C0DF0" w:rsidRDefault="00ED16B1" w:rsidP="00DE5551">
      <w:pPr>
        <w:spacing w:after="0" w:line="240" w:lineRule="auto"/>
        <w:ind w:firstLine="709"/>
        <w:jc w:val="both"/>
        <w:rPr>
          <w:rFonts w:ascii="Times New Roman" w:hAnsi="Times New Roman"/>
          <w:b/>
          <w:noProof/>
          <w:sz w:val="24"/>
          <w:szCs w:val="24"/>
        </w:rPr>
      </w:pPr>
      <w:r w:rsidRPr="003C0DF0">
        <w:rPr>
          <w:rFonts w:ascii="Times New Roman" w:hAnsi="Times New Roman"/>
          <w:i/>
          <w:noProof/>
          <w:sz w:val="24"/>
        </w:rPr>
        <w:t xml:space="preserve">Figure 5. </w:t>
      </w:r>
      <w:r w:rsidRPr="003C0DF0">
        <w:rPr>
          <w:rFonts w:ascii="Times New Roman" w:hAnsi="Times New Roman"/>
          <w:b/>
          <w:noProof/>
          <w:sz w:val="24"/>
        </w:rPr>
        <w:t>Scarcity Model</w:t>
      </w:r>
    </w:p>
    <w:p w14:paraId="716FB9C6" w14:textId="77777777" w:rsidR="00DE5551" w:rsidRPr="003C0DF0" w:rsidRDefault="00DE5551" w:rsidP="00DE5551">
      <w:pPr>
        <w:spacing w:after="0" w:line="240" w:lineRule="auto"/>
        <w:ind w:firstLine="709"/>
        <w:jc w:val="both"/>
        <w:rPr>
          <w:rFonts w:ascii="Times New Roman" w:hAnsi="Times New Roman"/>
          <w:b/>
          <w:noProof/>
          <w:sz w:val="24"/>
          <w:szCs w:val="24"/>
        </w:rPr>
      </w:pPr>
    </w:p>
    <w:p w14:paraId="1CCF49B2" w14:textId="77777777" w:rsidR="00ED16B1" w:rsidRPr="003C0DF0" w:rsidRDefault="00ED16B1" w:rsidP="00DE5551">
      <w:pPr>
        <w:spacing w:after="0" w:line="240" w:lineRule="auto"/>
        <w:ind w:firstLine="709"/>
        <w:jc w:val="both"/>
        <w:rPr>
          <w:rFonts w:ascii="Times New Roman" w:hAnsi="Times New Roman"/>
          <w:bCs/>
          <w:noProof/>
          <w:sz w:val="24"/>
          <w:szCs w:val="26"/>
        </w:rPr>
      </w:pPr>
      <w:r w:rsidRPr="003C0DF0">
        <w:rPr>
          <w:rFonts w:ascii="Times New Roman" w:hAnsi="Times New Roman"/>
          <w:noProof/>
          <w:sz w:val="24"/>
        </w:rPr>
        <w:lastRenderedPageBreak/>
        <w:t>Scarcity Model in absolute figures is presented in Table 9.</w:t>
      </w:r>
    </w:p>
    <w:p w14:paraId="6636DA9C" w14:textId="77777777" w:rsidR="00DE5551" w:rsidRPr="003C0DF0" w:rsidRDefault="00DE5551" w:rsidP="00DE5551">
      <w:pPr>
        <w:spacing w:after="0" w:line="240" w:lineRule="auto"/>
        <w:ind w:firstLine="709"/>
        <w:jc w:val="both"/>
        <w:rPr>
          <w:rFonts w:ascii="Times New Roman" w:hAnsi="Times New Roman"/>
          <w:bCs/>
          <w:noProof/>
          <w:sz w:val="24"/>
          <w:szCs w:val="26"/>
        </w:rPr>
      </w:pPr>
    </w:p>
    <w:p w14:paraId="574AEBE2" w14:textId="77777777" w:rsidR="00ED16B1" w:rsidRPr="003C0DF0" w:rsidRDefault="00ED16B1" w:rsidP="00DE5551">
      <w:pPr>
        <w:pStyle w:val="ListParagraph"/>
        <w:spacing w:after="0" w:line="240" w:lineRule="auto"/>
        <w:ind w:left="0"/>
        <w:jc w:val="right"/>
        <w:rPr>
          <w:rFonts w:ascii="Times New Roman" w:hAnsi="Times New Roman"/>
          <w:b/>
          <w:noProof/>
          <w:sz w:val="24"/>
          <w:szCs w:val="24"/>
        </w:rPr>
      </w:pPr>
      <w:r w:rsidRPr="003C0DF0">
        <w:rPr>
          <w:rFonts w:ascii="Times New Roman" w:hAnsi="Times New Roman"/>
          <w:i/>
          <w:noProof/>
          <w:sz w:val="24"/>
        </w:rPr>
        <w:t xml:space="preserve">Table 9. </w:t>
      </w:r>
      <w:r w:rsidRPr="003C0DF0">
        <w:rPr>
          <w:rFonts w:ascii="Times New Roman" w:hAnsi="Times New Roman"/>
          <w:b/>
          <w:noProof/>
          <w:sz w:val="24"/>
        </w:rPr>
        <w:t>Scarcity Model</w:t>
      </w:r>
    </w:p>
    <w:p w14:paraId="70481C1C" w14:textId="77777777" w:rsidR="00ED16B1" w:rsidRPr="003C0DF0" w:rsidRDefault="00ED16B1" w:rsidP="006E539B">
      <w:pPr>
        <w:pStyle w:val="ListParagraph"/>
        <w:spacing w:after="0" w:line="240" w:lineRule="auto"/>
        <w:ind w:left="0"/>
        <w:jc w:val="both"/>
        <w:rPr>
          <w:rFonts w:ascii="Times New Roman" w:hAnsi="Times New Roman"/>
          <w:b/>
          <w:noProof/>
          <w:sz w:val="24"/>
          <w:szCs w:val="24"/>
        </w:rPr>
      </w:pPr>
    </w:p>
    <w:tbl>
      <w:tblPr>
        <w:tblStyle w:val="TableGrid"/>
        <w:tblW w:w="5000" w:type="pct"/>
        <w:tblLook w:val="04A0" w:firstRow="1" w:lastRow="0" w:firstColumn="1" w:lastColumn="0" w:noHBand="0" w:noVBand="1"/>
      </w:tblPr>
      <w:tblGrid>
        <w:gridCol w:w="1233"/>
        <w:gridCol w:w="1562"/>
        <w:gridCol w:w="1603"/>
        <w:gridCol w:w="1603"/>
        <w:gridCol w:w="1527"/>
        <w:gridCol w:w="1533"/>
      </w:tblGrid>
      <w:tr w:rsidR="00ED16B1" w:rsidRPr="003C0DF0" w14:paraId="284691A7" w14:textId="77777777" w:rsidTr="00942154">
        <w:tc>
          <w:tcPr>
            <w:tcW w:w="684" w:type="pct"/>
            <w:shd w:val="clear" w:color="auto" w:fill="DBE5F1" w:themeFill="accent1" w:themeFillTint="33"/>
            <w:vAlign w:val="bottom"/>
          </w:tcPr>
          <w:p w14:paraId="196B444D" w14:textId="77777777" w:rsidR="00ED16B1" w:rsidRPr="003C0DF0" w:rsidRDefault="00ED16B1" w:rsidP="006E539B">
            <w:pPr>
              <w:pStyle w:val="ListParagraph"/>
              <w:spacing w:after="0" w:line="240" w:lineRule="auto"/>
              <w:ind w:left="0"/>
              <w:jc w:val="both"/>
              <w:rPr>
                <w:rFonts w:ascii="Times New Roman" w:eastAsia="Times New Roman" w:hAnsi="Times New Roman"/>
                <w:b/>
                <w:noProof/>
                <w:sz w:val="24"/>
                <w:szCs w:val="24"/>
              </w:rPr>
            </w:pPr>
            <w:r w:rsidRPr="003C0DF0">
              <w:rPr>
                <w:rFonts w:ascii="Times New Roman" w:hAnsi="Times New Roman"/>
                <w:b/>
                <w:noProof/>
                <w:sz w:val="24"/>
              </w:rPr>
              <w:t>Year</w:t>
            </w:r>
          </w:p>
        </w:tc>
        <w:tc>
          <w:tcPr>
            <w:tcW w:w="866" w:type="pct"/>
            <w:shd w:val="clear" w:color="auto" w:fill="DBE5F1" w:themeFill="accent1" w:themeFillTint="33"/>
            <w:vAlign w:val="bottom"/>
          </w:tcPr>
          <w:p w14:paraId="432807A1" w14:textId="7EE8E937" w:rsidR="00ED16B1" w:rsidRPr="003C0DF0" w:rsidRDefault="00ED16B1" w:rsidP="006E539B">
            <w:pPr>
              <w:pStyle w:val="ListParagraph"/>
              <w:spacing w:after="0" w:line="240" w:lineRule="auto"/>
              <w:ind w:left="0"/>
              <w:jc w:val="both"/>
              <w:rPr>
                <w:rFonts w:ascii="Times New Roman" w:eastAsia="Times New Roman" w:hAnsi="Times New Roman"/>
                <w:i/>
                <w:noProof/>
                <w:sz w:val="24"/>
                <w:szCs w:val="24"/>
              </w:rPr>
            </w:pPr>
            <w:r w:rsidRPr="003C0DF0">
              <w:rPr>
                <w:rFonts w:ascii="Times New Roman" w:hAnsi="Times New Roman"/>
                <w:b/>
              </w:rPr>
              <w:t>Pillar 1 funds</w:t>
            </w:r>
            <w:r w:rsidRPr="003C0DF0">
              <w:rPr>
                <w:rFonts w:ascii="Times New Roman" w:hAnsi="Times New Roman"/>
              </w:rPr>
              <w:t xml:space="preserve"> </w:t>
            </w:r>
            <w:r w:rsidRPr="003C0DF0">
              <w:rPr>
                <w:rFonts w:ascii="Times New Roman" w:hAnsi="Times New Roman"/>
                <w:i/>
              </w:rPr>
              <w:t>(million</w:t>
            </w:r>
            <w:r w:rsidR="003C0DF0" w:rsidRPr="003C0DF0">
              <w:rPr>
                <w:rFonts w:ascii="Times New Roman" w:hAnsi="Times New Roman"/>
                <w:i/>
              </w:rPr>
              <w:t xml:space="preserve"> </w:t>
            </w:r>
            <w:r w:rsidRPr="003C0DF0">
              <w:rPr>
                <w:rFonts w:ascii="Times New Roman" w:hAnsi="Times New Roman"/>
                <w:i/>
                <w:noProof/>
                <w:sz w:val="24"/>
              </w:rPr>
              <w:t>EUR)</w:t>
            </w:r>
          </w:p>
        </w:tc>
        <w:tc>
          <w:tcPr>
            <w:tcW w:w="866" w:type="pct"/>
            <w:shd w:val="clear" w:color="auto" w:fill="DBE5F1" w:themeFill="accent1" w:themeFillTint="33"/>
            <w:vAlign w:val="bottom"/>
          </w:tcPr>
          <w:p w14:paraId="71B9742B" w14:textId="7FC0301A" w:rsidR="00ED16B1" w:rsidRPr="003C0DF0" w:rsidRDefault="00ED16B1" w:rsidP="00942154">
            <w:pPr>
              <w:pStyle w:val="ListParagraph"/>
              <w:spacing w:after="0" w:line="240" w:lineRule="auto"/>
              <w:ind w:left="0"/>
              <w:jc w:val="both"/>
              <w:rPr>
                <w:rFonts w:ascii="Times New Roman" w:eastAsia="Times New Roman" w:hAnsi="Times New Roman"/>
                <w:i/>
                <w:noProof/>
                <w:sz w:val="24"/>
                <w:szCs w:val="24"/>
              </w:rPr>
            </w:pPr>
            <w:r w:rsidRPr="003C0DF0">
              <w:rPr>
                <w:rFonts w:ascii="Times New Roman" w:hAnsi="Times New Roman"/>
                <w:b/>
                <w:noProof/>
                <w:sz w:val="24"/>
              </w:rPr>
              <w:t>Pillar 2</w:t>
            </w:r>
            <w:r w:rsidR="00942154">
              <w:rPr>
                <w:rFonts w:ascii="Times New Roman" w:hAnsi="Times New Roman"/>
                <w:b/>
                <w:noProof/>
                <w:sz w:val="24"/>
              </w:rPr>
              <w:t> </w:t>
            </w:r>
            <w:r w:rsidRPr="003C0DF0">
              <w:rPr>
                <w:rFonts w:ascii="Times New Roman" w:hAnsi="Times New Roman"/>
                <w:b/>
                <w:noProof/>
                <w:sz w:val="24"/>
              </w:rPr>
              <w:t xml:space="preserve">funds </w:t>
            </w:r>
            <w:r w:rsidRPr="003C0DF0">
              <w:rPr>
                <w:rFonts w:ascii="Times New Roman" w:hAnsi="Times New Roman"/>
                <w:i/>
                <w:noProof/>
                <w:sz w:val="24"/>
              </w:rPr>
              <w:t>(million EUR)</w:t>
            </w:r>
          </w:p>
        </w:tc>
        <w:tc>
          <w:tcPr>
            <w:tcW w:w="885" w:type="pct"/>
            <w:shd w:val="clear" w:color="auto" w:fill="DBE5F1" w:themeFill="accent1" w:themeFillTint="33"/>
            <w:vAlign w:val="bottom"/>
          </w:tcPr>
          <w:p w14:paraId="72AA76CD" w14:textId="77777777" w:rsidR="00ED16B1" w:rsidRPr="003C0DF0" w:rsidRDefault="00ED16B1" w:rsidP="006E539B">
            <w:pPr>
              <w:spacing w:after="0" w:line="240" w:lineRule="auto"/>
              <w:jc w:val="both"/>
              <w:rPr>
                <w:rFonts w:ascii="Times New Roman" w:eastAsia="Times New Roman" w:hAnsi="Times New Roman"/>
                <w:b/>
                <w:noProof/>
                <w:sz w:val="24"/>
                <w:szCs w:val="24"/>
              </w:rPr>
            </w:pPr>
            <w:r w:rsidRPr="003C0DF0">
              <w:rPr>
                <w:rFonts w:ascii="Times New Roman" w:hAnsi="Times New Roman"/>
                <w:b/>
                <w:noProof/>
                <w:sz w:val="24"/>
              </w:rPr>
              <w:t>Pillar 3 funds</w:t>
            </w:r>
          </w:p>
          <w:p w14:paraId="109C86F1" w14:textId="77777777" w:rsidR="00ED16B1" w:rsidRPr="003C0DF0" w:rsidRDefault="00ED16B1" w:rsidP="006E539B">
            <w:pPr>
              <w:pStyle w:val="ListParagraph"/>
              <w:spacing w:after="0" w:line="240" w:lineRule="auto"/>
              <w:ind w:left="0"/>
              <w:jc w:val="both"/>
              <w:rPr>
                <w:rFonts w:ascii="Times New Roman" w:eastAsia="Times New Roman" w:hAnsi="Times New Roman"/>
                <w:i/>
                <w:noProof/>
                <w:sz w:val="24"/>
                <w:szCs w:val="24"/>
              </w:rPr>
            </w:pPr>
            <w:r w:rsidRPr="003C0DF0">
              <w:rPr>
                <w:rFonts w:ascii="Times New Roman" w:hAnsi="Times New Roman"/>
                <w:i/>
                <w:noProof/>
                <w:sz w:val="24"/>
              </w:rPr>
              <w:t>(million EUR)</w:t>
            </w:r>
          </w:p>
        </w:tc>
        <w:tc>
          <w:tcPr>
            <w:tcW w:w="849" w:type="pct"/>
            <w:shd w:val="clear" w:color="auto" w:fill="DBE5F1" w:themeFill="accent1" w:themeFillTint="33"/>
            <w:vAlign w:val="bottom"/>
          </w:tcPr>
          <w:p w14:paraId="5FF197C0" w14:textId="77777777" w:rsidR="00ED16B1" w:rsidRPr="003C0DF0" w:rsidRDefault="00ED16B1" w:rsidP="006E539B">
            <w:pPr>
              <w:spacing w:after="0" w:line="240" w:lineRule="auto"/>
              <w:jc w:val="both"/>
              <w:rPr>
                <w:rFonts w:ascii="Times New Roman" w:eastAsia="Times New Roman" w:hAnsi="Times New Roman"/>
                <w:b/>
                <w:noProof/>
                <w:sz w:val="24"/>
                <w:szCs w:val="24"/>
              </w:rPr>
            </w:pPr>
            <w:r w:rsidRPr="003C0DF0">
              <w:rPr>
                <w:rFonts w:ascii="Times New Roman" w:hAnsi="Times New Roman"/>
                <w:b/>
                <w:noProof/>
                <w:sz w:val="24"/>
              </w:rPr>
              <w:t>Tuition fee</w:t>
            </w:r>
          </w:p>
          <w:p w14:paraId="52579689" w14:textId="77777777" w:rsidR="00ED16B1" w:rsidRPr="003C0DF0" w:rsidRDefault="00ED16B1" w:rsidP="006E539B">
            <w:pPr>
              <w:pStyle w:val="ListParagraph"/>
              <w:spacing w:after="0" w:line="240" w:lineRule="auto"/>
              <w:ind w:left="0"/>
              <w:jc w:val="both"/>
              <w:rPr>
                <w:rFonts w:ascii="Times New Roman" w:eastAsia="Times New Roman" w:hAnsi="Times New Roman"/>
                <w:i/>
                <w:noProof/>
                <w:sz w:val="24"/>
                <w:szCs w:val="24"/>
              </w:rPr>
            </w:pPr>
            <w:r w:rsidRPr="003C0DF0">
              <w:rPr>
                <w:rFonts w:ascii="Times New Roman" w:hAnsi="Times New Roman"/>
                <w:i/>
                <w:noProof/>
                <w:sz w:val="24"/>
              </w:rPr>
              <w:t>(million EUR)</w:t>
            </w:r>
          </w:p>
        </w:tc>
        <w:tc>
          <w:tcPr>
            <w:tcW w:w="849" w:type="pct"/>
            <w:shd w:val="clear" w:color="auto" w:fill="DBE5F1" w:themeFill="accent1" w:themeFillTint="33"/>
            <w:vAlign w:val="bottom"/>
          </w:tcPr>
          <w:p w14:paraId="0536F44B" w14:textId="30A5589B" w:rsidR="00ED16B1" w:rsidRPr="003C0DF0" w:rsidRDefault="00ED16B1" w:rsidP="006E539B">
            <w:pPr>
              <w:pStyle w:val="ListParagraph"/>
              <w:spacing w:after="0" w:line="240" w:lineRule="auto"/>
              <w:ind w:left="0"/>
              <w:jc w:val="both"/>
              <w:rPr>
                <w:rFonts w:ascii="Times New Roman" w:eastAsia="Times New Roman" w:hAnsi="Times New Roman"/>
                <w:i/>
                <w:noProof/>
                <w:sz w:val="24"/>
                <w:szCs w:val="24"/>
              </w:rPr>
            </w:pPr>
            <w:r w:rsidRPr="003C0DF0">
              <w:rPr>
                <w:rFonts w:ascii="Times New Roman" w:hAnsi="Times New Roman"/>
                <w:b/>
                <w:noProof/>
                <w:sz w:val="24"/>
              </w:rPr>
              <w:t xml:space="preserve">Total </w:t>
            </w:r>
            <w:r w:rsidRPr="003C0DF0">
              <w:rPr>
                <w:rFonts w:ascii="Times New Roman" w:hAnsi="Times New Roman"/>
                <w:i/>
                <w:noProof/>
                <w:sz w:val="24"/>
              </w:rPr>
              <w:t>(million EUR)</w:t>
            </w:r>
          </w:p>
        </w:tc>
      </w:tr>
      <w:tr w:rsidR="00ED16B1" w:rsidRPr="003C0DF0" w14:paraId="592F7FFA" w14:textId="77777777" w:rsidTr="00942154">
        <w:tc>
          <w:tcPr>
            <w:tcW w:w="684" w:type="pct"/>
            <w:vAlign w:val="bottom"/>
          </w:tcPr>
          <w:p w14:paraId="364E742F" w14:textId="77777777" w:rsidR="00ED16B1" w:rsidRPr="003C0DF0" w:rsidRDefault="00ED16B1" w:rsidP="006E539B">
            <w:pPr>
              <w:pStyle w:val="ListParagraph"/>
              <w:spacing w:after="0" w:line="240" w:lineRule="auto"/>
              <w:ind w:left="0"/>
              <w:jc w:val="both"/>
              <w:rPr>
                <w:rFonts w:ascii="Times New Roman" w:eastAsia="Times New Roman" w:hAnsi="Times New Roman"/>
                <w:noProof/>
                <w:sz w:val="24"/>
                <w:szCs w:val="24"/>
              </w:rPr>
            </w:pPr>
            <w:r w:rsidRPr="003C0DF0">
              <w:rPr>
                <w:rFonts w:ascii="Times New Roman" w:hAnsi="Times New Roman"/>
                <w:noProof/>
                <w:sz w:val="24"/>
              </w:rPr>
              <w:t>2014</w:t>
            </w:r>
          </w:p>
        </w:tc>
        <w:tc>
          <w:tcPr>
            <w:tcW w:w="866" w:type="pct"/>
            <w:vAlign w:val="center"/>
          </w:tcPr>
          <w:p w14:paraId="7ACBF19B" w14:textId="77777777" w:rsidR="00ED16B1" w:rsidRPr="003C0DF0" w:rsidRDefault="00ED16B1" w:rsidP="00DE5551">
            <w:pPr>
              <w:pStyle w:val="ListParagraph"/>
              <w:spacing w:after="0" w:line="240" w:lineRule="auto"/>
              <w:ind w:left="0"/>
              <w:jc w:val="center"/>
              <w:rPr>
                <w:rFonts w:ascii="Times New Roman" w:hAnsi="Times New Roman"/>
                <w:noProof/>
                <w:sz w:val="24"/>
                <w:szCs w:val="24"/>
              </w:rPr>
            </w:pPr>
            <w:r w:rsidRPr="003C0DF0">
              <w:rPr>
                <w:rFonts w:ascii="Times New Roman" w:hAnsi="Times New Roman"/>
                <w:noProof/>
                <w:sz w:val="24"/>
              </w:rPr>
              <w:t>85</w:t>
            </w:r>
          </w:p>
        </w:tc>
        <w:tc>
          <w:tcPr>
            <w:tcW w:w="866" w:type="pct"/>
            <w:vAlign w:val="center"/>
          </w:tcPr>
          <w:p w14:paraId="7D00D2E6" w14:textId="77777777" w:rsidR="00ED16B1" w:rsidRPr="003C0DF0" w:rsidRDefault="00ED16B1" w:rsidP="00DE5551">
            <w:pPr>
              <w:pStyle w:val="ListParagraph"/>
              <w:spacing w:after="0" w:line="240" w:lineRule="auto"/>
              <w:ind w:left="0"/>
              <w:jc w:val="center"/>
              <w:rPr>
                <w:rFonts w:ascii="Times New Roman" w:hAnsi="Times New Roman"/>
                <w:noProof/>
                <w:sz w:val="24"/>
                <w:szCs w:val="24"/>
              </w:rPr>
            </w:pPr>
            <w:r w:rsidRPr="003C0DF0">
              <w:rPr>
                <w:rFonts w:ascii="Times New Roman" w:hAnsi="Times New Roman"/>
                <w:noProof/>
                <w:sz w:val="24"/>
              </w:rPr>
              <w:t>0</w:t>
            </w:r>
          </w:p>
        </w:tc>
        <w:tc>
          <w:tcPr>
            <w:tcW w:w="885" w:type="pct"/>
            <w:vAlign w:val="center"/>
          </w:tcPr>
          <w:p w14:paraId="23A7AAAE" w14:textId="77777777" w:rsidR="00ED16B1" w:rsidRPr="003C0DF0" w:rsidRDefault="00ED16B1" w:rsidP="00DE5551">
            <w:pPr>
              <w:pStyle w:val="ListParagraph"/>
              <w:spacing w:after="0" w:line="240" w:lineRule="auto"/>
              <w:ind w:left="0"/>
              <w:jc w:val="center"/>
              <w:rPr>
                <w:rFonts w:ascii="Times New Roman" w:hAnsi="Times New Roman"/>
                <w:noProof/>
                <w:sz w:val="24"/>
                <w:szCs w:val="24"/>
              </w:rPr>
            </w:pPr>
            <w:r w:rsidRPr="003C0DF0">
              <w:rPr>
                <w:rFonts w:ascii="Times New Roman" w:hAnsi="Times New Roman"/>
                <w:noProof/>
                <w:sz w:val="24"/>
              </w:rPr>
              <w:t>0</w:t>
            </w:r>
          </w:p>
        </w:tc>
        <w:tc>
          <w:tcPr>
            <w:tcW w:w="849" w:type="pct"/>
            <w:vAlign w:val="center"/>
          </w:tcPr>
          <w:p w14:paraId="724BA90E" w14:textId="77777777" w:rsidR="00ED16B1" w:rsidRPr="003C0DF0" w:rsidRDefault="00ED16B1" w:rsidP="00DE5551">
            <w:pPr>
              <w:pStyle w:val="ListParagraph"/>
              <w:spacing w:after="0" w:line="240" w:lineRule="auto"/>
              <w:ind w:left="0"/>
              <w:jc w:val="center"/>
              <w:rPr>
                <w:rFonts w:ascii="Times New Roman" w:hAnsi="Times New Roman"/>
                <w:noProof/>
                <w:sz w:val="24"/>
                <w:szCs w:val="24"/>
              </w:rPr>
            </w:pPr>
            <w:r w:rsidRPr="003C0DF0">
              <w:rPr>
                <w:rFonts w:ascii="Times New Roman" w:hAnsi="Times New Roman"/>
                <w:noProof/>
                <w:sz w:val="24"/>
              </w:rPr>
              <w:t>15</w:t>
            </w:r>
          </w:p>
        </w:tc>
        <w:tc>
          <w:tcPr>
            <w:tcW w:w="849" w:type="pct"/>
            <w:vAlign w:val="center"/>
          </w:tcPr>
          <w:p w14:paraId="5BA161BD" w14:textId="77777777" w:rsidR="00ED16B1" w:rsidRPr="003C0DF0" w:rsidRDefault="00ED16B1" w:rsidP="00DE5551">
            <w:pPr>
              <w:pStyle w:val="ListParagraph"/>
              <w:spacing w:after="0" w:line="240" w:lineRule="auto"/>
              <w:ind w:left="0"/>
              <w:jc w:val="center"/>
              <w:rPr>
                <w:rFonts w:ascii="Times New Roman" w:hAnsi="Times New Roman"/>
                <w:b/>
                <w:bCs/>
                <w:noProof/>
                <w:sz w:val="24"/>
                <w:szCs w:val="24"/>
              </w:rPr>
            </w:pPr>
            <w:r w:rsidRPr="003C0DF0">
              <w:rPr>
                <w:rFonts w:ascii="Times New Roman" w:hAnsi="Times New Roman"/>
                <w:b/>
                <w:noProof/>
                <w:sz w:val="24"/>
              </w:rPr>
              <w:t>100</w:t>
            </w:r>
          </w:p>
        </w:tc>
      </w:tr>
      <w:tr w:rsidR="00ED16B1" w:rsidRPr="003C0DF0" w14:paraId="710763BA" w14:textId="77777777" w:rsidTr="00942154">
        <w:tc>
          <w:tcPr>
            <w:tcW w:w="684" w:type="pct"/>
            <w:shd w:val="clear" w:color="auto" w:fill="auto"/>
            <w:vAlign w:val="bottom"/>
          </w:tcPr>
          <w:p w14:paraId="0E4D7E61" w14:textId="77777777" w:rsidR="00ED16B1" w:rsidRPr="003C0DF0" w:rsidRDefault="00ED16B1" w:rsidP="006E539B">
            <w:pPr>
              <w:pStyle w:val="ListParagraph"/>
              <w:spacing w:after="0" w:line="240" w:lineRule="auto"/>
              <w:ind w:left="0"/>
              <w:jc w:val="both"/>
              <w:rPr>
                <w:rFonts w:ascii="Times New Roman" w:eastAsia="Times New Roman" w:hAnsi="Times New Roman"/>
                <w:noProof/>
                <w:sz w:val="24"/>
                <w:szCs w:val="24"/>
              </w:rPr>
            </w:pPr>
            <w:r w:rsidRPr="003C0DF0">
              <w:rPr>
                <w:rFonts w:ascii="Times New Roman" w:hAnsi="Times New Roman"/>
                <w:noProof/>
                <w:sz w:val="24"/>
              </w:rPr>
              <w:t>2015</w:t>
            </w:r>
          </w:p>
        </w:tc>
        <w:tc>
          <w:tcPr>
            <w:tcW w:w="866" w:type="pct"/>
            <w:shd w:val="clear" w:color="auto" w:fill="auto"/>
            <w:vAlign w:val="center"/>
          </w:tcPr>
          <w:p w14:paraId="4DF5F992" w14:textId="77777777" w:rsidR="00ED16B1" w:rsidRPr="003C0DF0" w:rsidRDefault="00ED16B1" w:rsidP="00DE5551">
            <w:pPr>
              <w:pStyle w:val="ListParagraph"/>
              <w:spacing w:after="0" w:line="240" w:lineRule="auto"/>
              <w:ind w:left="0"/>
              <w:jc w:val="center"/>
              <w:rPr>
                <w:rFonts w:ascii="Times New Roman" w:hAnsi="Times New Roman"/>
                <w:noProof/>
                <w:sz w:val="24"/>
                <w:szCs w:val="24"/>
              </w:rPr>
            </w:pPr>
            <w:r w:rsidRPr="003C0DF0">
              <w:rPr>
                <w:rFonts w:ascii="Times New Roman" w:hAnsi="Times New Roman"/>
                <w:noProof/>
                <w:sz w:val="24"/>
              </w:rPr>
              <w:t>82.9</w:t>
            </w:r>
          </w:p>
        </w:tc>
        <w:tc>
          <w:tcPr>
            <w:tcW w:w="866" w:type="pct"/>
            <w:shd w:val="clear" w:color="auto" w:fill="auto"/>
            <w:vAlign w:val="center"/>
          </w:tcPr>
          <w:p w14:paraId="707447ED" w14:textId="77777777" w:rsidR="00ED16B1" w:rsidRPr="003C0DF0" w:rsidRDefault="00ED16B1" w:rsidP="00DE5551">
            <w:pPr>
              <w:pStyle w:val="ListParagraph"/>
              <w:spacing w:after="0" w:line="240" w:lineRule="auto"/>
              <w:ind w:left="0"/>
              <w:jc w:val="center"/>
              <w:rPr>
                <w:rFonts w:ascii="Times New Roman" w:hAnsi="Times New Roman"/>
                <w:noProof/>
                <w:sz w:val="24"/>
                <w:szCs w:val="24"/>
              </w:rPr>
            </w:pPr>
            <w:r w:rsidRPr="003C0DF0">
              <w:rPr>
                <w:rFonts w:ascii="Times New Roman" w:hAnsi="Times New Roman"/>
                <w:noProof/>
                <w:sz w:val="24"/>
              </w:rPr>
              <w:t>3</w:t>
            </w:r>
          </w:p>
        </w:tc>
        <w:tc>
          <w:tcPr>
            <w:tcW w:w="885" w:type="pct"/>
            <w:shd w:val="clear" w:color="auto" w:fill="auto"/>
            <w:vAlign w:val="center"/>
          </w:tcPr>
          <w:p w14:paraId="37F852E6" w14:textId="77777777" w:rsidR="00ED16B1" w:rsidRPr="003C0DF0" w:rsidRDefault="00ED16B1" w:rsidP="00DE5551">
            <w:pPr>
              <w:pStyle w:val="ListParagraph"/>
              <w:spacing w:after="0" w:line="240" w:lineRule="auto"/>
              <w:ind w:left="0"/>
              <w:jc w:val="center"/>
              <w:rPr>
                <w:rFonts w:ascii="Times New Roman" w:hAnsi="Times New Roman"/>
                <w:noProof/>
                <w:sz w:val="24"/>
                <w:szCs w:val="24"/>
              </w:rPr>
            </w:pPr>
            <w:r w:rsidRPr="003C0DF0">
              <w:rPr>
                <w:rFonts w:ascii="Times New Roman" w:hAnsi="Times New Roman"/>
                <w:noProof/>
                <w:sz w:val="24"/>
              </w:rPr>
              <w:t>2</w:t>
            </w:r>
          </w:p>
        </w:tc>
        <w:tc>
          <w:tcPr>
            <w:tcW w:w="849" w:type="pct"/>
            <w:shd w:val="clear" w:color="auto" w:fill="auto"/>
            <w:vAlign w:val="center"/>
          </w:tcPr>
          <w:p w14:paraId="4C910883" w14:textId="77777777" w:rsidR="00ED16B1" w:rsidRPr="003C0DF0" w:rsidRDefault="00ED16B1" w:rsidP="00DE5551">
            <w:pPr>
              <w:pStyle w:val="ListParagraph"/>
              <w:spacing w:after="0" w:line="240" w:lineRule="auto"/>
              <w:ind w:left="0"/>
              <w:jc w:val="center"/>
              <w:rPr>
                <w:rFonts w:ascii="Times New Roman" w:hAnsi="Times New Roman"/>
                <w:noProof/>
                <w:sz w:val="24"/>
                <w:szCs w:val="24"/>
              </w:rPr>
            </w:pPr>
            <w:r w:rsidRPr="003C0DF0">
              <w:rPr>
                <w:rFonts w:ascii="Times New Roman" w:hAnsi="Times New Roman"/>
                <w:noProof/>
                <w:sz w:val="24"/>
              </w:rPr>
              <w:t>15</w:t>
            </w:r>
          </w:p>
        </w:tc>
        <w:tc>
          <w:tcPr>
            <w:tcW w:w="849" w:type="pct"/>
            <w:shd w:val="clear" w:color="auto" w:fill="auto"/>
            <w:vAlign w:val="center"/>
          </w:tcPr>
          <w:p w14:paraId="730063F3" w14:textId="77777777" w:rsidR="00ED16B1" w:rsidRPr="003C0DF0" w:rsidRDefault="00ED16B1" w:rsidP="00DE5551">
            <w:pPr>
              <w:pStyle w:val="ListParagraph"/>
              <w:spacing w:after="0" w:line="240" w:lineRule="auto"/>
              <w:ind w:left="0"/>
              <w:jc w:val="center"/>
              <w:rPr>
                <w:rFonts w:ascii="Times New Roman" w:hAnsi="Times New Roman"/>
                <w:b/>
                <w:bCs/>
                <w:noProof/>
                <w:sz w:val="24"/>
                <w:szCs w:val="24"/>
              </w:rPr>
            </w:pPr>
            <w:r w:rsidRPr="003C0DF0">
              <w:rPr>
                <w:rFonts w:ascii="Times New Roman" w:hAnsi="Times New Roman"/>
                <w:b/>
                <w:noProof/>
                <w:sz w:val="24"/>
              </w:rPr>
              <w:t>102.9</w:t>
            </w:r>
          </w:p>
        </w:tc>
      </w:tr>
      <w:tr w:rsidR="00ED16B1" w:rsidRPr="003C0DF0" w14:paraId="66716853" w14:textId="77777777" w:rsidTr="00942154">
        <w:tc>
          <w:tcPr>
            <w:tcW w:w="684" w:type="pct"/>
            <w:shd w:val="clear" w:color="auto" w:fill="auto"/>
            <w:vAlign w:val="bottom"/>
          </w:tcPr>
          <w:p w14:paraId="4389B98D" w14:textId="77777777" w:rsidR="00ED16B1" w:rsidRPr="003C0DF0" w:rsidRDefault="00ED16B1" w:rsidP="006E539B">
            <w:pPr>
              <w:pStyle w:val="ListParagraph"/>
              <w:spacing w:after="0" w:line="240" w:lineRule="auto"/>
              <w:ind w:left="0"/>
              <w:jc w:val="both"/>
              <w:rPr>
                <w:rFonts w:ascii="Times New Roman" w:eastAsia="Times New Roman" w:hAnsi="Times New Roman"/>
                <w:noProof/>
                <w:sz w:val="24"/>
                <w:szCs w:val="24"/>
              </w:rPr>
            </w:pPr>
            <w:r w:rsidRPr="003C0DF0">
              <w:rPr>
                <w:rFonts w:ascii="Times New Roman" w:hAnsi="Times New Roman"/>
                <w:noProof/>
                <w:sz w:val="24"/>
              </w:rPr>
              <w:t>2016</w:t>
            </w:r>
          </w:p>
        </w:tc>
        <w:tc>
          <w:tcPr>
            <w:tcW w:w="866" w:type="pct"/>
            <w:shd w:val="clear" w:color="auto" w:fill="auto"/>
            <w:vAlign w:val="center"/>
          </w:tcPr>
          <w:p w14:paraId="15A02E1E" w14:textId="77777777" w:rsidR="00ED16B1" w:rsidRPr="003C0DF0" w:rsidRDefault="00ED16B1" w:rsidP="00DE5551">
            <w:pPr>
              <w:pStyle w:val="ListParagraph"/>
              <w:spacing w:after="0" w:line="240" w:lineRule="auto"/>
              <w:ind w:left="0"/>
              <w:jc w:val="center"/>
              <w:rPr>
                <w:rFonts w:ascii="Times New Roman" w:hAnsi="Times New Roman"/>
                <w:noProof/>
                <w:sz w:val="24"/>
                <w:szCs w:val="24"/>
              </w:rPr>
            </w:pPr>
            <w:r w:rsidRPr="003C0DF0">
              <w:rPr>
                <w:rFonts w:ascii="Times New Roman" w:hAnsi="Times New Roman"/>
                <w:noProof/>
                <w:sz w:val="24"/>
              </w:rPr>
              <w:t>80.8</w:t>
            </w:r>
          </w:p>
        </w:tc>
        <w:tc>
          <w:tcPr>
            <w:tcW w:w="866" w:type="pct"/>
            <w:shd w:val="clear" w:color="auto" w:fill="auto"/>
            <w:vAlign w:val="center"/>
          </w:tcPr>
          <w:p w14:paraId="3D15EAD9" w14:textId="77777777" w:rsidR="00ED16B1" w:rsidRPr="003C0DF0" w:rsidRDefault="00ED16B1" w:rsidP="00DE5551">
            <w:pPr>
              <w:pStyle w:val="ListParagraph"/>
              <w:spacing w:after="0" w:line="240" w:lineRule="auto"/>
              <w:ind w:left="0"/>
              <w:jc w:val="center"/>
              <w:rPr>
                <w:rFonts w:ascii="Times New Roman" w:hAnsi="Times New Roman"/>
                <w:noProof/>
                <w:sz w:val="24"/>
                <w:szCs w:val="24"/>
              </w:rPr>
            </w:pPr>
            <w:r w:rsidRPr="003C0DF0">
              <w:rPr>
                <w:rFonts w:ascii="Times New Roman" w:hAnsi="Times New Roman"/>
                <w:noProof/>
                <w:sz w:val="24"/>
              </w:rPr>
              <w:t>3.6</w:t>
            </w:r>
          </w:p>
        </w:tc>
        <w:tc>
          <w:tcPr>
            <w:tcW w:w="885" w:type="pct"/>
            <w:shd w:val="clear" w:color="auto" w:fill="auto"/>
            <w:vAlign w:val="center"/>
          </w:tcPr>
          <w:p w14:paraId="0CDF5848" w14:textId="77777777" w:rsidR="00ED16B1" w:rsidRPr="003C0DF0" w:rsidRDefault="00ED16B1" w:rsidP="00DE5551">
            <w:pPr>
              <w:pStyle w:val="ListParagraph"/>
              <w:spacing w:after="0" w:line="240" w:lineRule="auto"/>
              <w:ind w:left="0"/>
              <w:jc w:val="center"/>
              <w:rPr>
                <w:rFonts w:ascii="Times New Roman" w:hAnsi="Times New Roman"/>
                <w:noProof/>
                <w:sz w:val="24"/>
                <w:szCs w:val="24"/>
              </w:rPr>
            </w:pPr>
            <w:r w:rsidRPr="003C0DF0">
              <w:rPr>
                <w:rFonts w:ascii="Times New Roman" w:hAnsi="Times New Roman"/>
                <w:noProof/>
                <w:sz w:val="24"/>
              </w:rPr>
              <w:t>2.4</w:t>
            </w:r>
          </w:p>
        </w:tc>
        <w:tc>
          <w:tcPr>
            <w:tcW w:w="849" w:type="pct"/>
            <w:shd w:val="clear" w:color="auto" w:fill="auto"/>
            <w:vAlign w:val="center"/>
          </w:tcPr>
          <w:p w14:paraId="6F4A86A3" w14:textId="77777777" w:rsidR="00ED16B1" w:rsidRPr="003C0DF0" w:rsidRDefault="00ED16B1" w:rsidP="00DE5551">
            <w:pPr>
              <w:pStyle w:val="ListParagraph"/>
              <w:spacing w:after="0" w:line="240" w:lineRule="auto"/>
              <w:ind w:left="0"/>
              <w:jc w:val="center"/>
              <w:rPr>
                <w:rFonts w:ascii="Times New Roman" w:hAnsi="Times New Roman"/>
                <w:noProof/>
                <w:sz w:val="24"/>
                <w:szCs w:val="24"/>
              </w:rPr>
            </w:pPr>
            <w:r w:rsidRPr="003C0DF0">
              <w:rPr>
                <w:rFonts w:ascii="Times New Roman" w:hAnsi="Times New Roman"/>
                <w:noProof/>
                <w:sz w:val="24"/>
              </w:rPr>
              <w:t>15</w:t>
            </w:r>
          </w:p>
        </w:tc>
        <w:tc>
          <w:tcPr>
            <w:tcW w:w="849" w:type="pct"/>
            <w:shd w:val="clear" w:color="auto" w:fill="auto"/>
            <w:vAlign w:val="center"/>
          </w:tcPr>
          <w:p w14:paraId="191C1C2B" w14:textId="77777777" w:rsidR="00ED16B1" w:rsidRPr="003C0DF0" w:rsidRDefault="00ED16B1" w:rsidP="00DE5551">
            <w:pPr>
              <w:pStyle w:val="ListParagraph"/>
              <w:spacing w:after="0" w:line="240" w:lineRule="auto"/>
              <w:ind w:left="0"/>
              <w:jc w:val="center"/>
              <w:rPr>
                <w:rFonts w:ascii="Times New Roman" w:hAnsi="Times New Roman"/>
                <w:b/>
                <w:bCs/>
                <w:noProof/>
                <w:sz w:val="24"/>
                <w:szCs w:val="24"/>
              </w:rPr>
            </w:pPr>
            <w:r w:rsidRPr="003C0DF0">
              <w:rPr>
                <w:rFonts w:ascii="Times New Roman" w:hAnsi="Times New Roman"/>
                <w:b/>
                <w:noProof/>
                <w:sz w:val="24"/>
              </w:rPr>
              <w:t>101.8</w:t>
            </w:r>
          </w:p>
        </w:tc>
      </w:tr>
      <w:tr w:rsidR="00ED16B1" w:rsidRPr="003C0DF0" w14:paraId="32569206" w14:textId="77777777" w:rsidTr="00942154">
        <w:tc>
          <w:tcPr>
            <w:tcW w:w="684" w:type="pct"/>
            <w:shd w:val="clear" w:color="auto" w:fill="auto"/>
            <w:vAlign w:val="bottom"/>
          </w:tcPr>
          <w:p w14:paraId="27BC15AA" w14:textId="77777777" w:rsidR="00ED16B1" w:rsidRPr="003C0DF0" w:rsidRDefault="00ED16B1" w:rsidP="006E539B">
            <w:pPr>
              <w:pStyle w:val="ListParagraph"/>
              <w:spacing w:after="0" w:line="240" w:lineRule="auto"/>
              <w:ind w:left="0"/>
              <w:jc w:val="both"/>
              <w:rPr>
                <w:rFonts w:ascii="Times New Roman" w:eastAsia="Times New Roman" w:hAnsi="Times New Roman"/>
                <w:noProof/>
                <w:sz w:val="24"/>
                <w:szCs w:val="24"/>
              </w:rPr>
            </w:pPr>
            <w:r w:rsidRPr="003C0DF0">
              <w:rPr>
                <w:rFonts w:ascii="Times New Roman" w:hAnsi="Times New Roman"/>
                <w:noProof/>
                <w:sz w:val="24"/>
              </w:rPr>
              <w:t>2017</w:t>
            </w:r>
          </w:p>
        </w:tc>
        <w:tc>
          <w:tcPr>
            <w:tcW w:w="866" w:type="pct"/>
            <w:shd w:val="clear" w:color="auto" w:fill="auto"/>
            <w:vAlign w:val="center"/>
          </w:tcPr>
          <w:p w14:paraId="7597E89B" w14:textId="77777777" w:rsidR="00ED16B1" w:rsidRPr="003C0DF0" w:rsidRDefault="00ED16B1" w:rsidP="00DE5551">
            <w:pPr>
              <w:pStyle w:val="ListParagraph"/>
              <w:spacing w:after="0" w:line="240" w:lineRule="auto"/>
              <w:ind w:left="0"/>
              <w:jc w:val="center"/>
              <w:rPr>
                <w:rFonts w:ascii="Times New Roman" w:hAnsi="Times New Roman"/>
                <w:noProof/>
                <w:sz w:val="24"/>
                <w:szCs w:val="24"/>
              </w:rPr>
            </w:pPr>
            <w:r w:rsidRPr="003C0DF0">
              <w:rPr>
                <w:rFonts w:ascii="Times New Roman" w:hAnsi="Times New Roman"/>
                <w:noProof/>
                <w:sz w:val="24"/>
              </w:rPr>
              <w:t>78.8</w:t>
            </w:r>
          </w:p>
        </w:tc>
        <w:tc>
          <w:tcPr>
            <w:tcW w:w="866" w:type="pct"/>
            <w:shd w:val="clear" w:color="auto" w:fill="auto"/>
            <w:vAlign w:val="center"/>
          </w:tcPr>
          <w:p w14:paraId="5FC377F2" w14:textId="77777777" w:rsidR="00ED16B1" w:rsidRPr="003C0DF0" w:rsidRDefault="00ED16B1" w:rsidP="00DE5551">
            <w:pPr>
              <w:pStyle w:val="ListParagraph"/>
              <w:spacing w:after="0" w:line="240" w:lineRule="auto"/>
              <w:ind w:left="0"/>
              <w:jc w:val="center"/>
              <w:rPr>
                <w:rFonts w:ascii="Times New Roman" w:hAnsi="Times New Roman"/>
                <w:noProof/>
                <w:sz w:val="24"/>
                <w:szCs w:val="24"/>
              </w:rPr>
            </w:pPr>
            <w:r w:rsidRPr="003C0DF0">
              <w:rPr>
                <w:rFonts w:ascii="Times New Roman" w:hAnsi="Times New Roman"/>
                <w:noProof/>
                <w:sz w:val="24"/>
              </w:rPr>
              <w:t>4.3</w:t>
            </w:r>
          </w:p>
        </w:tc>
        <w:tc>
          <w:tcPr>
            <w:tcW w:w="885" w:type="pct"/>
            <w:shd w:val="clear" w:color="auto" w:fill="auto"/>
            <w:vAlign w:val="center"/>
          </w:tcPr>
          <w:p w14:paraId="68DD5FA5" w14:textId="77777777" w:rsidR="00ED16B1" w:rsidRPr="003C0DF0" w:rsidRDefault="00ED16B1" w:rsidP="00DE5551">
            <w:pPr>
              <w:pStyle w:val="ListParagraph"/>
              <w:spacing w:after="0" w:line="240" w:lineRule="auto"/>
              <w:ind w:left="0"/>
              <w:jc w:val="center"/>
              <w:rPr>
                <w:rFonts w:ascii="Times New Roman" w:hAnsi="Times New Roman"/>
                <w:noProof/>
                <w:sz w:val="24"/>
                <w:szCs w:val="24"/>
              </w:rPr>
            </w:pPr>
            <w:r w:rsidRPr="003C0DF0">
              <w:rPr>
                <w:rFonts w:ascii="Times New Roman" w:hAnsi="Times New Roman"/>
                <w:noProof/>
                <w:sz w:val="24"/>
              </w:rPr>
              <w:t>2.9</w:t>
            </w:r>
          </w:p>
        </w:tc>
        <w:tc>
          <w:tcPr>
            <w:tcW w:w="849" w:type="pct"/>
            <w:shd w:val="clear" w:color="auto" w:fill="auto"/>
            <w:vAlign w:val="center"/>
          </w:tcPr>
          <w:p w14:paraId="0FAB29E4" w14:textId="77777777" w:rsidR="00ED16B1" w:rsidRPr="003C0DF0" w:rsidRDefault="00ED16B1" w:rsidP="00DE5551">
            <w:pPr>
              <w:pStyle w:val="ListParagraph"/>
              <w:spacing w:after="0" w:line="240" w:lineRule="auto"/>
              <w:ind w:left="0"/>
              <w:jc w:val="center"/>
              <w:rPr>
                <w:rFonts w:ascii="Times New Roman" w:hAnsi="Times New Roman"/>
                <w:noProof/>
                <w:sz w:val="24"/>
                <w:szCs w:val="24"/>
              </w:rPr>
            </w:pPr>
            <w:r w:rsidRPr="003C0DF0">
              <w:rPr>
                <w:rFonts w:ascii="Times New Roman" w:hAnsi="Times New Roman"/>
                <w:noProof/>
                <w:sz w:val="24"/>
              </w:rPr>
              <w:t>15</w:t>
            </w:r>
          </w:p>
        </w:tc>
        <w:tc>
          <w:tcPr>
            <w:tcW w:w="849" w:type="pct"/>
            <w:shd w:val="clear" w:color="auto" w:fill="auto"/>
            <w:vAlign w:val="center"/>
          </w:tcPr>
          <w:p w14:paraId="3472C75A" w14:textId="77777777" w:rsidR="00ED16B1" w:rsidRPr="003C0DF0" w:rsidRDefault="00ED16B1" w:rsidP="00DE5551">
            <w:pPr>
              <w:pStyle w:val="ListParagraph"/>
              <w:spacing w:after="0" w:line="240" w:lineRule="auto"/>
              <w:ind w:left="0"/>
              <w:jc w:val="center"/>
              <w:rPr>
                <w:rFonts w:ascii="Times New Roman" w:hAnsi="Times New Roman"/>
                <w:b/>
                <w:bCs/>
                <w:noProof/>
                <w:sz w:val="24"/>
                <w:szCs w:val="24"/>
              </w:rPr>
            </w:pPr>
            <w:r w:rsidRPr="003C0DF0">
              <w:rPr>
                <w:rFonts w:ascii="Times New Roman" w:hAnsi="Times New Roman"/>
                <w:b/>
                <w:noProof/>
                <w:sz w:val="24"/>
              </w:rPr>
              <w:t>101</w:t>
            </w:r>
          </w:p>
        </w:tc>
      </w:tr>
      <w:tr w:rsidR="00ED16B1" w:rsidRPr="003C0DF0" w14:paraId="3AB7E190" w14:textId="77777777" w:rsidTr="00942154">
        <w:tc>
          <w:tcPr>
            <w:tcW w:w="684" w:type="pct"/>
            <w:vAlign w:val="bottom"/>
          </w:tcPr>
          <w:p w14:paraId="3E2CD136" w14:textId="77777777" w:rsidR="00ED16B1" w:rsidRPr="003C0DF0" w:rsidRDefault="00ED16B1" w:rsidP="006E539B">
            <w:pPr>
              <w:pStyle w:val="ListParagraph"/>
              <w:spacing w:after="0" w:line="240" w:lineRule="auto"/>
              <w:ind w:left="0"/>
              <w:jc w:val="both"/>
              <w:rPr>
                <w:rFonts w:ascii="Times New Roman" w:eastAsia="Times New Roman" w:hAnsi="Times New Roman"/>
                <w:noProof/>
                <w:sz w:val="24"/>
                <w:szCs w:val="24"/>
              </w:rPr>
            </w:pPr>
            <w:r w:rsidRPr="003C0DF0">
              <w:rPr>
                <w:rFonts w:ascii="Times New Roman" w:hAnsi="Times New Roman"/>
                <w:noProof/>
                <w:sz w:val="24"/>
              </w:rPr>
              <w:t>2018</w:t>
            </w:r>
          </w:p>
        </w:tc>
        <w:tc>
          <w:tcPr>
            <w:tcW w:w="866" w:type="pct"/>
            <w:vAlign w:val="center"/>
          </w:tcPr>
          <w:p w14:paraId="5862E712" w14:textId="77777777" w:rsidR="00ED16B1" w:rsidRPr="003C0DF0" w:rsidRDefault="00ED16B1" w:rsidP="00DE5551">
            <w:pPr>
              <w:pStyle w:val="ListParagraph"/>
              <w:spacing w:after="0" w:line="240" w:lineRule="auto"/>
              <w:ind w:left="0"/>
              <w:jc w:val="center"/>
              <w:rPr>
                <w:rFonts w:ascii="Times New Roman" w:hAnsi="Times New Roman"/>
                <w:noProof/>
                <w:sz w:val="24"/>
                <w:szCs w:val="24"/>
              </w:rPr>
            </w:pPr>
            <w:r w:rsidRPr="003C0DF0">
              <w:rPr>
                <w:rFonts w:ascii="Times New Roman" w:hAnsi="Times New Roman"/>
                <w:noProof/>
                <w:sz w:val="24"/>
              </w:rPr>
              <w:t>76.8</w:t>
            </w:r>
          </w:p>
        </w:tc>
        <w:tc>
          <w:tcPr>
            <w:tcW w:w="866" w:type="pct"/>
            <w:vAlign w:val="center"/>
          </w:tcPr>
          <w:p w14:paraId="6547914D" w14:textId="77777777" w:rsidR="00ED16B1" w:rsidRPr="003C0DF0" w:rsidRDefault="00ED16B1" w:rsidP="00DE5551">
            <w:pPr>
              <w:pStyle w:val="ListParagraph"/>
              <w:spacing w:after="0" w:line="240" w:lineRule="auto"/>
              <w:ind w:left="0"/>
              <w:jc w:val="center"/>
              <w:rPr>
                <w:rFonts w:ascii="Times New Roman" w:hAnsi="Times New Roman"/>
                <w:noProof/>
                <w:sz w:val="24"/>
                <w:szCs w:val="24"/>
              </w:rPr>
            </w:pPr>
            <w:r w:rsidRPr="003C0DF0">
              <w:rPr>
                <w:rFonts w:ascii="Times New Roman" w:hAnsi="Times New Roman"/>
                <w:noProof/>
                <w:sz w:val="24"/>
              </w:rPr>
              <w:t>5.2</w:t>
            </w:r>
          </w:p>
        </w:tc>
        <w:tc>
          <w:tcPr>
            <w:tcW w:w="885" w:type="pct"/>
            <w:vAlign w:val="center"/>
          </w:tcPr>
          <w:p w14:paraId="059E292B" w14:textId="77777777" w:rsidR="00ED16B1" w:rsidRPr="003C0DF0" w:rsidRDefault="00ED16B1" w:rsidP="00DE5551">
            <w:pPr>
              <w:pStyle w:val="ListParagraph"/>
              <w:spacing w:after="0" w:line="240" w:lineRule="auto"/>
              <w:ind w:left="0"/>
              <w:jc w:val="center"/>
              <w:rPr>
                <w:rFonts w:ascii="Times New Roman" w:hAnsi="Times New Roman"/>
                <w:noProof/>
                <w:sz w:val="24"/>
                <w:szCs w:val="24"/>
              </w:rPr>
            </w:pPr>
            <w:r w:rsidRPr="003C0DF0">
              <w:rPr>
                <w:rFonts w:ascii="Times New Roman" w:hAnsi="Times New Roman"/>
                <w:noProof/>
                <w:sz w:val="24"/>
              </w:rPr>
              <w:t>3.5</w:t>
            </w:r>
          </w:p>
        </w:tc>
        <w:tc>
          <w:tcPr>
            <w:tcW w:w="849" w:type="pct"/>
            <w:vAlign w:val="center"/>
          </w:tcPr>
          <w:p w14:paraId="1F9E0335" w14:textId="77777777" w:rsidR="00ED16B1" w:rsidRPr="003C0DF0" w:rsidRDefault="00ED16B1" w:rsidP="00DE5551">
            <w:pPr>
              <w:pStyle w:val="ListParagraph"/>
              <w:spacing w:after="0" w:line="240" w:lineRule="auto"/>
              <w:ind w:left="0"/>
              <w:jc w:val="center"/>
              <w:rPr>
                <w:rFonts w:ascii="Times New Roman" w:hAnsi="Times New Roman"/>
                <w:noProof/>
                <w:sz w:val="24"/>
                <w:szCs w:val="24"/>
              </w:rPr>
            </w:pPr>
            <w:r w:rsidRPr="003C0DF0">
              <w:rPr>
                <w:rFonts w:ascii="Times New Roman" w:hAnsi="Times New Roman"/>
                <w:noProof/>
                <w:sz w:val="24"/>
              </w:rPr>
              <w:t>15</w:t>
            </w:r>
          </w:p>
        </w:tc>
        <w:tc>
          <w:tcPr>
            <w:tcW w:w="849" w:type="pct"/>
            <w:vAlign w:val="center"/>
          </w:tcPr>
          <w:p w14:paraId="0BEDBEA8" w14:textId="77777777" w:rsidR="00ED16B1" w:rsidRPr="003C0DF0" w:rsidRDefault="00ED16B1" w:rsidP="00DE5551">
            <w:pPr>
              <w:pStyle w:val="ListParagraph"/>
              <w:spacing w:after="0" w:line="240" w:lineRule="auto"/>
              <w:ind w:left="0"/>
              <w:jc w:val="center"/>
              <w:rPr>
                <w:rFonts w:ascii="Times New Roman" w:hAnsi="Times New Roman"/>
                <w:b/>
                <w:bCs/>
                <w:noProof/>
                <w:sz w:val="24"/>
                <w:szCs w:val="24"/>
              </w:rPr>
            </w:pPr>
            <w:r w:rsidRPr="003C0DF0">
              <w:rPr>
                <w:rFonts w:ascii="Times New Roman" w:hAnsi="Times New Roman"/>
                <w:b/>
                <w:noProof/>
                <w:sz w:val="24"/>
              </w:rPr>
              <w:t>100.5</w:t>
            </w:r>
          </w:p>
        </w:tc>
      </w:tr>
      <w:tr w:rsidR="00ED16B1" w:rsidRPr="003C0DF0" w14:paraId="241D9F26" w14:textId="77777777" w:rsidTr="00942154">
        <w:tc>
          <w:tcPr>
            <w:tcW w:w="684" w:type="pct"/>
            <w:vAlign w:val="bottom"/>
          </w:tcPr>
          <w:p w14:paraId="3B55236F" w14:textId="77777777" w:rsidR="00ED16B1" w:rsidRPr="003C0DF0" w:rsidRDefault="00ED16B1" w:rsidP="006E539B">
            <w:pPr>
              <w:pStyle w:val="ListParagraph"/>
              <w:spacing w:after="0" w:line="240" w:lineRule="auto"/>
              <w:ind w:left="0"/>
              <w:jc w:val="both"/>
              <w:rPr>
                <w:rFonts w:ascii="Times New Roman" w:eastAsia="Times New Roman" w:hAnsi="Times New Roman"/>
                <w:noProof/>
                <w:sz w:val="24"/>
                <w:szCs w:val="24"/>
              </w:rPr>
            </w:pPr>
            <w:r w:rsidRPr="003C0DF0">
              <w:rPr>
                <w:rFonts w:ascii="Times New Roman" w:hAnsi="Times New Roman"/>
                <w:noProof/>
                <w:sz w:val="24"/>
              </w:rPr>
              <w:t>2019</w:t>
            </w:r>
          </w:p>
        </w:tc>
        <w:tc>
          <w:tcPr>
            <w:tcW w:w="866" w:type="pct"/>
            <w:vAlign w:val="center"/>
          </w:tcPr>
          <w:p w14:paraId="4C3D3629" w14:textId="77777777" w:rsidR="00ED16B1" w:rsidRPr="003C0DF0" w:rsidRDefault="00ED16B1" w:rsidP="00DE5551">
            <w:pPr>
              <w:pStyle w:val="ListParagraph"/>
              <w:spacing w:after="0" w:line="240" w:lineRule="auto"/>
              <w:ind w:left="0"/>
              <w:jc w:val="center"/>
              <w:rPr>
                <w:rFonts w:ascii="Times New Roman" w:hAnsi="Times New Roman"/>
                <w:noProof/>
                <w:sz w:val="24"/>
                <w:szCs w:val="24"/>
              </w:rPr>
            </w:pPr>
            <w:r w:rsidRPr="003C0DF0">
              <w:rPr>
                <w:rFonts w:ascii="Times New Roman" w:hAnsi="Times New Roman"/>
                <w:noProof/>
                <w:sz w:val="24"/>
              </w:rPr>
              <w:t>74.9</w:t>
            </w:r>
          </w:p>
        </w:tc>
        <w:tc>
          <w:tcPr>
            <w:tcW w:w="866" w:type="pct"/>
            <w:vAlign w:val="center"/>
          </w:tcPr>
          <w:p w14:paraId="63539EC1" w14:textId="77777777" w:rsidR="00ED16B1" w:rsidRPr="003C0DF0" w:rsidRDefault="00ED16B1" w:rsidP="00DE5551">
            <w:pPr>
              <w:pStyle w:val="ListParagraph"/>
              <w:spacing w:after="0" w:line="240" w:lineRule="auto"/>
              <w:ind w:left="0"/>
              <w:jc w:val="center"/>
              <w:rPr>
                <w:rFonts w:ascii="Times New Roman" w:hAnsi="Times New Roman"/>
                <w:noProof/>
                <w:sz w:val="24"/>
                <w:szCs w:val="24"/>
              </w:rPr>
            </w:pPr>
            <w:r w:rsidRPr="003C0DF0">
              <w:rPr>
                <w:rFonts w:ascii="Times New Roman" w:hAnsi="Times New Roman"/>
                <w:noProof/>
                <w:sz w:val="24"/>
              </w:rPr>
              <w:t>6.2</w:t>
            </w:r>
          </w:p>
        </w:tc>
        <w:tc>
          <w:tcPr>
            <w:tcW w:w="885" w:type="pct"/>
            <w:vAlign w:val="center"/>
          </w:tcPr>
          <w:p w14:paraId="19FE467B" w14:textId="77777777" w:rsidR="00ED16B1" w:rsidRPr="003C0DF0" w:rsidRDefault="00ED16B1" w:rsidP="00DE5551">
            <w:pPr>
              <w:pStyle w:val="ListParagraph"/>
              <w:spacing w:after="0" w:line="240" w:lineRule="auto"/>
              <w:ind w:left="0"/>
              <w:jc w:val="center"/>
              <w:rPr>
                <w:rFonts w:ascii="Times New Roman" w:hAnsi="Times New Roman"/>
                <w:noProof/>
                <w:sz w:val="24"/>
                <w:szCs w:val="24"/>
              </w:rPr>
            </w:pPr>
            <w:r w:rsidRPr="003C0DF0">
              <w:rPr>
                <w:rFonts w:ascii="Times New Roman" w:hAnsi="Times New Roman"/>
                <w:noProof/>
                <w:sz w:val="24"/>
              </w:rPr>
              <w:t>4.1</w:t>
            </w:r>
          </w:p>
        </w:tc>
        <w:tc>
          <w:tcPr>
            <w:tcW w:w="849" w:type="pct"/>
            <w:vAlign w:val="center"/>
          </w:tcPr>
          <w:p w14:paraId="4AE29388" w14:textId="77777777" w:rsidR="00ED16B1" w:rsidRPr="003C0DF0" w:rsidRDefault="00ED16B1" w:rsidP="00DE5551">
            <w:pPr>
              <w:pStyle w:val="ListParagraph"/>
              <w:spacing w:after="0" w:line="240" w:lineRule="auto"/>
              <w:ind w:left="0"/>
              <w:jc w:val="center"/>
              <w:rPr>
                <w:rFonts w:ascii="Times New Roman" w:hAnsi="Times New Roman"/>
                <w:noProof/>
                <w:sz w:val="24"/>
                <w:szCs w:val="24"/>
              </w:rPr>
            </w:pPr>
            <w:r w:rsidRPr="003C0DF0">
              <w:rPr>
                <w:rFonts w:ascii="Times New Roman" w:hAnsi="Times New Roman"/>
                <w:noProof/>
                <w:sz w:val="24"/>
              </w:rPr>
              <w:t>15</w:t>
            </w:r>
          </w:p>
        </w:tc>
        <w:tc>
          <w:tcPr>
            <w:tcW w:w="849" w:type="pct"/>
            <w:vAlign w:val="center"/>
          </w:tcPr>
          <w:p w14:paraId="7142A0BE" w14:textId="77777777" w:rsidR="00ED16B1" w:rsidRPr="003C0DF0" w:rsidRDefault="00ED16B1" w:rsidP="00DE5551">
            <w:pPr>
              <w:pStyle w:val="ListParagraph"/>
              <w:spacing w:after="0" w:line="240" w:lineRule="auto"/>
              <w:ind w:left="0"/>
              <w:jc w:val="center"/>
              <w:rPr>
                <w:rFonts w:ascii="Times New Roman" w:hAnsi="Times New Roman"/>
                <w:b/>
                <w:bCs/>
                <w:noProof/>
                <w:sz w:val="24"/>
                <w:szCs w:val="24"/>
              </w:rPr>
            </w:pPr>
            <w:r w:rsidRPr="003C0DF0">
              <w:rPr>
                <w:rFonts w:ascii="Times New Roman" w:hAnsi="Times New Roman"/>
                <w:b/>
                <w:noProof/>
                <w:sz w:val="24"/>
              </w:rPr>
              <w:t>100.3</w:t>
            </w:r>
          </w:p>
        </w:tc>
      </w:tr>
      <w:tr w:rsidR="00ED16B1" w:rsidRPr="003C0DF0" w14:paraId="79A68265" w14:textId="77777777" w:rsidTr="00942154">
        <w:tc>
          <w:tcPr>
            <w:tcW w:w="684" w:type="pct"/>
            <w:vAlign w:val="bottom"/>
          </w:tcPr>
          <w:p w14:paraId="1F6F2DAD" w14:textId="77777777" w:rsidR="00ED16B1" w:rsidRPr="003C0DF0" w:rsidRDefault="00ED16B1" w:rsidP="006E539B">
            <w:pPr>
              <w:pStyle w:val="ListParagraph"/>
              <w:spacing w:after="0" w:line="240" w:lineRule="auto"/>
              <w:ind w:left="0"/>
              <w:jc w:val="both"/>
              <w:rPr>
                <w:rFonts w:ascii="Times New Roman" w:eastAsia="Times New Roman" w:hAnsi="Times New Roman"/>
                <w:noProof/>
                <w:sz w:val="24"/>
                <w:szCs w:val="24"/>
              </w:rPr>
            </w:pPr>
            <w:r w:rsidRPr="003C0DF0">
              <w:rPr>
                <w:rFonts w:ascii="Times New Roman" w:hAnsi="Times New Roman"/>
                <w:noProof/>
                <w:sz w:val="24"/>
              </w:rPr>
              <w:t>2020</w:t>
            </w:r>
          </w:p>
        </w:tc>
        <w:tc>
          <w:tcPr>
            <w:tcW w:w="866" w:type="pct"/>
            <w:vAlign w:val="center"/>
          </w:tcPr>
          <w:p w14:paraId="07381A85" w14:textId="77777777" w:rsidR="00ED16B1" w:rsidRPr="003C0DF0" w:rsidRDefault="00ED16B1" w:rsidP="00DE5551">
            <w:pPr>
              <w:pStyle w:val="ListParagraph"/>
              <w:spacing w:after="0" w:line="240" w:lineRule="auto"/>
              <w:ind w:left="0"/>
              <w:jc w:val="center"/>
              <w:rPr>
                <w:rFonts w:ascii="Times New Roman" w:hAnsi="Times New Roman"/>
                <w:noProof/>
                <w:sz w:val="24"/>
                <w:szCs w:val="24"/>
              </w:rPr>
            </w:pPr>
            <w:r w:rsidRPr="003C0DF0">
              <w:rPr>
                <w:rFonts w:ascii="Times New Roman" w:hAnsi="Times New Roman"/>
                <w:noProof/>
                <w:sz w:val="24"/>
              </w:rPr>
              <w:t>73</w:t>
            </w:r>
          </w:p>
        </w:tc>
        <w:tc>
          <w:tcPr>
            <w:tcW w:w="866" w:type="pct"/>
            <w:vAlign w:val="center"/>
          </w:tcPr>
          <w:p w14:paraId="0E5E1D89" w14:textId="77777777" w:rsidR="00ED16B1" w:rsidRPr="003C0DF0" w:rsidRDefault="00ED16B1" w:rsidP="00DE5551">
            <w:pPr>
              <w:pStyle w:val="ListParagraph"/>
              <w:spacing w:after="0" w:line="240" w:lineRule="auto"/>
              <w:ind w:left="0"/>
              <w:jc w:val="center"/>
              <w:rPr>
                <w:rFonts w:ascii="Times New Roman" w:hAnsi="Times New Roman"/>
                <w:noProof/>
                <w:sz w:val="24"/>
                <w:szCs w:val="24"/>
              </w:rPr>
            </w:pPr>
            <w:r w:rsidRPr="003C0DF0">
              <w:rPr>
                <w:rFonts w:ascii="Times New Roman" w:hAnsi="Times New Roman"/>
                <w:noProof/>
                <w:sz w:val="24"/>
              </w:rPr>
              <w:t>7.5</w:t>
            </w:r>
          </w:p>
        </w:tc>
        <w:tc>
          <w:tcPr>
            <w:tcW w:w="885" w:type="pct"/>
            <w:vAlign w:val="center"/>
          </w:tcPr>
          <w:p w14:paraId="4B9FD39B" w14:textId="77777777" w:rsidR="00ED16B1" w:rsidRPr="003C0DF0" w:rsidRDefault="00ED16B1" w:rsidP="00DE5551">
            <w:pPr>
              <w:pStyle w:val="ListParagraph"/>
              <w:spacing w:after="0" w:line="240" w:lineRule="auto"/>
              <w:ind w:left="0"/>
              <w:jc w:val="center"/>
              <w:rPr>
                <w:rFonts w:ascii="Times New Roman" w:hAnsi="Times New Roman"/>
                <w:noProof/>
                <w:sz w:val="24"/>
                <w:szCs w:val="24"/>
              </w:rPr>
            </w:pPr>
            <w:r w:rsidRPr="003C0DF0">
              <w:rPr>
                <w:rFonts w:ascii="Times New Roman" w:hAnsi="Times New Roman"/>
                <w:noProof/>
                <w:sz w:val="24"/>
              </w:rPr>
              <w:t>5</w:t>
            </w:r>
          </w:p>
        </w:tc>
        <w:tc>
          <w:tcPr>
            <w:tcW w:w="849" w:type="pct"/>
            <w:vAlign w:val="center"/>
          </w:tcPr>
          <w:p w14:paraId="4D85BC0C" w14:textId="77777777" w:rsidR="00ED16B1" w:rsidRPr="003C0DF0" w:rsidRDefault="00ED16B1" w:rsidP="00DE5551">
            <w:pPr>
              <w:pStyle w:val="ListParagraph"/>
              <w:spacing w:after="0" w:line="240" w:lineRule="auto"/>
              <w:ind w:left="0"/>
              <w:jc w:val="center"/>
              <w:rPr>
                <w:rFonts w:ascii="Times New Roman" w:hAnsi="Times New Roman"/>
                <w:noProof/>
                <w:sz w:val="24"/>
                <w:szCs w:val="24"/>
              </w:rPr>
            </w:pPr>
            <w:r w:rsidRPr="003C0DF0">
              <w:rPr>
                <w:rFonts w:ascii="Times New Roman" w:hAnsi="Times New Roman"/>
                <w:noProof/>
                <w:sz w:val="24"/>
              </w:rPr>
              <w:t>15</w:t>
            </w:r>
          </w:p>
        </w:tc>
        <w:tc>
          <w:tcPr>
            <w:tcW w:w="849" w:type="pct"/>
            <w:vAlign w:val="center"/>
          </w:tcPr>
          <w:p w14:paraId="1E8BF0ED" w14:textId="77777777" w:rsidR="00ED16B1" w:rsidRPr="003C0DF0" w:rsidRDefault="00ED16B1" w:rsidP="00DE5551">
            <w:pPr>
              <w:pStyle w:val="ListParagraph"/>
              <w:spacing w:after="0" w:line="240" w:lineRule="auto"/>
              <w:ind w:left="0"/>
              <w:jc w:val="center"/>
              <w:rPr>
                <w:rFonts w:ascii="Times New Roman" w:hAnsi="Times New Roman"/>
                <w:b/>
                <w:bCs/>
                <w:noProof/>
                <w:sz w:val="24"/>
                <w:szCs w:val="24"/>
              </w:rPr>
            </w:pPr>
            <w:r w:rsidRPr="003C0DF0">
              <w:rPr>
                <w:rFonts w:ascii="Times New Roman" w:hAnsi="Times New Roman"/>
                <w:b/>
                <w:noProof/>
                <w:sz w:val="24"/>
              </w:rPr>
              <w:t>100.5</w:t>
            </w:r>
          </w:p>
        </w:tc>
      </w:tr>
      <w:tr w:rsidR="00ED16B1" w:rsidRPr="003C0DF0" w14:paraId="7AF8DBEF" w14:textId="77777777" w:rsidTr="00942154">
        <w:tc>
          <w:tcPr>
            <w:tcW w:w="684" w:type="pct"/>
            <w:vAlign w:val="bottom"/>
          </w:tcPr>
          <w:p w14:paraId="03E555C8" w14:textId="77777777" w:rsidR="00ED16B1" w:rsidRPr="003C0DF0" w:rsidRDefault="00ED16B1" w:rsidP="006E539B">
            <w:pPr>
              <w:pStyle w:val="ListParagraph"/>
              <w:spacing w:after="0" w:line="240" w:lineRule="auto"/>
              <w:ind w:left="0"/>
              <w:jc w:val="both"/>
              <w:rPr>
                <w:rFonts w:ascii="Times New Roman" w:eastAsia="Times New Roman" w:hAnsi="Times New Roman"/>
                <w:noProof/>
                <w:sz w:val="24"/>
                <w:szCs w:val="24"/>
              </w:rPr>
            </w:pPr>
            <w:r w:rsidRPr="003C0DF0">
              <w:rPr>
                <w:rFonts w:ascii="Times New Roman" w:hAnsi="Times New Roman"/>
                <w:noProof/>
                <w:sz w:val="24"/>
              </w:rPr>
              <w:t>2021</w:t>
            </w:r>
          </w:p>
        </w:tc>
        <w:tc>
          <w:tcPr>
            <w:tcW w:w="866" w:type="pct"/>
            <w:vAlign w:val="center"/>
          </w:tcPr>
          <w:p w14:paraId="10187B27" w14:textId="77777777" w:rsidR="00ED16B1" w:rsidRPr="003C0DF0" w:rsidRDefault="00ED16B1" w:rsidP="00DE5551">
            <w:pPr>
              <w:pStyle w:val="ListParagraph"/>
              <w:spacing w:after="0" w:line="240" w:lineRule="auto"/>
              <w:ind w:left="0"/>
              <w:jc w:val="center"/>
              <w:rPr>
                <w:rFonts w:ascii="Times New Roman" w:hAnsi="Times New Roman"/>
                <w:noProof/>
                <w:sz w:val="24"/>
                <w:szCs w:val="24"/>
              </w:rPr>
            </w:pPr>
            <w:r w:rsidRPr="003C0DF0">
              <w:rPr>
                <w:rFonts w:ascii="Times New Roman" w:hAnsi="Times New Roman"/>
                <w:noProof/>
                <w:sz w:val="24"/>
              </w:rPr>
              <w:t>71.2</w:t>
            </w:r>
          </w:p>
        </w:tc>
        <w:tc>
          <w:tcPr>
            <w:tcW w:w="866" w:type="pct"/>
            <w:vAlign w:val="center"/>
          </w:tcPr>
          <w:p w14:paraId="16394211" w14:textId="77777777" w:rsidR="00ED16B1" w:rsidRPr="003C0DF0" w:rsidRDefault="00ED16B1" w:rsidP="00DE5551">
            <w:pPr>
              <w:pStyle w:val="ListParagraph"/>
              <w:spacing w:after="0" w:line="240" w:lineRule="auto"/>
              <w:ind w:left="0"/>
              <w:jc w:val="center"/>
              <w:rPr>
                <w:rFonts w:ascii="Times New Roman" w:hAnsi="Times New Roman"/>
                <w:noProof/>
                <w:sz w:val="24"/>
                <w:szCs w:val="24"/>
              </w:rPr>
            </w:pPr>
            <w:r w:rsidRPr="003C0DF0">
              <w:rPr>
                <w:rFonts w:ascii="Times New Roman" w:hAnsi="Times New Roman"/>
                <w:noProof/>
                <w:sz w:val="24"/>
              </w:rPr>
              <w:t>9</w:t>
            </w:r>
          </w:p>
        </w:tc>
        <w:tc>
          <w:tcPr>
            <w:tcW w:w="885" w:type="pct"/>
            <w:vAlign w:val="center"/>
          </w:tcPr>
          <w:p w14:paraId="2DA830D0" w14:textId="77777777" w:rsidR="00ED16B1" w:rsidRPr="003C0DF0" w:rsidRDefault="00ED16B1" w:rsidP="00DE5551">
            <w:pPr>
              <w:pStyle w:val="ListParagraph"/>
              <w:spacing w:after="0" w:line="240" w:lineRule="auto"/>
              <w:ind w:left="0"/>
              <w:jc w:val="center"/>
              <w:rPr>
                <w:rFonts w:ascii="Times New Roman" w:hAnsi="Times New Roman"/>
                <w:noProof/>
                <w:sz w:val="24"/>
                <w:szCs w:val="24"/>
              </w:rPr>
            </w:pPr>
            <w:r w:rsidRPr="003C0DF0">
              <w:rPr>
                <w:rFonts w:ascii="Times New Roman" w:hAnsi="Times New Roman"/>
                <w:noProof/>
                <w:sz w:val="24"/>
              </w:rPr>
              <w:t>6</w:t>
            </w:r>
          </w:p>
        </w:tc>
        <w:tc>
          <w:tcPr>
            <w:tcW w:w="849" w:type="pct"/>
            <w:vAlign w:val="center"/>
          </w:tcPr>
          <w:p w14:paraId="28655C9A" w14:textId="77777777" w:rsidR="00ED16B1" w:rsidRPr="003C0DF0" w:rsidRDefault="00ED16B1" w:rsidP="00DE5551">
            <w:pPr>
              <w:pStyle w:val="ListParagraph"/>
              <w:spacing w:after="0" w:line="240" w:lineRule="auto"/>
              <w:ind w:left="0"/>
              <w:jc w:val="center"/>
              <w:rPr>
                <w:rFonts w:ascii="Times New Roman" w:hAnsi="Times New Roman"/>
                <w:noProof/>
                <w:sz w:val="24"/>
                <w:szCs w:val="24"/>
              </w:rPr>
            </w:pPr>
            <w:r w:rsidRPr="003C0DF0">
              <w:rPr>
                <w:rFonts w:ascii="Times New Roman" w:hAnsi="Times New Roman"/>
                <w:noProof/>
                <w:sz w:val="24"/>
              </w:rPr>
              <w:t>15</w:t>
            </w:r>
          </w:p>
        </w:tc>
        <w:tc>
          <w:tcPr>
            <w:tcW w:w="849" w:type="pct"/>
            <w:vAlign w:val="center"/>
          </w:tcPr>
          <w:p w14:paraId="539E4CE5" w14:textId="77777777" w:rsidR="00ED16B1" w:rsidRPr="003C0DF0" w:rsidRDefault="00ED16B1" w:rsidP="00DE5551">
            <w:pPr>
              <w:pStyle w:val="ListParagraph"/>
              <w:spacing w:after="0" w:line="240" w:lineRule="auto"/>
              <w:ind w:left="0"/>
              <w:jc w:val="center"/>
              <w:rPr>
                <w:rFonts w:ascii="Times New Roman" w:hAnsi="Times New Roman"/>
                <w:b/>
                <w:bCs/>
                <w:noProof/>
                <w:sz w:val="24"/>
                <w:szCs w:val="24"/>
              </w:rPr>
            </w:pPr>
            <w:r w:rsidRPr="003C0DF0">
              <w:rPr>
                <w:rFonts w:ascii="Times New Roman" w:hAnsi="Times New Roman"/>
                <w:b/>
                <w:noProof/>
                <w:sz w:val="24"/>
              </w:rPr>
              <w:t>101.1</w:t>
            </w:r>
          </w:p>
        </w:tc>
      </w:tr>
      <w:tr w:rsidR="00ED16B1" w:rsidRPr="003C0DF0" w14:paraId="183FB184" w14:textId="77777777" w:rsidTr="00942154">
        <w:tc>
          <w:tcPr>
            <w:tcW w:w="684" w:type="pct"/>
            <w:vAlign w:val="bottom"/>
          </w:tcPr>
          <w:p w14:paraId="381A4B7F" w14:textId="77777777" w:rsidR="00ED16B1" w:rsidRPr="003C0DF0" w:rsidRDefault="00ED16B1" w:rsidP="006E539B">
            <w:pPr>
              <w:pStyle w:val="ListParagraph"/>
              <w:spacing w:after="0" w:line="240" w:lineRule="auto"/>
              <w:ind w:left="0"/>
              <w:jc w:val="both"/>
              <w:rPr>
                <w:rFonts w:ascii="Times New Roman" w:eastAsia="Times New Roman" w:hAnsi="Times New Roman"/>
                <w:noProof/>
                <w:sz w:val="24"/>
                <w:szCs w:val="24"/>
              </w:rPr>
            </w:pPr>
            <w:r w:rsidRPr="003C0DF0">
              <w:rPr>
                <w:rFonts w:ascii="Times New Roman" w:hAnsi="Times New Roman"/>
                <w:noProof/>
                <w:sz w:val="24"/>
              </w:rPr>
              <w:t>2022</w:t>
            </w:r>
          </w:p>
        </w:tc>
        <w:tc>
          <w:tcPr>
            <w:tcW w:w="866" w:type="pct"/>
            <w:vAlign w:val="center"/>
          </w:tcPr>
          <w:p w14:paraId="63CF21B9" w14:textId="77777777" w:rsidR="00ED16B1" w:rsidRPr="003C0DF0" w:rsidRDefault="00ED16B1" w:rsidP="00DE5551">
            <w:pPr>
              <w:pStyle w:val="ListParagraph"/>
              <w:spacing w:after="0" w:line="240" w:lineRule="auto"/>
              <w:ind w:left="0"/>
              <w:jc w:val="center"/>
              <w:rPr>
                <w:rFonts w:ascii="Times New Roman" w:hAnsi="Times New Roman"/>
                <w:noProof/>
                <w:sz w:val="24"/>
                <w:szCs w:val="24"/>
              </w:rPr>
            </w:pPr>
            <w:r w:rsidRPr="003C0DF0">
              <w:rPr>
                <w:rFonts w:ascii="Times New Roman" w:hAnsi="Times New Roman"/>
                <w:noProof/>
                <w:sz w:val="24"/>
              </w:rPr>
              <w:t>69.4</w:t>
            </w:r>
          </w:p>
        </w:tc>
        <w:tc>
          <w:tcPr>
            <w:tcW w:w="866" w:type="pct"/>
            <w:vAlign w:val="center"/>
          </w:tcPr>
          <w:p w14:paraId="1C4DA734" w14:textId="77777777" w:rsidR="00ED16B1" w:rsidRPr="003C0DF0" w:rsidRDefault="00ED16B1" w:rsidP="00DE5551">
            <w:pPr>
              <w:pStyle w:val="ListParagraph"/>
              <w:spacing w:after="0" w:line="240" w:lineRule="auto"/>
              <w:ind w:left="0"/>
              <w:jc w:val="center"/>
              <w:rPr>
                <w:rFonts w:ascii="Times New Roman" w:hAnsi="Times New Roman"/>
                <w:noProof/>
                <w:sz w:val="24"/>
                <w:szCs w:val="24"/>
              </w:rPr>
            </w:pPr>
            <w:r w:rsidRPr="003C0DF0">
              <w:rPr>
                <w:rFonts w:ascii="Times New Roman" w:hAnsi="Times New Roman"/>
                <w:noProof/>
                <w:sz w:val="24"/>
              </w:rPr>
              <w:t>10.7</w:t>
            </w:r>
          </w:p>
        </w:tc>
        <w:tc>
          <w:tcPr>
            <w:tcW w:w="885" w:type="pct"/>
            <w:vAlign w:val="center"/>
          </w:tcPr>
          <w:p w14:paraId="6A142611" w14:textId="77777777" w:rsidR="00ED16B1" w:rsidRPr="003C0DF0" w:rsidRDefault="00ED16B1" w:rsidP="00DE5551">
            <w:pPr>
              <w:pStyle w:val="ListParagraph"/>
              <w:spacing w:after="0" w:line="240" w:lineRule="auto"/>
              <w:ind w:left="0"/>
              <w:jc w:val="center"/>
              <w:rPr>
                <w:rFonts w:ascii="Times New Roman" w:hAnsi="Times New Roman"/>
                <w:noProof/>
                <w:sz w:val="24"/>
                <w:szCs w:val="24"/>
              </w:rPr>
            </w:pPr>
            <w:r w:rsidRPr="003C0DF0">
              <w:rPr>
                <w:rFonts w:ascii="Times New Roman" w:hAnsi="Times New Roman"/>
                <w:noProof/>
                <w:sz w:val="24"/>
              </w:rPr>
              <w:t>7.2</w:t>
            </w:r>
          </w:p>
        </w:tc>
        <w:tc>
          <w:tcPr>
            <w:tcW w:w="849" w:type="pct"/>
            <w:vAlign w:val="center"/>
          </w:tcPr>
          <w:p w14:paraId="22055283" w14:textId="77777777" w:rsidR="00ED16B1" w:rsidRPr="003C0DF0" w:rsidRDefault="00ED16B1" w:rsidP="00DE5551">
            <w:pPr>
              <w:pStyle w:val="ListParagraph"/>
              <w:spacing w:after="0" w:line="240" w:lineRule="auto"/>
              <w:ind w:left="0"/>
              <w:jc w:val="center"/>
              <w:rPr>
                <w:rFonts w:ascii="Times New Roman" w:hAnsi="Times New Roman"/>
                <w:noProof/>
                <w:sz w:val="24"/>
                <w:szCs w:val="24"/>
              </w:rPr>
            </w:pPr>
            <w:r w:rsidRPr="003C0DF0">
              <w:rPr>
                <w:rFonts w:ascii="Times New Roman" w:hAnsi="Times New Roman"/>
                <w:noProof/>
                <w:sz w:val="24"/>
              </w:rPr>
              <w:t>15</w:t>
            </w:r>
          </w:p>
        </w:tc>
        <w:tc>
          <w:tcPr>
            <w:tcW w:w="849" w:type="pct"/>
            <w:vAlign w:val="center"/>
          </w:tcPr>
          <w:p w14:paraId="413B3A7D" w14:textId="77777777" w:rsidR="00ED16B1" w:rsidRPr="003C0DF0" w:rsidRDefault="00ED16B1" w:rsidP="00DE5551">
            <w:pPr>
              <w:pStyle w:val="ListParagraph"/>
              <w:spacing w:after="0" w:line="240" w:lineRule="auto"/>
              <w:ind w:left="0"/>
              <w:jc w:val="center"/>
              <w:rPr>
                <w:rFonts w:ascii="Times New Roman" w:hAnsi="Times New Roman"/>
                <w:b/>
                <w:bCs/>
                <w:noProof/>
                <w:sz w:val="24"/>
                <w:szCs w:val="24"/>
              </w:rPr>
            </w:pPr>
            <w:r w:rsidRPr="003C0DF0">
              <w:rPr>
                <w:rFonts w:ascii="Times New Roman" w:hAnsi="Times New Roman"/>
                <w:b/>
                <w:noProof/>
                <w:sz w:val="24"/>
              </w:rPr>
              <w:t>102.3</w:t>
            </w:r>
          </w:p>
        </w:tc>
      </w:tr>
      <w:tr w:rsidR="00ED16B1" w:rsidRPr="003C0DF0" w14:paraId="07293020" w14:textId="77777777" w:rsidTr="00942154">
        <w:tc>
          <w:tcPr>
            <w:tcW w:w="684" w:type="pct"/>
            <w:vAlign w:val="bottom"/>
          </w:tcPr>
          <w:p w14:paraId="5E89E234" w14:textId="77777777" w:rsidR="00ED16B1" w:rsidRPr="003C0DF0" w:rsidRDefault="00ED16B1" w:rsidP="006E539B">
            <w:pPr>
              <w:pStyle w:val="ListParagraph"/>
              <w:spacing w:after="0" w:line="240" w:lineRule="auto"/>
              <w:ind w:left="0"/>
              <w:jc w:val="both"/>
              <w:rPr>
                <w:rFonts w:ascii="Times New Roman" w:eastAsia="Times New Roman" w:hAnsi="Times New Roman"/>
                <w:noProof/>
                <w:sz w:val="24"/>
                <w:szCs w:val="24"/>
              </w:rPr>
            </w:pPr>
            <w:r w:rsidRPr="003C0DF0">
              <w:rPr>
                <w:rFonts w:ascii="Times New Roman" w:hAnsi="Times New Roman"/>
                <w:noProof/>
                <w:sz w:val="24"/>
              </w:rPr>
              <w:t>2023</w:t>
            </w:r>
          </w:p>
        </w:tc>
        <w:tc>
          <w:tcPr>
            <w:tcW w:w="866" w:type="pct"/>
            <w:vAlign w:val="center"/>
          </w:tcPr>
          <w:p w14:paraId="6AB7C924" w14:textId="77777777" w:rsidR="00ED16B1" w:rsidRPr="003C0DF0" w:rsidRDefault="00ED16B1" w:rsidP="00DE5551">
            <w:pPr>
              <w:pStyle w:val="ListParagraph"/>
              <w:spacing w:after="0" w:line="240" w:lineRule="auto"/>
              <w:ind w:left="0"/>
              <w:jc w:val="center"/>
              <w:rPr>
                <w:rFonts w:ascii="Times New Roman" w:hAnsi="Times New Roman"/>
                <w:noProof/>
                <w:sz w:val="24"/>
                <w:szCs w:val="24"/>
              </w:rPr>
            </w:pPr>
            <w:r w:rsidRPr="003C0DF0">
              <w:rPr>
                <w:rFonts w:ascii="Times New Roman" w:hAnsi="Times New Roman"/>
                <w:noProof/>
                <w:sz w:val="24"/>
              </w:rPr>
              <w:t>67.7</w:t>
            </w:r>
          </w:p>
        </w:tc>
        <w:tc>
          <w:tcPr>
            <w:tcW w:w="866" w:type="pct"/>
            <w:vAlign w:val="center"/>
          </w:tcPr>
          <w:p w14:paraId="27AC6BA2" w14:textId="77777777" w:rsidR="00ED16B1" w:rsidRPr="003C0DF0" w:rsidRDefault="00ED16B1" w:rsidP="00DE5551">
            <w:pPr>
              <w:pStyle w:val="ListParagraph"/>
              <w:spacing w:after="0" w:line="240" w:lineRule="auto"/>
              <w:ind w:left="0"/>
              <w:jc w:val="center"/>
              <w:rPr>
                <w:rFonts w:ascii="Times New Roman" w:hAnsi="Times New Roman"/>
                <w:noProof/>
                <w:sz w:val="24"/>
                <w:szCs w:val="24"/>
              </w:rPr>
            </w:pPr>
            <w:r w:rsidRPr="003C0DF0">
              <w:rPr>
                <w:rFonts w:ascii="Times New Roman" w:hAnsi="Times New Roman"/>
                <w:noProof/>
                <w:sz w:val="24"/>
              </w:rPr>
              <w:t>12.9</w:t>
            </w:r>
          </w:p>
        </w:tc>
        <w:tc>
          <w:tcPr>
            <w:tcW w:w="885" w:type="pct"/>
            <w:vAlign w:val="center"/>
          </w:tcPr>
          <w:p w14:paraId="1CA9DB81" w14:textId="77777777" w:rsidR="00ED16B1" w:rsidRPr="003C0DF0" w:rsidRDefault="00ED16B1" w:rsidP="00DE5551">
            <w:pPr>
              <w:pStyle w:val="ListParagraph"/>
              <w:spacing w:after="0" w:line="240" w:lineRule="auto"/>
              <w:ind w:left="0"/>
              <w:jc w:val="center"/>
              <w:rPr>
                <w:rFonts w:ascii="Times New Roman" w:hAnsi="Times New Roman"/>
                <w:noProof/>
                <w:sz w:val="24"/>
                <w:szCs w:val="24"/>
              </w:rPr>
            </w:pPr>
            <w:r w:rsidRPr="003C0DF0">
              <w:rPr>
                <w:rFonts w:ascii="Times New Roman" w:hAnsi="Times New Roman"/>
                <w:noProof/>
                <w:sz w:val="24"/>
              </w:rPr>
              <w:t>8.6</w:t>
            </w:r>
          </w:p>
        </w:tc>
        <w:tc>
          <w:tcPr>
            <w:tcW w:w="849" w:type="pct"/>
            <w:vAlign w:val="center"/>
          </w:tcPr>
          <w:p w14:paraId="3B569970" w14:textId="77777777" w:rsidR="00ED16B1" w:rsidRPr="003C0DF0" w:rsidRDefault="00ED16B1" w:rsidP="00DE5551">
            <w:pPr>
              <w:pStyle w:val="ListParagraph"/>
              <w:spacing w:after="0" w:line="240" w:lineRule="auto"/>
              <w:ind w:left="0"/>
              <w:jc w:val="center"/>
              <w:rPr>
                <w:rFonts w:ascii="Times New Roman" w:hAnsi="Times New Roman"/>
                <w:noProof/>
                <w:sz w:val="24"/>
                <w:szCs w:val="24"/>
              </w:rPr>
            </w:pPr>
            <w:r w:rsidRPr="003C0DF0">
              <w:rPr>
                <w:rFonts w:ascii="Times New Roman" w:hAnsi="Times New Roman"/>
                <w:noProof/>
                <w:sz w:val="24"/>
              </w:rPr>
              <w:t>15</w:t>
            </w:r>
          </w:p>
        </w:tc>
        <w:tc>
          <w:tcPr>
            <w:tcW w:w="849" w:type="pct"/>
            <w:vAlign w:val="center"/>
          </w:tcPr>
          <w:p w14:paraId="044932A9" w14:textId="77777777" w:rsidR="00ED16B1" w:rsidRPr="003C0DF0" w:rsidRDefault="00ED16B1" w:rsidP="00DE5551">
            <w:pPr>
              <w:pStyle w:val="ListParagraph"/>
              <w:spacing w:after="0" w:line="240" w:lineRule="auto"/>
              <w:ind w:left="0"/>
              <w:jc w:val="center"/>
              <w:rPr>
                <w:rFonts w:ascii="Times New Roman" w:hAnsi="Times New Roman"/>
                <w:b/>
                <w:bCs/>
                <w:noProof/>
                <w:sz w:val="24"/>
                <w:szCs w:val="24"/>
              </w:rPr>
            </w:pPr>
            <w:r w:rsidRPr="003C0DF0">
              <w:rPr>
                <w:rFonts w:ascii="Times New Roman" w:hAnsi="Times New Roman"/>
                <w:b/>
                <w:noProof/>
                <w:sz w:val="24"/>
              </w:rPr>
              <w:t>104.2</w:t>
            </w:r>
          </w:p>
        </w:tc>
      </w:tr>
      <w:tr w:rsidR="00ED16B1" w:rsidRPr="003C0DF0" w14:paraId="5E493F77" w14:textId="77777777" w:rsidTr="00942154">
        <w:tc>
          <w:tcPr>
            <w:tcW w:w="684" w:type="pct"/>
            <w:vAlign w:val="bottom"/>
          </w:tcPr>
          <w:p w14:paraId="5227EDFA" w14:textId="77777777" w:rsidR="00ED16B1" w:rsidRPr="003C0DF0" w:rsidRDefault="00ED16B1" w:rsidP="006E539B">
            <w:pPr>
              <w:pStyle w:val="ListParagraph"/>
              <w:spacing w:after="0" w:line="240" w:lineRule="auto"/>
              <w:ind w:left="0"/>
              <w:jc w:val="both"/>
              <w:rPr>
                <w:rFonts w:ascii="Times New Roman" w:eastAsia="Times New Roman" w:hAnsi="Times New Roman"/>
                <w:noProof/>
                <w:sz w:val="24"/>
                <w:szCs w:val="24"/>
              </w:rPr>
            </w:pPr>
            <w:r w:rsidRPr="003C0DF0">
              <w:rPr>
                <w:rFonts w:ascii="Times New Roman" w:hAnsi="Times New Roman"/>
                <w:noProof/>
                <w:sz w:val="24"/>
              </w:rPr>
              <w:t>2024</w:t>
            </w:r>
          </w:p>
        </w:tc>
        <w:tc>
          <w:tcPr>
            <w:tcW w:w="866" w:type="pct"/>
            <w:vAlign w:val="center"/>
          </w:tcPr>
          <w:p w14:paraId="60E16C0E" w14:textId="77777777" w:rsidR="00ED16B1" w:rsidRPr="003C0DF0" w:rsidRDefault="00ED16B1" w:rsidP="00DE5551">
            <w:pPr>
              <w:pStyle w:val="ListParagraph"/>
              <w:spacing w:after="0" w:line="240" w:lineRule="auto"/>
              <w:ind w:left="0"/>
              <w:jc w:val="center"/>
              <w:rPr>
                <w:rFonts w:ascii="Times New Roman" w:hAnsi="Times New Roman"/>
                <w:noProof/>
                <w:sz w:val="24"/>
                <w:szCs w:val="24"/>
              </w:rPr>
            </w:pPr>
            <w:r w:rsidRPr="003C0DF0">
              <w:rPr>
                <w:rFonts w:ascii="Times New Roman" w:hAnsi="Times New Roman"/>
                <w:noProof/>
                <w:sz w:val="24"/>
              </w:rPr>
              <w:t>66</w:t>
            </w:r>
          </w:p>
        </w:tc>
        <w:tc>
          <w:tcPr>
            <w:tcW w:w="866" w:type="pct"/>
            <w:vAlign w:val="center"/>
          </w:tcPr>
          <w:p w14:paraId="42FB45EE" w14:textId="77777777" w:rsidR="00ED16B1" w:rsidRPr="003C0DF0" w:rsidRDefault="00ED16B1" w:rsidP="00DE5551">
            <w:pPr>
              <w:pStyle w:val="ListParagraph"/>
              <w:spacing w:after="0" w:line="240" w:lineRule="auto"/>
              <w:ind w:left="0"/>
              <w:jc w:val="center"/>
              <w:rPr>
                <w:rFonts w:ascii="Times New Roman" w:hAnsi="Times New Roman"/>
                <w:noProof/>
                <w:sz w:val="24"/>
                <w:szCs w:val="24"/>
              </w:rPr>
            </w:pPr>
            <w:r w:rsidRPr="003C0DF0">
              <w:rPr>
                <w:rFonts w:ascii="Times New Roman" w:hAnsi="Times New Roman"/>
                <w:noProof/>
                <w:sz w:val="24"/>
              </w:rPr>
              <w:t>15.5</w:t>
            </w:r>
          </w:p>
        </w:tc>
        <w:tc>
          <w:tcPr>
            <w:tcW w:w="885" w:type="pct"/>
            <w:vAlign w:val="center"/>
          </w:tcPr>
          <w:p w14:paraId="3CB68411" w14:textId="77777777" w:rsidR="00ED16B1" w:rsidRPr="003C0DF0" w:rsidRDefault="00ED16B1" w:rsidP="00DE5551">
            <w:pPr>
              <w:pStyle w:val="ListParagraph"/>
              <w:spacing w:after="0" w:line="240" w:lineRule="auto"/>
              <w:ind w:left="0"/>
              <w:jc w:val="center"/>
              <w:rPr>
                <w:rFonts w:ascii="Times New Roman" w:hAnsi="Times New Roman"/>
                <w:noProof/>
                <w:sz w:val="24"/>
                <w:szCs w:val="24"/>
              </w:rPr>
            </w:pPr>
            <w:r w:rsidRPr="003C0DF0">
              <w:rPr>
                <w:rFonts w:ascii="Times New Roman" w:hAnsi="Times New Roman"/>
                <w:noProof/>
                <w:sz w:val="24"/>
              </w:rPr>
              <w:t>10.3</w:t>
            </w:r>
          </w:p>
        </w:tc>
        <w:tc>
          <w:tcPr>
            <w:tcW w:w="849" w:type="pct"/>
            <w:vAlign w:val="center"/>
          </w:tcPr>
          <w:p w14:paraId="40F55A64" w14:textId="77777777" w:rsidR="00ED16B1" w:rsidRPr="003C0DF0" w:rsidRDefault="00ED16B1" w:rsidP="00DE5551">
            <w:pPr>
              <w:pStyle w:val="ListParagraph"/>
              <w:spacing w:after="0" w:line="240" w:lineRule="auto"/>
              <w:ind w:left="0"/>
              <w:jc w:val="center"/>
              <w:rPr>
                <w:rFonts w:ascii="Times New Roman" w:hAnsi="Times New Roman"/>
                <w:noProof/>
                <w:sz w:val="24"/>
                <w:szCs w:val="24"/>
              </w:rPr>
            </w:pPr>
            <w:r w:rsidRPr="003C0DF0">
              <w:rPr>
                <w:rFonts w:ascii="Times New Roman" w:hAnsi="Times New Roman"/>
                <w:noProof/>
                <w:sz w:val="24"/>
              </w:rPr>
              <w:t>15</w:t>
            </w:r>
          </w:p>
        </w:tc>
        <w:tc>
          <w:tcPr>
            <w:tcW w:w="849" w:type="pct"/>
            <w:vAlign w:val="center"/>
          </w:tcPr>
          <w:p w14:paraId="1F997C7B" w14:textId="77777777" w:rsidR="00ED16B1" w:rsidRPr="003C0DF0" w:rsidRDefault="00ED16B1" w:rsidP="00DE5551">
            <w:pPr>
              <w:pStyle w:val="ListParagraph"/>
              <w:spacing w:after="0" w:line="240" w:lineRule="auto"/>
              <w:ind w:left="0"/>
              <w:jc w:val="center"/>
              <w:rPr>
                <w:rFonts w:ascii="Times New Roman" w:hAnsi="Times New Roman"/>
                <w:b/>
                <w:bCs/>
                <w:noProof/>
                <w:sz w:val="24"/>
                <w:szCs w:val="24"/>
              </w:rPr>
            </w:pPr>
            <w:r w:rsidRPr="003C0DF0">
              <w:rPr>
                <w:rFonts w:ascii="Times New Roman" w:hAnsi="Times New Roman"/>
                <w:b/>
                <w:noProof/>
                <w:sz w:val="24"/>
              </w:rPr>
              <w:t>106.8</w:t>
            </w:r>
          </w:p>
        </w:tc>
      </w:tr>
      <w:tr w:rsidR="00ED16B1" w:rsidRPr="003C0DF0" w14:paraId="0BD4A703" w14:textId="77777777" w:rsidTr="00942154">
        <w:tc>
          <w:tcPr>
            <w:tcW w:w="684" w:type="pct"/>
            <w:vAlign w:val="bottom"/>
          </w:tcPr>
          <w:p w14:paraId="3B14AEB1" w14:textId="77777777" w:rsidR="00ED16B1" w:rsidRPr="003C0DF0" w:rsidRDefault="00ED16B1" w:rsidP="006E539B">
            <w:pPr>
              <w:pStyle w:val="ListParagraph"/>
              <w:spacing w:after="0" w:line="240" w:lineRule="auto"/>
              <w:ind w:left="0"/>
              <w:jc w:val="both"/>
              <w:rPr>
                <w:rFonts w:ascii="Times New Roman" w:eastAsia="Times New Roman" w:hAnsi="Times New Roman"/>
                <w:noProof/>
                <w:sz w:val="24"/>
                <w:szCs w:val="24"/>
              </w:rPr>
            </w:pPr>
            <w:r w:rsidRPr="003C0DF0">
              <w:rPr>
                <w:rFonts w:ascii="Times New Roman" w:hAnsi="Times New Roman"/>
                <w:noProof/>
                <w:sz w:val="24"/>
              </w:rPr>
              <w:t>2025</w:t>
            </w:r>
          </w:p>
        </w:tc>
        <w:tc>
          <w:tcPr>
            <w:tcW w:w="866" w:type="pct"/>
            <w:vAlign w:val="center"/>
          </w:tcPr>
          <w:p w14:paraId="237E9CCF" w14:textId="77777777" w:rsidR="00ED16B1" w:rsidRPr="003C0DF0" w:rsidRDefault="00ED16B1" w:rsidP="00DE5551">
            <w:pPr>
              <w:pStyle w:val="ListParagraph"/>
              <w:spacing w:after="0" w:line="240" w:lineRule="auto"/>
              <w:ind w:left="0"/>
              <w:jc w:val="center"/>
              <w:rPr>
                <w:rFonts w:ascii="Times New Roman" w:hAnsi="Times New Roman"/>
                <w:noProof/>
                <w:sz w:val="24"/>
                <w:szCs w:val="24"/>
              </w:rPr>
            </w:pPr>
            <w:r w:rsidRPr="003C0DF0">
              <w:rPr>
                <w:rFonts w:ascii="Times New Roman" w:hAnsi="Times New Roman"/>
                <w:noProof/>
                <w:sz w:val="24"/>
              </w:rPr>
              <w:t>64.3</w:t>
            </w:r>
          </w:p>
        </w:tc>
        <w:tc>
          <w:tcPr>
            <w:tcW w:w="866" w:type="pct"/>
            <w:vAlign w:val="center"/>
          </w:tcPr>
          <w:p w14:paraId="4B52893D" w14:textId="77777777" w:rsidR="00ED16B1" w:rsidRPr="003C0DF0" w:rsidRDefault="00ED16B1" w:rsidP="00DE5551">
            <w:pPr>
              <w:pStyle w:val="ListParagraph"/>
              <w:spacing w:after="0" w:line="240" w:lineRule="auto"/>
              <w:ind w:left="0"/>
              <w:jc w:val="center"/>
              <w:rPr>
                <w:rFonts w:ascii="Times New Roman" w:hAnsi="Times New Roman"/>
                <w:noProof/>
                <w:sz w:val="24"/>
                <w:szCs w:val="24"/>
              </w:rPr>
            </w:pPr>
            <w:r w:rsidRPr="003C0DF0">
              <w:rPr>
                <w:rFonts w:ascii="Times New Roman" w:hAnsi="Times New Roman"/>
                <w:noProof/>
                <w:sz w:val="24"/>
              </w:rPr>
              <w:t>18.6</w:t>
            </w:r>
          </w:p>
        </w:tc>
        <w:tc>
          <w:tcPr>
            <w:tcW w:w="885" w:type="pct"/>
            <w:vAlign w:val="center"/>
          </w:tcPr>
          <w:p w14:paraId="3867D369" w14:textId="77777777" w:rsidR="00ED16B1" w:rsidRPr="003C0DF0" w:rsidRDefault="00ED16B1" w:rsidP="00DE5551">
            <w:pPr>
              <w:pStyle w:val="ListParagraph"/>
              <w:spacing w:after="0" w:line="240" w:lineRule="auto"/>
              <w:ind w:left="0"/>
              <w:jc w:val="center"/>
              <w:rPr>
                <w:rFonts w:ascii="Times New Roman" w:hAnsi="Times New Roman"/>
                <w:noProof/>
                <w:sz w:val="24"/>
                <w:szCs w:val="24"/>
              </w:rPr>
            </w:pPr>
            <w:r w:rsidRPr="003C0DF0">
              <w:rPr>
                <w:rFonts w:ascii="Times New Roman" w:hAnsi="Times New Roman"/>
                <w:noProof/>
                <w:sz w:val="24"/>
              </w:rPr>
              <w:t>12.4</w:t>
            </w:r>
          </w:p>
        </w:tc>
        <w:tc>
          <w:tcPr>
            <w:tcW w:w="849" w:type="pct"/>
            <w:vAlign w:val="center"/>
          </w:tcPr>
          <w:p w14:paraId="02262C5B" w14:textId="77777777" w:rsidR="00ED16B1" w:rsidRPr="003C0DF0" w:rsidRDefault="00ED16B1" w:rsidP="00DE5551">
            <w:pPr>
              <w:pStyle w:val="ListParagraph"/>
              <w:spacing w:after="0" w:line="240" w:lineRule="auto"/>
              <w:ind w:left="0"/>
              <w:jc w:val="center"/>
              <w:rPr>
                <w:rFonts w:ascii="Times New Roman" w:hAnsi="Times New Roman"/>
                <w:noProof/>
                <w:sz w:val="24"/>
                <w:szCs w:val="24"/>
              </w:rPr>
            </w:pPr>
            <w:r w:rsidRPr="003C0DF0">
              <w:rPr>
                <w:rFonts w:ascii="Times New Roman" w:hAnsi="Times New Roman"/>
                <w:noProof/>
                <w:sz w:val="24"/>
              </w:rPr>
              <w:t>15</w:t>
            </w:r>
          </w:p>
        </w:tc>
        <w:tc>
          <w:tcPr>
            <w:tcW w:w="849" w:type="pct"/>
            <w:vAlign w:val="center"/>
          </w:tcPr>
          <w:p w14:paraId="0D803DEF" w14:textId="77777777" w:rsidR="00ED16B1" w:rsidRPr="003C0DF0" w:rsidRDefault="00ED16B1" w:rsidP="00DE5551">
            <w:pPr>
              <w:pStyle w:val="ListParagraph"/>
              <w:spacing w:after="0" w:line="240" w:lineRule="auto"/>
              <w:ind w:left="0"/>
              <w:jc w:val="center"/>
              <w:rPr>
                <w:rFonts w:ascii="Times New Roman" w:hAnsi="Times New Roman"/>
                <w:b/>
                <w:bCs/>
                <w:noProof/>
                <w:sz w:val="24"/>
                <w:szCs w:val="24"/>
              </w:rPr>
            </w:pPr>
            <w:r w:rsidRPr="003C0DF0">
              <w:rPr>
                <w:rFonts w:ascii="Times New Roman" w:hAnsi="Times New Roman"/>
                <w:b/>
                <w:noProof/>
                <w:sz w:val="24"/>
              </w:rPr>
              <w:t>110.3</w:t>
            </w:r>
          </w:p>
        </w:tc>
      </w:tr>
    </w:tbl>
    <w:p w14:paraId="7817D682" w14:textId="77777777" w:rsidR="00ED16B1" w:rsidRPr="003C0DF0" w:rsidRDefault="00ED16B1" w:rsidP="006E539B">
      <w:pPr>
        <w:pStyle w:val="ListParagraph"/>
        <w:spacing w:after="0" w:line="240" w:lineRule="auto"/>
        <w:ind w:left="0"/>
        <w:jc w:val="both"/>
        <w:rPr>
          <w:rFonts w:ascii="Times New Roman" w:hAnsi="Times New Roman"/>
          <w:noProof/>
          <w:sz w:val="24"/>
          <w:szCs w:val="24"/>
        </w:rPr>
      </w:pPr>
    </w:p>
    <w:p w14:paraId="458D30D0" w14:textId="77777777" w:rsidR="00ED16B1" w:rsidRPr="003C0DF0" w:rsidRDefault="00ED16B1" w:rsidP="00DE5551">
      <w:pPr>
        <w:pStyle w:val="ListParagraph"/>
        <w:spacing w:after="0" w:line="240" w:lineRule="auto"/>
        <w:ind w:left="0" w:firstLine="709"/>
        <w:jc w:val="both"/>
        <w:rPr>
          <w:rFonts w:ascii="Times New Roman" w:hAnsi="Times New Roman"/>
          <w:noProof/>
          <w:sz w:val="24"/>
          <w:szCs w:val="26"/>
        </w:rPr>
      </w:pPr>
      <w:r w:rsidRPr="003C0DF0">
        <w:rPr>
          <w:rFonts w:ascii="Times New Roman" w:hAnsi="Times New Roman"/>
          <w:noProof/>
          <w:sz w:val="24"/>
        </w:rPr>
        <w:t>Based on this scenario, the reform is basically focused on the revision of the current system and promotion of process efficiency, the second and third pillar financial instruments are being introduced gradually according to the amount of additional funding.</w:t>
      </w:r>
    </w:p>
    <w:p w14:paraId="54967181" w14:textId="77777777" w:rsidR="00ED16B1" w:rsidRPr="003C0DF0" w:rsidRDefault="00ED16B1" w:rsidP="006E539B">
      <w:pPr>
        <w:pStyle w:val="ListParagraph"/>
        <w:spacing w:after="0" w:line="240" w:lineRule="auto"/>
        <w:ind w:left="0"/>
        <w:jc w:val="both"/>
        <w:rPr>
          <w:rFonts w:ascii="Times New Roman" w:hAnsi="Times New Roman"/>
          <w:noProof/>
          <w:sz w:val="24"/>
          <w:szCs w:val="24"/>
        </w:rPr>
      </w:pPr>
    </w:p>
    <w:p w14:paraId="2A8D48D1" w14:textId="77777777" w:rsidR="00ED16B1" w:rsidRPr="003C0DF0" w:rsidRDefault="00ED16B1" w:rsidP="006E539B">
      <w:pPr>
        <w:pStyle w:val="ListParagraph"/>
        <w:spacing w:after="0" w:line="240" w:lineRule="auto"/>
        <w:ind w:left="0"/>
        <w:jc w:val="both"/>
        <w:rPr>
          <w:rFonts w:ascii="Times New Roman" w:hAnsi="Times New Roman"/>
          <w:noProof/>
          <w:sz w:val="24"/>
          <w:szCs w:val="24"/>
        </w:rPr>
      </w:pPr>
    </w:p>
    <w:p w14:paraId="092F436F" w14:textId="744C34DF" w:rsidR="00ED16B1" w:rsidRPr="003C0DF0" w:rsidRDefault="00ED16B1" w:rsidP="00DE5551">
      <w:pPr>
        <w:spacing w:after="0" w:line="240" w:lineRule="auto"/>
        <w:jc w:val="right"/>
        <w:rPr>
          <w:rFonts w:ascii="Times New Roman" w:hAnsi="Times New Roman"/>
          <w:b/>
          <w:noProof/>
          <w:sz w:val="24"/>
          <w:szCs w:val="24"/>
        </w:rPr>
      </w:pPr>
      <w:r w:rsidRPr="003C0DF0">
        <w:rPr>
          <w:rFonts w:ascii="Times New Roman" w:hAnsi="Times New Roman"/>
          <w:i/>
          <w:noProof/>
          <w:sz w:val="24"/>
        </w:rPr>
        <w:t xml:space="preserve">Table 10 </w:t>
      </w:r>
      <w:r w:rsidRPr="003C0DF0">
        <w:rPr>
          <w:rFonts w:ascii="Times New Roman" w:hAnsi="Times New Roman"/>
          <w:b/>
          <w:noProof/>
          <w:sz w:val="24"/>
        </w:rPr>
        <w:t>Components of Scarcity Model</w:t>
      </w:r>
    </w:p>
    <w:p w14:paraId="539E205B" w14:textId="77777777" w:rsidR="00DE5551" w:rsidRPr="003C0DF0" w:rsidRDefault="00DE5551" w:rsidP="006E539B">
      <w:pPr>
        <w:spacing w:after="0" w:line="240" w:lineRule="auto"/>
        <w:jc w:val="both"/>
        <w:rPr>
          <w:rFonts w:ascii="Times New Roman" w:hAnsi="Times New Roman"/>
          <w:noProof/>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0"/>
        <w:gridCol w:w="4311"/>
      </w:tblGrid>
      <w:tr w:rsidR="00ED16B1" w:rsidRPr="003C0DF0" w14:paraId="691AB24C" w14:textId="77777777" w:rsidTr="00942154">
        <w:tc>
          <w:tcPr>
            <w:tcW w:w="2621" w:type="pct"/>
            <w:shd w:val="clear" w:color="auto" w:fill="DBE5F1" w:themeFill="accent1" w:themeFillTint="33"/>
          </w:tcPr>
          <w:p w14:paraId="753AB411" w14:textId="77777777" w:rsidR="00ED16B1" w:rsidRPr="003C0DF0" w:rsidRDefault="00ED16B1" w:rsidP="00DE5551">
            <w:pPr>
              <w:spacing w:after="0" w:line="240" w:lineRule="auto"/>
              <w:jc w:val="center"/>
              <w:rPr>
                <w:rFonts w:ascii="Times New Roman" w:hAnsi="Times New Roman"/>
                <w:b/>
                <w:noProof/>
                <w:sz w:val="24"/>
                <w:szCs w:val="24"/>
              </w:rPr>
            </w:pPr>
            <w:r w:rsidRPr="003C0DF0">
              <w:rPr>
                <w:rFonts w:ascii="Times New Roman" w:hAnsi="Times New Roman"/>
                <w:b/>
                <w:noProof/>
                <w:sz w:val="24"/>
              </w:rPr>
              <w:t>Components Included</w:t>
            </w:r>
          </w:p>
        </w:tc>
        <w:tc>
          <w:tcPr>
            <w:tcW w:w="2379" w:type="pct"/>
            <w:shd w:val="clear" w:color="auto" w:fill="DBE5F1" w:themeFill="accent1" w:themeFillTint="33"/>
          </w:tcPr>
          <w:p w14:paraId="681AD999" w14:textId="77777777" w:rsidR="00ED16B1" w:rsidRPr="003C0DF0" w:rsidRDefault="00ED16B1" w:rsidP="00DE5551">
            <w:pPr>
              <w:spacing w:after="0" w:line="240" w:lineRule="auto"/>
              <w:jc w:val="center"/>
              <w:rPr>
                <w:rFonts w:ascii="Times New Roman" w:hAnsi="Times New Roman"/>
                <w:b/>
                <w:noProof/>
                <w:sz w:val="24"/>
                <w:szCs w:val="24"/>
              </w:rPr>
            </w:pPr>
            <w:r w:rsidRPr="003C0DF0">
              <w:rPr>
                <w:rFonts w:ascii="Times New Roman" w:hAnsi="Times New Roman"/>
                <w:b/>
                <w:noProof/>
                <w:sz w:val="24"/>
              </w:rPr>
              <w:t>Extra Components Introduced when Future Funding Level Allows</w:t>
            </w:r>
          </w:p>
        </w:tc>
      </w:tr>
      <w:tr w:rsidR="00ED16B1" w:rsidRPr="003C0DF0" w14:paraId="6EF503EB" w14:textId="77777777" w:rsidTr="00942154">
        <w:tc>
          <w:tcPr>
            <w:tcW w:w="2621" w:type="pct"/>
          </w:tcPr>
          <w:p w14:paraId="40370725" w14:textId="77777777" w:rsidR="00ED16B1" w:rsidRPr="003C0DF0" w:rsidRDefault="00ED16B1" w:rsidP="00942154">
            <w:pPr>
              <w:pStyle w:val="ListParagraph"/>
              <w:numPr>
                <w:ilvl w:val="0"/>
                <w:numId w:val="14"/>
              </w:numPr>
              <w:spacing w:after="0" w:line="240" w:lineRule="auto"/>
              <w:ind w:left="0" w:firstLine="0"/>
              <w:rPr>
                <w:rFonts w:ascii="Times New Roman" w:hAnsi="Times New Roman"/>
                <w:noProof/>
                <w:sz w:val="24"/>
                <w:szCs w:val="24"/>
              </w:rPr>
            </w:pPr>
            <w:r w:rsidRPr="003C0DF0">
              <w:rPr>
                <w:rFonts w:ascii="Times New Roman" w:hAnsi="Times New Roman"/>
                <w:noProof/>
                <w:sz w:val="24"/>
              </w:rPr>
              <w:t>Revised study place model (pillar 1);</w:t>
            </w:r>
          </w:p>
          <w:p w14:paraId="1A19E1BF" w14:textId="77777777" w:rsidR="00ED16B1" w:rsidRPr="003C0DF0" w:rsidRDefault="00ED16B1" w:rsidP="00942154">
            <w:pPr>
              <w:pStyle w:val="ListParagraph"/>
              <w:numPr>
                <w:ilvl w:val="0"/>
                <w:numId w:val="14"/>
              </w:numPr>
              <w:spacing w:after="0" w:line="240" w:lineRule="auto"/>
              <w:ind w:left="0" w:firstLine="0"/>
              <w:rPr>
                <w:rFonts w:ascii="Times New Roman" w:hAnsi="Times New Roman"/>
                <w:noProof/>
                <w:sz w:val="24"/>
                <w:szCs w:val="24"/>
              </w:rPr>
            </w:pPr>
            <w:r w:rsidRPr="003C0DF0">
              <w:rPr>
                <w:rFonts w:ascii="Times New Roman" w:hAnsi="Times New Roman"/>
                <w:noProof/>
                <w:sz w:val="24"/>
              </w:rPr>
              <w:t>Performance agreements are negotiated in co-operation between the MoES, institutions, and sectoral ministries (no additional funding for financial incentives unless funds are pulled from the study place model, which is not recommended under this scenario)</w:t>
            </w:r>
          </w:p>
          <w:p w14:paraId="6DF624EA" w14:textId="77777777" w:rsidR="00ED16B1" w:rsidRPr="003C0DF0" w:rsidRDefault="00ED16B1" w:rsidP="00942154">
            <w:pPr>
              <w:pStyle w:val="ListParagraph"/>
              <w:numPr>
                <w:ilvl w:val="0"/>
                <w:numId w:val="14"/>
              </w:numPr>
              <w:spacing w:after="0" w:line="240" w:lineRule="auto"/>
              <w:ind w:left="0" w:firstLine="0"/>
              <w:rPr>
                <w:rFonts w:ascii="Times New Roman" w:hAnsi="Times New Roman"/>
                <w:noProof/>
                <w:sz w:val="24"/>
                <w:szCs w:val="24"/>
              </w:rPr>
            </w:pPr>
            <w:r w:rsidRPr="003C0DF0">
              <w:rPr>
                <w:rFonts w:ascii="Times New Roman" w:hAnsi="Times New Roman"/>
                <w:noProof/>
                <w:sz w:val="24"/>
              </w:rPr>
              <w:t>Training of financial management and support for institutional management to increase autonomy;</w:t>
            </w:r>
          </w:p>
          <w:p w14:paraId="16F31E9F" w14:textId="77777777" w:rsidR="00ED16B1" w:rsidRPr="003C0DF0" w:rsidRDefault="00ED16B1" w:rsidP="00942154">
            <w:pPr>
              <w:pStyle w:val="ListParagraph"/>
              <w:numPr>
                <w:ilvl w:val="0"/>
                <w:numId w:val="14"/>
              </w:numPr>
              <w:spacing w:after="0" w:line="240" w:lineRule="auto"/>
              <w:ind w:left="0" w:firstLine="0"/>
              <w:rPr>
                <w:rFonts w:ascii="Times New Roman" w:hAnsi="Times New Roman"/>
                <w:noProof/>
                <w:sz w:val="24"/>
                <w:szCs w:val="24"/>
              </w:rPr>
            </w:pPr>
            <w:r w:rsidRPr="003C0DF0">
              <w:rPr>
                <w:rFonts w:ascii="Times New Roman" w:hAnsi="Times New Roman"/>
                <w:noProof/>
                <w:sz w:val="24"/>
              </w:rPr>
              <w:t>Transitional use of Structural Funds (e.g., for consolidation, innovation funds, etc.);</w:t>
            </w:r>
          </w:p>
          <w:p w14:paraId="07EA65C0" w14:textId="77777777" w:rsidR="00ED16B1" w:rsidRPr="003C0DF0" w:rsidRDefault="00ED16B1" w:rsidP="00942154">
            <w:pPr>
              <w:pStyle w:val="ListParagraph"/>
              <w:numPr>
                <w:ilvl w:val="0"/>
                <w:numId w:val="14"/>
              </w:numPr>
              <w:spacing w:after="0" w:line="240" w:lineRule="auto"/>
              <w:ind w:left="0" w:firstLine="0"/>
              <w:rPr>
                <w:rFonts w:ascii="Times New Roman" w:hAnsi="Times New Roman"/>
                <w:noProof/>
                <w:sz w:val="24"/>
                <w:szCs w:val="24"/>
              </w:rPr>
            </w:pPr>
            <w:r w:rsidRPr="003C0DF0">
              <w:rPr>
                <w:rFonts w:ascii="Times New Roman" w:hAnsi="Times New Roman"/>
                <w:noProof/>
                <w:sz w:val="24"/>
              </w:rPr>
              <w:t>Tuition fee serves as an important source of income;</w:t>
            </w:r>
          </w:p>
          <w:p w14:paraId="464E1BC4" w14:textId="77777777" w:rsidR="00ED16B1" w:rsidRPr="003C0DF0" w:rsidRDefault="00ED16B1" w:rsidP="00942154">
            <w:pPr>
              <w:pStyle w:val="ListParagraph"/>
              <w:numPr>
                <w:ilvl w:val="0"/>
                <w:numId w:val="14"/>
              </w:numPr>
              <w:spacing w:after="0" w:line="240" w:lineRule="auto"/>
              <w:ind w:left="0" w:firstLine="0"/>
              <w:rPr>
                <w:rFonts w:ascii="Times New Roman" w:hAnsi="Times New Roman"/>
                <w:noProof/>
                <w:sz w:val="24"/>
                <w:szCs w:val="24"/>
              </w:rPr>
            </w:pPr>
            <w:r w:rsidRPr="003C0DF0">
              <w:rPr>
                <w:rFonts w:ascii="Times New Roman" w:hAnsi="Times New Roman"/>
                <w:noProof/>
                <w:sz w:val="24"/>
              </w:rPr>
              <w:t>Balancing of merit-based scholarship with needs-oriented support to students.</w:t>
            </w:r>
          </w:p>
        </w:tc>
        <w:tc>
          <w:tcPr>
            <w:tcW w:w="2379" w:type="pct"/>
          </w:tcPr>
          <w:p w14:paraId="3D8BFDB4" w14:textId="77777777" w:rsidR="00ED16B1" w:rsidRPr="003C0DF0" w:rsidRDefault="00ED16B1" w:rsidP="00942154">
            <w:pPr>
              <w:pStyle w:val="ListParagraph"/>
              <w:numPr>
                <w:ilvl w:val="0"/>
                <w:numId w:val="14"/>
              </w:numPr>
              <w:spacing w:after="0" w:line="240" w:lineRule="auto"/>
              <w:ind w:left="0" w:firstLine="0"/>
              <w:rPr>
                <w:rFonts w:ascii="Times New Roman" w:hAnsi="Times New Roman"/>
                <w:noProof/>
                <w:sz w:val="24"/>
                <w:szCs w:val="24"/>
              </w:rPr>
            </w:pPr>
            <w:r w:rsidRPr="003C0DF0">
              <w:rPr>
                <w:rFonts w:ascii="Times New Roman" w:hAnsi="Times New Roman"/>
                <w:noProof/>
                <w:sz w:val="24"/>
              </w:rPr>
              <w:t>Basic funding for research (pillar 1);</w:t>
            </w:r>
          </w:p>
          <w:p w14:paraId="3E90B184" w14:textId="77777777" w:rsidR="00ED16B1" w:rsidRPr="003C0DF0" w:rsidRDefault="00ED16B1" w:rsidP="00942154">
            <w:pPr>
              <w:pStyle w:val="ListParagraph"/>
              <w:numPr>
                <w:ilvl w:val="0"/>
                <w:numId w:val="14"/>
              </w:numPr>
              <w:spacing w:after="0" w:line="240" w:lineRule="auto"/>
              <w:ind w:left="0" w:firstLine="0"/>
              <w:rPr>
                <w:rFonts w:ascii="Times New Roman" w:hAnsi="Times New Roman"/>
                <w:noProof/>
                <w:sz w:val="24"/>
                <w:szCs w:val="24"/>
              </w:rPr>
            </w:pPr>
            <w:r w:rsidRPr="003C0DF0">
              <w:rPr>
                <w:rFonts w:ascii="Times New Roman" w:hAnsi="Times New Roman"/>
                <w:noProof/>
                <w:sz w:val="24"/>
              </w:rPr>
              <w:t>Universal indicator-based funding formula (pillar 2);</w:t>
            </w:r>
          </w:p>
          <w:p w14:paraId="4FF6E799" w14:textId="77777777" w:rsidR="00ED16B1" w:rsidRPr="003C0DF0" w:rsidRDefault="00ED16B1" w:rsidP="00942154">
            <w:pPr>
              <w:pStyle w:val="ListParagraph"/>
              <w:numPr>
                <w:ilvl w:val="0"/>
                <w:numId w:val="14"/>
              </w:numPr>
              <w:spacing w:after="0" w:line="240" w:lineRule="auto"/>
              <w:ind w:left="0" w:firstLine="0"/>
              <w:rPr>
                <w:rFonts w:ascii="Times New Roman" w:hAnsi="Times New Roman"/>
                <w:noProof/>
                <w:sz w:val="24"/>
                <w:szCs w:val="24"/>
              </w:rPr>
            </w:pPr>
            <w:r w:rsidRPr="003C0DF0">
              <w:rPr>
                <w:rFonts w:ascii="Times New Roman" w:hAnsi="Times New Roman"/>
                <w:noProof/>
                <w:sz w:val="24"/>
              </w:rPr>
              <w:t>Funding of performance indicators specific for institutions of higher education (pillar 2);</w:t>
            </w:r>
          </w:p>
          <w:p w14:paraId="4E1FBFD5" w14:textId="77777777" w:rsidR="00ED16B1" w:rsidRPr="003C0DF0" w:rsidRDefault="00ED16B1" w:rsidP="00942154">
            <w:pPr>
              <w:pStyle w:val="ListParagraph"/>
              <w:numPr>
                <w:ilvl w:val="0"/>
                <w:numId w:val="14"/>
              </w:numPr>
              <w:spacing w:after="0" w:line="240" w:lineRule="auto"/>
              <w:ind w:left="0" w:firstLine="0"/>
              <w:rPr>
                <w:rFonts w:ascii="Times New Roman" w:hAnsi="Times New Roman"/>
                <w:noProof/>
                <w:sz w:val="24"/>
                <w:szCs w:val="24"/>
              </w:rPr>
            </w:pPr>
            <w:r w:rsidRPr="003C0DF0">
              <w:rPr>
                <w:rFonts w:ascii="Times New Roman" w:hAnsi="Times New Roman"/>
                <w:noProof/>
                <w:sz w:val="24"/>
              </w:rPr>
              <w:t>Funding to cover both teaching and study initiatives and creation of competence centres (pillar 3);</w:t>
            </w:r>
          </w:p>
          <w:p w14:paraId="330F33C2" w14:textId="77777777" w:rsidR="00ED16B1" w:rsidRPr="003C0DF0" w:rsidRDefault="00ED16B1" w:rsidP="00942154">
            <w:pPr>
              <w:pStyle w:val="ListParagraph"/>
              <w:numPr>
                <w:ilvl w:val="0"/>
                <w:numId w:val="14"/>
              </w:numPr>
              <w:spacing w:after="0" w:line="240" w:lineRule="auto"/>
              <w:ind w:left="0" w:firstLine="0"/>
              <w:rPr>
                <w:rFonts w:ascii="Times New Roman" w:hAnsi="Times New Roman"/>
                <w:noProof/>
                <w:sz w:val="24"/>
                <w:szCs w:val="24"/>
              </w:rPr>
            </w:pPr>
            <w:r w:rsidRPr="003C0DF0">
              <w:rPr>
                <w:rFonts w:ascii="Times New Roman" w:hAnsi="Times New Roman"/>
                <w:noProof/>
                <w:sz w:val="24"/>
              </w:rPr>
              <w:t>Need-based financial support to students;</w:t>
            </w:r>
          </w:p>
          <w:p w14:paraId="0D902C02" w14:textId="2A954BD8" w:rsidR="00ED16B1" w:rsidRPr="003C0DF0" w:rsidRDefault="00ED16B1" w:rsidP="00942154">
            <w:pPr>
              <w:pStyle w:val="ListParagraph"/>
              <w:numPr>
                <w:ilvl w:val="0"/>
                <w:numId w:val="14"/>
              </w:numPr>
              <w:spacing w:after="0" w:line="240" w:lineRule="auto"/>
              <w:ind w:left="0" w:firstLine="0"/>
              <w:rPr>
                <w:rFonts w:ascii="Times New Roman" w:hAnsi="Times New Roman"/>
                <w:noProof/>
                <w:sz w:val="24"/>
                <w:szCs w:val="24"/>
              </w:rPr>
            </w:pPr>
            <w:r w:rsidRPr="003C0DF0">
              <w:rPr>
                <w:rFonts w:ascii="Times New Roman" w:hAnsi="Times New Roman"/>
                <w:noProof/>
                <w:sz w:val="24"/>
              </w:rPr>
              <w:t>Improved student loan programme (based on the needs and State as the guarantor)</w:t>
            </w:r>
          </w:p>
        </w:tc>
      </w:tr>
      <w:tr w:rsidR="00ED16B1" w:rsidRPr="003C0DF0" w14:paraId="5F819083" w14:textId="77777777" w:rsidTr="00942154">
        <w:tc>
          <w:tcPr>
            <w:tcW w:w="5000" w:type="pct"/>
            <w:gridSpan w:val="2"/>
            <w:shd w:val="clear" w:color="auto" w:fill="DBE5F1" w:themeFill="accent1" w:themeFillTint="33"/>
          </w:tcPr>
          <w:p w14:paraId="48A43B3E" w14:textId="77777777" w:rsidR="00ED16B1" w:rsidRPr="003C0DF0" w:rsidRDefault="00ED16B1" w:rsidP="00DE5551">
            <w:pPr>
              <w:spacing w:after="0" w:line="240" w:lineRule="auto"/>
              <w:jc w:val="center"/>
              <w:rPr>
                <w:rFonts w:ascii="Times New Roman" w:hAnsi="Times New Roman"/>
                <w:b/>
                <w:noProof/>
                <w:sz w:val="24"/>
                <w:szCs w:val="24"/>
              </w:rPr>
            </w:pPr>
            <w:r w:rsidRPr="003C0DF0">
              <w:rPr>
                <w:rFonts w:ascii="Times New Roman" w:hAnsi="Times New Roman"/>
                <w:b/>
                <w:noProof/>
                <w:sz w:val="24"/>
              </w:rPr>
              <w:t>Alternatives for Consideration</w:t>
            </w:r>
          </w:p>
        </w:tc>
      </w:tr>
      <w:tr w:rsidR="00ED16B1" w:rsidRPr="003C0DF0" w14:paraId="4328DCB6" w14:textId="77777777" w:rsidTr="00942154">
        <w:tc>
          <w:tcPr>
            <w:tcW w:w="5000" w:type="pct"/>
            <w:gridSpan w:val="2"/>
          </w:tcPr>
          <w:p w14:paraId="0891ED60" w14:textId="77777777" w:rsidR="00ED16B1" w:rsidRPr="003C0DF0" w:rsidRDefault="00ED16B1" w:rsidP="00942154">
            <w:pPr>
              <w:pStyle w:val="ListParagraph"/>
              <w:numPr>
                <w:ilvl w:val="0"/>
                <w:numId w:val="14"/>
              </w:numPr>
              <w:spacing w:after="0" w:line="240" w:lineRule="auto"/>
              <w:ind w:left="0" w:firstLine="0"/>
              <w:rPr>
                <w:rFonts w:ascii="Times New Roman" w:hAnsi="Times New Roman"/>
                <w:noProof/>
                <w:sz w:val="24"/>
                <w:szCs w:val="24"/>
              </w:rPr>
            </w:pPr>
            <w:r w:rsidRPr="003C0DF0">
              <w:rPr>
                <w:rFonts w:ascii="Times New Roman" w:hAnsi="Times New Roman"/>
                <w:noProof/>
                <w:sz w:val="24"/>
              </w:rPr>
              <w:t>Maintain the study place model but add a fixed allocation per student to include a premium per graduate with different funding tariffs (social sciences, science and engineering, medical programmes);</w:t>
            </w:r>
          </w:p>
          <w:p w14:paraId="614C320C" w14:textId="77777777" w:rsidR="00ED16B1" w:rsidRPr="003C0DF0" w:rsidRDefault="00ED16B1" w:rsidP="00942154">
            <w:pPr>
              <w:pStyle w:val="ListParagraph"/>
              <w:numPr>
                <w:ilvl w:val="0"/>
                <w:numId w:val="14"/>
              </w:numPr>
              <w:spacing w:after="0" w:line="240" w:lineRule="auto"/>
              <w:ind w:left="0" w:firstLine="0"/>
              <w:rPr>
                <w:rFonts w:ascii="Times New Roman" w:hAnsi="Times New Roman"/>
                <w:noProof/>
                <w:sz w:val="24"/>
                <w:szCs w:val="24"/>
              </w:rPr>
            </w:pPr>
            <w:r w:rsidRPr="003C0DF0">
              <w:rPr>
                <w:rFonts w:ascii="Times New Roman" w:hAnsi="Times New Roman"/>
                <w:noProof/>
                <w:sz w:val="24"/>
              </w:rPr>
              <w:t>Limited scholarships based on the need and merit.</w:t>
            </w:r>
          </w:p>
        </w:tc>
      </w:tr>
    </w:tbl>
    <w:p w14:paraId="11A8109B" w14:textId="77777777" w:rsidR="00ED16B1" w:rsidRPr="003C0DF0" w:rsidRDefault="00ED16B1" w:rsidP="006E539B">
      <w:pPr>
        <w:pStyle w:val="ListParagraph"/>
        <w:spacing w:after="0" w:line="240" w:lineRule="auto"/>
        <w:ind w:left="0"/>
        <w:jc w:val="both"/>
        <w:rPr>
          <w:rFonts w:ascii="Times New Roman" w:hAnsi="Times New Roman"/>
          <w:noProof/>
          <w:sz w:val="24"/>
          <w:szCs w:val="24"/>
        </w:rPr>
      </w:pPr>
    </w:p>
    <w:p w14:paraId="7791BFA8" w14:textId="4B397CB8" w:rsidR="00ED16B1" w:rsidRPr="00942154" w:rsidRDefault="00DE5551" w:rsidP="00942154">
      <w:pPr>
        <w:pStyle w:val="Heading3"/>
      </w:pPr>
      <w:bookmarkStart w:id="39" w:name="_Toc421550737"/>
      <w:bookmarkStart w:id="40" w:name="_Toc453155041"/>
      <w:r w:rsidRPr="00942154">
        <w:t>2.1.4. Solutions for Financing Policy Change</w:t>
      </w:r>
      <w:bookmarkEnd w:id="39"/>
      <w:bookmarkEnd w:id="40"/>
    </w:p>
    <w:p w14:paraId="3C8B689F" w14:textId="77777777" w:rsidR="00DE5551" w:rsidRPr="003C0DF0" w:rsidRDefault="00DE5551" w:rsidP="006E539B">
      <w:pPr>
        <w:pStyle w:val="ListParagraph"/>
        <w:spacing w:after="0" w:line="240" w:lineRule="auto"/>
        <w:ind w:left="0"/>
        <w:jc w:val="both"/>
        <w:rPr>
          <w:rFonts w:ascii="Times New Roman" w:hAnsi="Times New Roman"/>
          <w:noProof/>
          <w:sz w:val="24"/>
          <w:szCs w:val="26"/>
        </w:rPr>
      </w:pPr>
    </w:p>
    <w:p w14:paraId="2D727676" w14:textId="77777777" w:rsidR="00ED16B1" w:rsidRPr="003C0DF0" w:rsidRDefault="00ED16B1" w:rsidP="00DE5551">
      <w:pPr>
        <w:pStyle w:val="ListParagraph"/>
        <w:spacing w:after="0" w:line="240" w:lineRule="auto"/>
        <w:ind w:left="0" w:firstLine="709"/>
        <w:jc w:val="both"/>
        <w:rPr>
          <w:rFonts w:ascii="Times New Roman" w:hAnsi="Times New Roman"/>
          <w:noProof/>
          <w:sz w:val="24"/>
          <w:szCs w:val="26"/>
        </w:rPr>
      </w:pPr>
      <w:r w:rsidRPr="003C0DF0">
        <w:rPr>
          <w:rFonts w:ascii="Times New Roman" w:hAnsi="Times New Roman"/>
          <w:noProof/>
          <w:sz w:val="24"/>
        </w:rPr>
        <w:t>As pointed out by the World Bank experts, principal change of the current model is possible by implementing the Knowledge Society Model (Scenario A). By increasing investment in the sector only slightly (Scenario B) or preserving the current amount of funding (C or zero scenario) and with the number of students decreasing, the options for diversifying the financing instruments in the second and third pillars and for achieving sustainable change in the system are very limited. It can be said that currently the higher education sector of Latvia is on its way from a systemic lack of funds and related risks to new growth opportunities, which is confirmed by the additional funding allocated to institutions of higher education and colleges in 2015. The solutions included in the Conceptual Report outline progress towards an optimal financing of the system according to the Knowledge Society Model, proposed by the World Bank, planning more substantial funding increase for higher education and research in long term according to the economic growth rates in accordance with the Law On Institutions of Higher Education, and the Law On Scientific Activity.</w:t>
      </w:r>
    </w:p>
    <w:p w14:paraId="1B374C09" w14:textId="77777777" w:rsidR="00ED16B1" w:rsidRPr="003C0DF0" w:rsidRDefault="00ED16B1" w:rsidP="00DE5551">
      <w:pPr>
        <w:pStyle w:val="ListParagraph"/>
        <w:spacing w:after="0" w:line="240" w:lineRule="auto"/>
        <w:ind w:left="0" w:firstLine="709"/>
        <w:jc w:val="both"/>
        <w:rPr>
          <w:rFonts w:ascii="Times New Roman" w:hAnsi="Times New Roman"/>
          <w:noProof/>
          <w:sz w:val="24"/>
          <w:szCs w:val="26"/>
        </w:rPr>
      </w:pPr>
      <w:r w:rsidRPr="003C0DF0">
        <w:rPr>
          <w:rFonts w:ascii="Times New Roman" w:hAnsi="Times New Roman"/>
          <w:noProof/>
          <w:sz w:val="24"/>
        </w:rPr>
        <w:t>According to the proposal of the World Bank, the ministry submitted a request for funding within the framework of the New Policy Initiative, to support the Knowledge Society Model. In evaluating the additional funding requested by the ministry, the Cabinet supported launching of the performance-based higher education funding in 2015, providing for resources also for the start-up of the introduction of the second pillar in addition to the existing higher education and science funding.</w:t>
      </w:r>
    </w:p>
    <w:p w14:paraId="336CAD78" w14:textId="77777777" w:rsidR="00ED16B1" w:rsidRPr="003C0DF0" w:rsidRDefault="00ED16B1" w:rsidP="00DE5551">
      <w:pPr>
        <w:spacing w:after="0" w:line="240" w:lineRule="auto"/>
        <w:ind w:firstLine="709"/>
        <w:jc w:val="both"/>
        <w:rPr>
          <w:rFonts w:ascii="Times New Roman" w:hAnsi="Times New Roman"/>
          <w:noProof/>
          <w:sz w:val="24"/>
          <w:szCs w:val="26"/>
        </w:rPr>
      </w:pPr>
      <w:r w:rsidRPr="003C0DF0">
        <w:rPr>
          <w:rFonts w:ascii="Times New Roman" w:hAnsi="Times New Roman"/>
          <w:noProof/>
          <w:sz w:val="24"/>
        </w:rPr>
        <w:t xml:space="preserve">With Clause 13.2 of </w:t>
      </w:r>
      <w:bookmarkStart w:id="41" w:name="28"/>
      <w:r w:rsidRPr="003C0DF0">
        <w:rPr>
          <w:rFonts w:ascii="Times New Roman" w:hAnsi="Times New Roman"/>
          <w:noProof/>
          <w:sz w:val="24"/>
        </w:rPr>
        <w:t>Paragraph 28</w:t>
      </w:r>
      <w:bookmarkEnd w:id="41"/>
      <w:r w:rsidRPr="003C0DF0">
        <w:rPr>
          <w:rFonts w:ascii="Times New Roman" w:hAnsi="Times New Roman"/>
          <w:noProof/>
          <w:sz w:val="24"/>
        </w:rPr>
        <w:t xml:space="preserve"> of Protocol Decision No. 61 of the Cabinet meeting of 10 November 2014, </w:t>
      </w:r>
      <w:r w:rsidRPr="003C0DF0">
        <w:rPr>
          <w:rFonts w:ascii="Times New Roman" w:hAnsi="Times New Roman"/>
          <w:i/>
          <w:noProof/>
          <w:sz w:val="24"/>
        </w:rPr>
        <w:t>Informative Report On the Proposals Submitted by the Ministry to the “Law On the Medium-term Budgetary Framework for the Years 2014, 2015 and 2016” for Financing the Implementation of the New Policy Initiatives and Evaluation of Expenses for Measures that Have a Positive Impact on the Amount of Fiscal Space Submitted by Other Ministries,</w:t>
      </w:r>
      <w:r w:rsidRPr="003C0DF0">
        <w:rPr>
          <w:rFonts w:ascii="Times New Roman" w:hAnsi="Times New Roman"/>
          <w:noProof/>
          <w:sz w:val="24"/>
        </w:rPr>
        <w:t xml:space="preserve"> the ministry's proposal to reduce the costs in sub-programme 05.02.00 “Basic Funding of Science” for 2015 and from now onwards every year by EUR 1,500,000, and increase the spending on the newly developed sub-program 03.03.00 “Development of Scientific Activity in Institutions of Higher Education and Colleges” by the respective amount of funding, in order to ensure implementation of the performance-based higher education financing model (second pillar), allocating funding to the institutions of higher education and colleges that have introduced performance management, was supported.</w:t>
      </w:r>
    </w:p>
    <w:p w14:paraId="6B4790E9" w14:textId="77777777" w:rsidR="00ED16B1" w:rsidRPr="003C0DF0" w:rsidRDefault="00ED16B1" w:rsidP="00DE5551">
      <w:pPr>
        <w:spacing w:after="0" w:line="240" w:lineRule="auto"/>
        <w:ind w:firstLine="709"/>
        <w:jc w:val="both"/>
        <w:rPr>
          <w:rFonts w:ascii="Times New Roman" w:hAnsi="Times New Roman"/>
          <w:noProof/>
          <w:sz w:val="24"/>
          <w:szCs w:val="26"/>
        </w:rPr>
      </w:pPr>
      <w:r w:rsidRPr="003C0DF0">
        <w:rPr>
          <w:rFonts w:ascii="Times New Roman" w:hAnsi="Times New Roman"/>
          <w:noProof/>
          <w:sz w:val="24"/>
        </w:rPr>
        <w:t>In order to develop financing of the second pillar, the Cabinet supported allocation of additional funding to financing of research-based higher education in 2015 in the amount of EUR 4 million, as well as in 2016 and 2017 in the amount of EUR 5 million (per year). With Clause 33 of Paragraph 28 of Protocol Decision No. 61 of the Cabinet meeting of 10 November 2014 it was decided to foresee in the Draft Law On State Budget 2015 that the Ministry of Education and Science ensures distribution of the extra funding allocated for higher education in 2015 in the amount of EUR 4,000,000 between institutions of higher education under the supervision of the Ministry of Education and Science, the Ministry of Culture, the Ministry of Health, and the Ministry of Agriculture. The ministry shall ensure allocation of the funding according to uniform criteria.</w:t>
      </w:r>
    </w:p>
    <w:p w14:paraId="338F1CF4" w14:textId="77777777" w:rsidR="00ED16B1" w:rsidRPr="003C0DF0" w:rsidRDefault="00ED16B1" w:rsidP="006E539B">
      <w:pPr>
        <w:spacing w:after="0" w:line="240" w:lineRule="auto"/>
        <w:jc w:val="both"/>
        <w:rPr>
          <w:rFonts w:ascii="Times New Roman" w:eastAsia="Times New Roman" w:hAnsi="Times New Roman"/>
          <w:noProof/>
          <w:sz w:val="24"/>
          <w:szCs w:val="26"/>
        </w:rPr>
      </w:pPr>
    </w:p>
    <w:p w14:paraId="14567C1C" w14:textId="71FE27FE" w:rsidR="00ED16B1" w:rsidRPr="001E4898" w:rsidRDefault="00DE5551" w:rsidP="001E4898">
      <w:pPr>
        <w:pStyle w:val="Heading2"/>
        <w:ind w:left="0"/>
      </w:pPr>
      <w:bookmarkStart w:id="42" w:name="_Toc421550738"/>
      <w:bookmarkStart w:id="43" w:name="_Toc453155042"/>
      <w:r w:rsidRPr="001E4898">
        <w:t>2.2. Financing of Institutions of Higher Education and Colleges in 2015 and 2016</w:t>
      </w:r>
      <w:bookmarkEnd w:id="42"/>
      <w:bookmarkEnd w:id="43"/>
    </w:p>
    <w:p w14:paraId="54E3EBE1" w14:textId="77777777" w:rsidR="00ED16B1" w:rsidRPr="003C0DF0" w:rsidRDefault="00ED16B1" w:rsidP="00DE5551">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firstLine="709"/>
        <w:jc w:val="both"/>
        <w:rPr>
          <w:rFonts w:ascii="Times New Roman" w:hAnsi="Times New Roman"/>
          <w:noProof/>
          <w:sz w:val="24"/>
          <w:szCs w:val="26"/>
        </w:rPr>
      </w:pPr>
    </w:p>
    <w:p w14:paraId="67FD8FC2" w14:textId="08ACDA68" w:rsidR="006E539B" w:rsidRPr="003C0DF0" w:rsidRDefault="00ED16B1" w:rsidP="00DE5551">
      <w:pPr>
        <w:pStyle w:val="ListParagraph"/>
        <w:spacing w:after="0" w:line="240" w:lineRule="auto"/>
        <w:ind w:left="0" w:firstLine="709"/>
        <w:jc w:val="both"/>
        <w:rPr>
          <w:rFonts w:ascii="Times New Roman" w:hAnsi="Times New Roman"/>
          <w:b/>
          <w:noProof/>
          <w:sz w:val="24"/>
          <w:szCs w:val="26"/>
        </w:rPr>
      </w:pPr>
      <w:r w:rsidRPr="003C0DF0">
        <w:rPr>
          <w:rFonts w:ascii="Times New Roman" w:hAnsi="Times New Roman"/>
          <w:noProof/>
          <w:sz w:val="24"/>
        </w:rPr>
        <w:t xml:space="preserve">In order to ensure implementation of a fundamentally new model of financing, corresponding with the national development priorities, implementation strategy of the higher education financing reform set by the ministry is to follow the Knowledge Society Model, which corresponds to the European Strategy 2020 “Smart, Sustainable and Inclusive Growth”. Due to the limited funding, it should be increased purposefully, prioritising research-based </w:t>
      </w:r>
      <w:r w:rsidRPr="003C0DF0">
        <w:rPr>
          <w:rFonts w:ascii="Times New Roman" w:hAnsi="Times New Roman"/>
          <w:noProof/>
          <w:sz w:val="24"/>
        </w:rPr>
        <w:lastRenderedPageBreak/>
        <w:t xml:space="preserve">higher education and performance incentives. </w:t>
      </w:r>
      <w:r w:rsidRPr="003C0DF0">
        <w:rPr>
          <w:rFonts w:ascii="Times New Roman" w:hAnsi="Times New Roman"/>
          <w:b/>
          <w:noProof/>
          <w:sz w:val="24"/>
        </w:rPr>
        <w:t>The ministry will gradually introduce the three-pillar model, the implementation of which will be done in three parallel stages: 1) optimisation of planning and implementation of the study place model; 2) performance funding according to the strategic specialisation laid down in the strategy of institutions of higher education; 3) support to excellence and innovation.</w:t>
      </w:r>
    </w:p>
    <w:p w14:paraId="23E0FCA1" w14:textId="7E143336" w:rsidR="00ED16B1" w:rsidRPr="003C0DF0" w:rsidRDefault="00ED16B1" w:rsidP="00DE5551">
      <w:pPr>
        <w:spacing w:after="0" w:line="240" w:lineRule="auto"/>
        <w:ind w:firstLine="709"/>
        <w:jc w:val="both"/>
        <w:rPr>
          <w:rFonts w:ascii="Times New Roman" w:hAnsi="Times New Roman"/>
          <w:noProof/>
          <w:sz w:val="24"/>
          <w:szCs w:val="26"/>
        </w:rPr>
      </w:pPr>
      <w:r w:rsidRPr="003C0DF0">
        <w:rPr>
          <w:rFonts w:ascii="Times New Roman" w:hAnsi="Times New Roman"/>
          <w:noProof/>
          <w:sz w:val="24"/>
        </w:rPr>
        <w:t>According to the budget for 2015 supported by the government and the amount of funds allocated for financing of the new model, the ministry will launch performance funding in 2015 and will move towards complete implementation of the new model. Concurrently the ministry will encourage institutions of higher education to introduce a performance management system, to improve the remuneration policy of academic personnel, providing for measures for integration of the academic and scientific personnel, for implementation of unified and transparent recruitment and remuneration principles, to update development strategies, which provide for the development of research-based higher education and research programmes that correspond to the strategic specialisation of the institution for years 2015 – 2020.</w:t>
      </w:r>
    </w:p>
    <w:p w14:paraId="255146D1" w14:textId="77777777" w:rsidR="00DE5551" w:rsidRPr="003C0DF0" w:rsidRDefault="00DE5551" w:rsidP="00BB175A">
      <w:pPr>
        <w:pStyle w:val="Heading3"/>
        <w:rPr>
          <w:noProof/>
        </w:rPr>
      </w:pPr>
      <w:bookmarkStart w:id="44" w:name="_Toc421550739"/>
    </w:p>
    <w:p w14:paraId="0948843C" w14:textId="3E2692DE" w:rsidR="00ED16B1" w:rsidRPr="001E4898" w:rsidRDefault="00DE5551" w:rsidP="001E4898">
      <w:pPr>
        <w:pStyle w:val="Heading3"/>
      </w:pPr>
      <w:bookmarkStart w:id="45" w:name="_Toc453155043"/>
      <w:r w:rsidRPr="001E4898">
        <w:t>2.</w:t>
      </w:r>
      <w:r w:rsidR="001E4898" w:rsidRPr="001E4898">
        <w:t>2</w:t>
      </w:r>
      <w:r w:rsidRPr="001E4898">
        <w:t>.</w:t>
      </w:r>
      <w:r w:rsidR="001E4898" w:rsidRPr="001E4898">
        <w:t>1</w:t>
      </w:r>
      <w:r w:rsidRPr="001E4898">
        <w:t>. Main Stages of the Financing Reform</w:t>
      </w:r>
      <w:bookmarkEnd w:id="44"/>
      <w:bookmarkEnd w:id="45"/>
    </w:p>
    <w:p w14:paraId="3A167833" w14:textId="77777777" w:rsidR="00DE5551" w:rsidRPr="003C0DF0" w:rsidRDefault="00DE5551" w:rsidP="00DE5551">
      <w:pPr>
        <w:spacing w:after="0" w:line="240" w:lineRule="auto"/>
        <w:ind w:firstLine="709"/>
        <w:jc w:val="both"/>
        <w:rPr>
          <w:rFonts w:ascii="Times New Roman" w:hAnsi="Times New Roman"/>
          <w:noProof/>
          <w:sz w:val="24"/>
          <w:szCs w:val="26"/>
        </w:rPr>
      </w:pPr>
    </w:p>
    <w:p w14:paraId="3E0599CF" w14:textId="77777777" w:rsidR="00ED16B1" w:rsidRPr="003C0DF0" w:rsidRDefault="00ED16B1" w:rsidP="00DE5551">
      <w:pPr>
        <w:spacing w:after="0" w:line="240" w:lineRule="auto"/>
        <w:ind w:firstLine="709"/>
        <w:jc w:val="both"/>
        <w:rPr>
          <w:rFonts w:ascii="Times New Roman" w:hAnsi="Times New Roman"/>
          <w:noProof/>
          <w:sz w:val="24"/>
          <w:szCs w:val="26"/>
        </w:rPr>
      </w:pPr>
      <w:r w:rsidRPr="003C0DF0">
        <w:rPr>
          <w:rFonts w:ascii="Times New Roman" w:hAnsi="Times New Roman"/>
          <w:noProof/>
          <w:sz w:val="24"/>
        </w:rPr>
        <w:t>The financing reform will be implemented in three parallel stages:</w:t>
      </w:r>
    </w:p>
    <w:p w14:paraId="77EA73E3" w14:textId="7D5CB8B5" w:rsidR="00ED16B1" w:rsidRPr="003C0DF0" w:rsidRDefault="00DE5551" w:rsidP="00DE5551">
      <w:pPr>
        <w:spacing w:after="0" w:line="240" w:lineRule="auto"/>
        <w:ind w:firstLine="709"/>
        <w:jc w:val="both"/>
        <w:rPr>
          <w:rFonts w:ascii="Times New Roman" w:hAnsi="Times New Roman"/>
          <w:noProof/>
          <w:sz w:val="24"/>
          <w:szCs w:val="26"/>
        </w:rPr>
      </w:pPr>
      <w:r w:rsidRPr="003C0DF0">
        <w:rPr>
          <w:rFonts w:ascii="Times New Roman" w:hAnsi="Times New Roman"/>
          <w:b/>
          <w:noProof/>
          <w:sz w:val="24"/>
        </w:rPr>
        <w:t>Stage 1</w:t>
      </w:r>
      <w:r w:rsidRPr="003C0DF0">
        <w:rPr>
          <w:rFonts w:ascii="Times New Roman" w:hAnsi="Times New Roman"/>
          <w:noProof/>
          <w:sz w:val="24"/>
        </w:rPr>
        <w:t xml:space="preserve"> – optimisation of planning and implementation of the study place model. It will include higher education input and output data analysis and their connection with the utilisation of the funding. Stakeholder negotiations will be carried out to ensure closer connection of higher education with the labour market (through intermediation of the Study Direction Council) and tripartite consultations with institutions of higher education and sectoral ministries. At this stage the study place planning will be introduced in a 3 – 5 year perspective. The proposals of the study </w:t>
      </w:r>
      <w:r w:rsidRPr="003C0DF0">
        <w:rPr>
          <w:rFonts w:ascii="Times New Roman" w:hAnsi="Times New Roman"/>
          <w:i/>
          <w:noProof/>
          <w:sz w:val="24"/>
        </w:rPr>
        <w:t>Updating of Study Basic Cost Methodology and Study Field Coefficients</w:t>
      </w:r>
      <w:r w:rsidRPr="003C0DF0">
        <w:rPr>
          <w:rFonts w:ascii="Times New Roman" w:hAnsi="Times New Roman"/>
          <w:noProof/>
          <w:sz w:val="24"/>
        </w:rPr>
        <w:t xml:space="preserve"> (final report of the study is enclosed in Annex 5), as well as proposals of the study </w:t>
      </w:r>
      <w:r w:rsidRPr="003C0DF0">
        <w:rPr>
          <w:rFonts w:ascii="Times New Roman" w:hAnsi="Times New Roman"/>
          <w:i/>
          <w:noProof/>
          <w:sz w:val="24"/>
        </w:rPr>
        <w:t>Evaluation of Financial – Economic Activity Indicators of Institutions of Higher Education and Consolidation of Public Reports</w:t>
      </w:r>
      <w:r w:rsidRPr="003C0DF0">
        <w:rPr>
          <w:rFonts w:ascii="Times New Roman" w:hAnsi="Times New Roman"/>
          <w:noProof/>
          <w:sz w:val="24"/>
        </w:rPr>
        <w:t xml:space="preserve"> (final report of the study is enclosed in Annex 6) will be implemented;</w:t>
      </w:r>
    </w:p>
    <w:p w14:paraId="786CB58F" w14:textId="0795E2D4" w:rsidR="00ED16B1" w:rsidRPr="003C0DF0" w:rsidRDefault="00DE5551" w:rsidP="00DE5551">
      <w:pPr>
        <w:tabs>
          <w:tab w:val="num" w:pos="426"/>
        </w:tabs>
        <w:spacing w:after="0" w:line="240" w:lineRule="auto"/>
        <w:ind w:firstLine="709"/>
        <w:jc w:val="both"/>
        <w:rPr>
          <w:rFonts w:ascii="Times New Roman" w:hAnsi="Times New Roman"/>
          <w:noProof/>
          <w:sz w:val="24"/>
          <w:szCs w:val="26"/>
        </w:rPr>
      </w:pPr>
      <w:r w:rsidRPr="003C0DF0">
        <w:rPr>
          <w:rFonts w:ascii="Times New Roman" w:hAnsi="Times New Roman"/>
          <w:b/>
          <w:noProof/>
          <w:sz w:val="24"/>
        </w:rPr>
        <w:t>Stage 2 </w:t>
      </w:r>
      <w:r w:rsidRPr="003C0DF0">
        <w:rPr>
          <w:rFonts w:ascii="Times New Roman" w:hAnsi="Times New Roman"/>
          <w:noProof/>
          <w:sz w:val="24"/>
        </w:rPr>
        <w:t xml:space="preserve">– strategic specialisation of institutions of higher education and implementation of performance funding. For the promotion of specialisation of institutions of higher education, strategies for the institutions of higher education will be drawn up to mark their study and research programme profile. Funding of the second and third pillar will be invested in sectors of activity with the highest performance and output potential. There will be a single basic funding allocation for higher education and research, and development of performance-based higher education funding criteria. The regulatory procedures for financing will be revised and “strategically positioned” performance agreements will be developed. At this stage the proposals of the study </w:t>
      </w:r>
      <w:r w:rsidRPr="003C0DF0">
        <w:rPr>
          <w:rFonts w:ascii="Times New Roman" w:hAnsi="Times New Roman"/>
          <w:i/>
          <w:noProof/>
          <w:sz w:val="24"/>
        </w:rPr>
        <w:t>“Research on Recruitment of Academic Personnel of Institutions of Higher Education and Remuneration Policy System”</w:t>
      </w:r>
      <w:r w:rsidRPr="003C0DF0">
        <w:rPr>
          <w:rFonts w:ascii="Times New Roman" w:hAnsi="Times New Roman"/>
          <w:noProof/>
          <w:sz w:val="24"/>
        </w:rPr>
        <w:t xml:space="preserve"> will be introduced (final report of the study is enclosed in</w:t>
      </w:r>
      <w:r w:rsidR="003C0DF0" w:rsidRPr="003C0DF0">
        <w:rPr>
          <w:rFonts w:ascii="Times New Roman" w:hAnsi="Times New Roman"/>
          <w:noProof/>
          <w:sz w:val="24"/>
        </w:rPr>
        <w:t xml:space="preserve"> </w:t>
      </w:r>
      <w:r w:rsidRPr="003C0DF0">
        <w:rPr>
          <w:rFonts w:ascii="Times New Roman" w:hAnsi="Times New Roman"/>
          <w:noProof/>
          <w:sz w:val="24"/>
        </w:rPr>
        <w:t>Annex 7).</w:t>
      </w:r>
    </w:p>
    <w:p w14:paraId="0BB6310D" w14:textId="746BE4D6" w:rsidR="006E539B" w:rsidRPr="003C0DF0" w:rsidRDefault="00DE5551" w:rsidP="00DE5551">
      <w:pPr>
        <w:tabs>
          <w:tab w:val="num" w:pos="284"/>
        </w:tabs>
        <w:spacing w:after="0" w:line="240" w:lineRule="auto"/>
        <w:ind w:firstLine="709"/>
        <w:jc w:val="both"/>
        <w:rPr>
          <w:rFonts w:ascii="Times New Roman" w:hAnsi="Times New Roman"/>
          <w:bCs/>
          <w:noProof/>
          <w:sz w:val="24"/>
          <w:szCs w:val="26"/>
        </w:rPr>
      </w:pPr>
      <w:r w:rsidRPr="003C0DF0">
        <w:rPr>
          <w:rFonts w:ascii="Times New Roman" w:hAnsi="Times New Roman"/>
          <w:b/>
          <w:noProof/>
          <w:sz w:val="24"/>
        </w:rPr>
        <w:t xml:space="preserve">Stage 3 </w:t>
      </w:r>
      <w:r w:rsidRPr="003C0DF0">
        <w:rPr>
          <w:rFonts w:ascii="Times New Roman" w:hAnsi="Times New Roman"/>
          <w:noProof/>
          <w:sz w:val="24"/>
        </w:rPr>
        <w:t>– promotion of excellence and innovation. This stage involves development of strategies of institutions of higher education, implementation of development measures and implementation of projects of institutions of higher education, study content improvement and implementation of innovation projects. Resource sharing and strategic specialisation depending on the profile of research and study programmes of institutions of higher education, joint doctoral programmes and post-doctoral research will be developed. Support to solving of topical and practical problems of enterprises and other external customers and other support instruments will be provided.</w:t>
      </w:r>
    </w:p>
    <w:p w14:paraId="6A36E1BF" w14:textId="77777777" w:rsidR="00DE5551" w:rsidRPr="003C0DF0" w:rsidRDefault="00DE5551" w:rsidP="00DE5551">
      <w:pPr>
        <w:tabs>
          <w:tab w:val="num" w:pos="284"/>
        </w:tabs>
        <w:spacing w:after="0" w:line="240" w:lineRule="auto"/>
        <w:ind w:firstLine="709"/>
        <w:jc w:val="both"/>
        <w:rPr>
          <w:rFonts w:ascii="Times New Roman" w:hAnsi="Times New Roman"/>
          <w:bCs/>
          <w:noProof/>
          <w:sz w:val="24"/>
          <w:szCs w:val="26"/>
        </w:rPr>
      </w:pPr>
    </w:p>
    <w:p w14:paraId="6E0EAF76" w14:textId="60EFA7DC" w:rsidR="00ED16B1" w:rsidRPr="001E4898" w:rsidRDefault="00DE5551" w:rsidP="001E4898">
      <w:pPr>
        <w:pStyle w:val="Heading3"/>
        <w:keepNext/>
      </w:pPr>
      <w:bookmarkStart w:id="46" w:name="_Toc421550740"/>
      <w:bookmarkStart w:id="47" w:name="_Toc453155044"/>
      <w:r w:rsidRPr="001E4898">
        <w:lastRenderedPageBreak/>
        <w:t>2.2.2. Funding Allocation Principles According to the New Financing Model</w:t>
      </w:r>
      <w:bookmarkEnd w:id="46"/>
      <w:bookmarkEnd w:id="47"/>
    </w:p>
    <w:p w14:paraId="65079AE1" w14:textId="77777777" w:rsidR="00DE5551" w:rsidRPr="003C0DF0" w:rsidRDefault="00DE5551" w:rsidP="001E4898">
      <w:pPr>
        <w:keepNext/>
        <w:spacing w:after="0" w:line="240" w:lineRule="auto"/>
        <w:ind w:firstLine="709"/>
        <w:jc w:val="both"/>
        <w:rPr>
          <w:rFonts w:ascii="Times New Roman" w:hAnsi="Times New Roman"/>
          <w:noProof/>
          <w:sz w:val="24"/>
          <w:szCs w:val="26"/>
        </w:rPr>
      </w:pPr>
    </w:p>
    <w:p w14:paraId="446E4212" w14:textId="77777777" w:rsidR="00ED16B1" w:rsidRPr="003C0DF0" w:rsidRDefault="00ED16B1" w:rsidP="001E4898">
      <w:pPr>
        <w:keepNext/>
        <w:spacing w:after="0" w:line="240" w:lineRule="auto"/>
        <w:ind w:firstLine="709"/>
        <w:jc w:val="both"/>
        <w:rPr>
          <w:rFonts w:ascii="Times New Roman" w:eastAsia="Times New Roman" w:hAnsi="Times New Roman"/>
          <w:noProof/>
          <w:sz w:val="24"/>
          <w:szCs w:val="26"/>
        </w:rPr>
      </w:pPr>
      <w:r w:rsidRPr="003C0DF0">
        <w:rPr>
          <w:rFonts w:ascii="Times New Roman" w:hAnsi="Times New Roman"/>
          <w:noProof/>
          <w:sz w:val="24"/>
        </w:rPr>
        <w:t xml:space="preserve">The funding amount </w:t>
      </w:r>
      <w:r w:rsidRPr="003C0DF0">
        <w:rPr>
          <w:rFonts w:ascii="Times New Roman" w:hAnsi="Times New Roman"/>
          <w:b/>
          <w:noProof/>
          <w:sz w:val="24"/>
        </w:rPr>
        <w:t>F</w:t>
      </w:r>
      <w:r w:rsidRPr="003C0DF0">
        <w:rPr>
          <w:rFonts w:ascii="Times New Roman" w:hAnsi="Times New Roman"/>
          <w:noProof/>
          <w:sz w:val="24"/>
        </w:rPr>
        <w:t xml:space="preserve"> that is allocated to an institution of higher education and college from the State budget funds under the new financing model is calculated, using a formula that expresses the components forming the funding of institutions of higher education and colleges:</w:t>
      </w:r>
    </w:p>
    <w:p w14:paraId="176B488F" w14:textId="77777777" w:rsidR="00DE5551" w:rsidRPr="003C0DF0" w:rsidRDefault="00DE5551" w:rsidP="00DE5551">
      <w:pPr>
        <w:spacing w:after="0" w:line="240" w:lineRule="auto"/>
        <w:ind w:firstLine="709"/>
        <w:jc w:val="both"/>
        <w:rPr>
          <w:rFonts w:ascii="Times New Roman" w:eastAsia="Times New Roman" w:hAnsi="Times New Roman"/>
          <w:noProof/>
          <w:sz w:val="24"/>
          <w:szCs w:val="26"/>
        </w:rPr>
      </w:pPr>
    </w:p>
    <w:p w14:paraId="54E97E49" w14:textId="77777777" w:rsidR="00ED16B1" w:rsidRPr="003C0DF0" w:rsidRDefault="00ED16B1" w:rsidP="00DE5551">
      <w:pPr>
        <w:spacing w:after="0" w:line="240" w:lineRule="auto"/>
        <w:ind w:firstLine="709"/>
        <w:jc w:val="center"/>
        <w:rPr>
          <w:rFonts w:ascii="Times New Roman" w:eastAsia="Times New Roman" w:hAnsi="Times New Roman"/>
          <w:noProof/>
          <w:sz w:val="24"/>
          <w:szCs w:val="26"/>
        </w:rPr>
      </w:pPr>
      <w:r w:rsidRPr="003C0DF0">
        <w:rPr>
          <w:rFonts w:ascii="Times New Roman" w:hAnsi="Times New Roman"/>
          <w:b/>
          <w:noProof/>
          <w:sz w:val="24"/>
        </w:rPr>
        <w:t>F = F</w:t>
      </w:r>
      <w:r w:rsidRPr="003C0DF0">
        <w:rPr>
          <w:rFonts w:ascii="Times New Roman" w:hAnsi="Times New Roman"/>
          <w:b/>
          <w:noProof/>
          <w:sz w:val="24"/>
          <w:vertAlign w:val="subscript"/>
        </w:rPr>
        <w:t>1</w:t>
      </w:r>
      <w:r w:rsidRPr="003C0DF0">
        <w:rPr>
          <w:rFonts w:ascii="Times New Roman" w:hAnsi="Times New Roman"/>
          <w:b/>
          <w:noProof/>
          <w:sz w:val="24"/>
        </w:rPr>
        <w:t> + F</w:t>
      </w:r>
      <w:r w:rsidRPr="003C0DF0">
        <w:rPr>
          <w:rFonts w:ascii="Times New Roman" w:hAnsi="Times New Roman"/>
          <w:b/>
          <w:noProof/>
          <w:sz w:val="24"/>
          <w:vertAlign w:val="subscript"/>
        </w:rPr>
        <w:t>2</w:t>
      </w:r>
      <w:r w:rsidRPr="003C0DF0">
        <w:rPr>
          <w:rFonts w:ascii="Times New Roman" w:hAnsi="Times New Roman"/>
          <w:b/>
          <w:noProof/>
          <w:sz w:val="24"/>
        </w:rPr>
        <w:t> + F</w:t>
      </w:r>
      <w:r w:rsidRPr="003C0DF0">
        <w:rPr>
          <w:rFonts w:ascii="Times New Roman" w:hAnsi="Times New Roman"/>
          <w:b/>
          <w:noProof/>
          <w:sz w:val="24"/>
          <w:vertAlign w:val="subscript"/>
        </w:rPr>
        <w:t>3</w:t>
      </w:r>
      <w:r w:rsidRPr="003C0DF0">
        <w:rPr>
          <w:rFonts w:ascii="Times New Roman" w:hAnsi="Times New Roman"/>
          <w:b/>
          <w:noProof/>
          <w:sz w:val="24"/>
        </w:rPr>
        <w:t xml:space="preserve">, </w:t>
      </w:r>
      <w:r w:rsidRPr="003C0DF0">
        <w:rPr>
          <w:rFonts w:ascii="Times New Roman" w:hAnsi="Times New Roman"/>
          <w:noProof/>
          <w:sz w:val="24"/>
        </w:rPr>
        <w:t>where</w:t>
      </w:r>
    </w:p>
    <w:p w14:paraId="1C9E96E1" w14:textId="77777777" w:rsidR="00ED16B1" w:rsidRPr="003C0DF0" w:rsidRDefault="00ED16B1" w:rsidP="00DE5551">
      <w:pPr>
        <w:spacing w:after="0" w:line="240" w:lineRule="auto"/>
        <w:ind w:firstLine="709"/>
        <w:jc w:val="both"/>
        <w:rPr>
          <w:rFonts w:ascii="Times New Roman" w:eastAsia="Times New Roman" w:hAnsi="Times New Roman"/>
          <w:noProof/>
          <w:sz w:val="24"/>
          <w:szCs w:val="26"/>
        </w:rPr>
      </w:pPr>
      <w:r w:rsidRPr="003C0DF0">
        <w:rPr>
          <w:rFonts w:ascii="Times New Roman" w:hAnsi="Times New Roman"/>
          <w:b/>
          <w:noProof/>
          <w:sz w:val="24"/>
        </w:rPr>
        <w:t>F</w:t>
      </w:r>
      <w:r w:rsidRPr="003C0DF0">
        <w:rPr>
          <w:rFonts w:ascii="Times New Roman" w:hAnsi="Times New Roman"/>
          <w:b/>
          <w:noProof/>
          <w:sz w:val="24"/>
          <w:vertAlign w:val="subscript"/>
        </w:rPr>
        <w:t>1</w:t>
      </w:r>
      <w:r w:rsidRPr="003C0DF0">
        <w:rPr>
          <w:rFonts w:ascii="Times New Roman" w:hAnsi="Times New Roman"/>
          <w:noProof/>
          <w:sz w:val="24"/>
        </w:rPr>
        <w:t> – the amount of base funding;</w:t>
      </w:r>
    </w:p>
    <w:p w14:paraId="0B0EFFD9" w14:textId="77777777" w:rsidR="00ED16B1" w:rsidRPr="003C0DF0" w:rsidRDefault="00ED16B1" w:rsidP="00DE5551">
      <w:pPr>
        <w:spacing w:after="0" w:line="240" w:lineRule="auto"/>
        <w:ind w:firstLine="709"/>
        <w:jc w:val="both"/>
        <w:rPr>
          <w:rFonts w:ascii="Times New Roman" w:eastAsia="Times New Roman" w:hAnsi="Times New Roman"/>
          <w:noProof/>
          <w:sz w:val="24"/>
          <w:szCs w:val="26"/>
        </w:rPr>
      </w:pPr>
      <w:r w:rsidRPr="003C0DF0">
        <w:rPr>
          <w:rFonts w:ascii="Times New Roman" w:hAnsi="Times New Roman"/>
          <w:b/>
          <w:noProof/>
          <w:sz w:val="24"/>
        </w:rPr>
        <w:t>F</w:t>
      </w:r>
      <w:r w:rsidRPr="003C0DF0">
        <w:rPr>
          <w:rFonts w:ascii="Times New Roman" w:hAnsi="Times New Roman"/>
          <w:b/>
          <w:noProof/>
          <w:sz w:val="24"/>
          <w:vertAlign w:val="subscript"/>
        </w:rPr>
        <w:t>2</w:t>
      </w:r>
      <w:r w:rsidRPr="003C0DF0">
        <w:rPr>
          <w:rFonts w:ascii="Times New Roman" w:hAnsi="Times New Roman"/>
          <w:noProof/>
          <w:sz w:val="24"/>
        </w:rPr>
        <w:t> – the amount of performance funding;</w:t>
      </w:r>
    </w:p>
    <w:p w14:paraId="5979CD98" w14:textId="77777777" w:rsidR="00ED16B1" w:rsidRPr="003C0DF0" w:rsidRDefault="00ED16B1" w:rsidP="00DE5551">
      <w:pPr>
        <w:spacing w:after="0" w:line="240" w:lineRule="auto"/>
        <w:ind w:firstLine="709"/>
        <w:jc w:val="both"/>
        <w:rPr>
          <w:rFonts w:ascii="Times New Roman" w:eastAsia="Times New Roman" w:hAnsi="Times New Roman"/>
          <w:noProof/>
          <w:sz w:val="24"/>
          <w:szCs w:val="26"/>
        </w:rPr>
      </w:pPr>
      <w:r w:rsidRPr="003C0DF0">
        <w:rPr>
          <w:rFonts w:ascii="Times New Roman" w:hAnsi="Times New Roman"/>
          <w:b/>
          <w:noProof/>
          <w:sz w:val="24"/>
        </w:rPr>
        <w:t>F</w:t>
      </w:r>
      <w:r w:rsidRPr="003C0DF0">
        <w:rPr>
          <w:rFonts w:ascii="Times New Roman" w:hAnsi="Times New Roman"/>
          <w:b/>
          <w:noProof/>
          <w:sz w:val="24"/>
          <w:vertAlign w:val="subscript"/>
        </w:rPr>
        <w:t>3</w:t>
      </w:r>
      <w:r w:rsidRPr="003C0DF0">
        <w:rPr>
          <w:rFonts w:ascii="Times New Roman" w:hAnsi="Times New Roman"/>
          <w:noProof/>
          <w:sz w:val="24"/>
        </w:rPr>
        <w:t> – the amount of targeted funding for innovations and development of studies and scientific activity.</w:t>
      </w:r>
    </w:p>
    <w:p w14:paraId="30D12F0A" w14:textId="77777777" w:rsidR="00ED16B1" w:rsidRPr="003C0DF0" w:rsidRDefault="00ED16B1" w:rsidP="00DE5551">
      <w:pPr>
        <w:spacing w:after="0" w:line="240" w:lineRule="auto"/>
        <w:ind w:firstLine="709"/>
        <w:jc w:val="both"/>
        <w:rPr>
          <w:rFonts w:ascii="Times New Roman" w:eastAsia="Times New Roman" w:hAnsi="Times New Roman"/>
          <w:noProof/>
          <w:sz w:val="24"/>
          <w:szCs w:val="26"/>
        </w:rPr>
      </w:pPr>
    </w:p>
    <w:p w14:paraId="64065EE8" w14:textId="77777777" w:rsidR="00ED16B1" w:rsidRPr="003C0DF0" w:rsidRDefault="00ED16B1" w:rsidP="00DE5551">
      <w:pPr>
        <w:spacing w:after="0" w:line="240" w:lineRule="auto"/>
        <w:ind w:firstLine="709"/>
        <w:jc w:val="both"/>
        <w:rPr>
          <w:rFonts w:ascii="Times New Roman" w:eastAsia="Times New Roman" w:hAnsi="Times New Roman"/>
          <w:noProof/>
          <w:sz w:val="24"/>
          <w:szCs w:val="26"/>
        </w:rPr>
      </w:pPr>
      <w:r w:rsidRPr="003C0DF0">
        <w:rPr>
          <w:rFonts w:ascii="Times New Roman" w:hAnsi="Times New Roman"/>
          <w:noProof/>
          <w:sz w:val="24"/>
        </w:rPr>
        <w:t>The amount of base funding is calculated, using the following formula:</w:t>
      </w:r>
    </w:p>
    <w:p w14:paraId="6373E709" w14:textId="77777777" w:rsidR="00ED16B1" w:rsidRPr="003C0DF0" w:rsidRDefault="00ED16B1" w:rsidP="00DE5551">
      <w:pPr>
        <w:spacing w:after="0" w:line="240" w:lineRule="auto"/>
        <w:ind w:firstLine="709"/>
        <w:jc w:val="center"/>
        <w:rPr>
          <w:rFonts w:ascii="Times New Roman" w:eastAsia="Times New Roman" w:hAnsi="Times New Roman"/>
          <w:b/>
          <w:noProof/>
          <w:sz w:val="24"/>
          <w:szCs w:val="26"/>
        </w:rPr>
      </w:pPr>
      <w:r w:rsidRPr="003C0DF0">
        <w:rPr>
          <w:rFonts w:ascii="Times New Roman" w:hAnsi="Times New Roman"/>
          <w:b/>
          <w:noProof/>
          <w:sz w:val="24"/>
        </w:rPr>
        <w:t>F</w:t>
      </w:r>
      <w:r w:rsidRPr="003C0DF0">
        <w:rPr>
          <w:rFonts w:ascii="Times New Roman" w:hAnsi="Times New Roman"/>
          <w:b/>
          <w:noProof/>
          <w:sz w:val="24"/>
          <w:vertAlign w:val="subscript"/>
        </w:rPr>
        <w:t>1</w:t>
      </w:r>
      <w:r w:rsidRPr="003C0DF0">
        <w:rPr>
          <w:rFonts w:ascii="Times New Roman" w:hAnsi="Times New Roman"/>
          <w:noProof/>
          <w:sz w:val="24"/>
        </w:rPr>
        <w:t> = </w:t>
      </w:r>
      <w:r w:rsidRPr="003C0DF0">
        <w:rPr>
          <w:rFonts w:ascii="Times New Roman" w:hAnsi="Times New Roman"/>
          <w:b/>
          <w:noProof/>
          <w:sz w:val="24"/>
        </w:rPr>
        <w:t>F</w:t>
      </w:r>
      <w:r w:rsidRPr="003C0DF0">
        <w:rPr>
          <w:rFonts w:ascii="Times New Roman" w:hAnsi="Times New Roman"/>
          <w:b/>
          <w:noProof/>
          <w:sz w:val="24"/>
          <w:vertAlign w:val="subscript"/>
        </w:rPr>
        <w:t>1</w:t>
      </w:r>
      <w:r w:rsidRPr="003C0DF0">
        <w:rPr>
          <w:rFonts w:ascii="Times New Roman" w:hAnsi="Times New Roman"/>
          <w:b/>
          <w:noProof/>
          <w:sz w:val="24"/>
          <w:vertAlign w:val="superscript"/>
        </w:rPr>
        <w:t>s</w:t>
      </w:r>
      <w:r w:rsidRPr="003C0DF0">
        <w:rPr>
          <w:rFonts w:ascii="Times New Roman" w:hAnsi="Times New Roman"/>
          <w:b/>
          <w:noProof/>
          <w:sz w:val="24"/>
        </w:rPr>
        <w:t> + F</w:t>
      </w:r>
      <w:r w:rsidRPr="003C0DF0">
        <w:rPr>
          <w:rFonts w:ascii="Times New Roman" w:hAnsi="Times New Roman"/>
          <w:b/>
          <w:noProof/>
          <w:sz w:val="24"/>
          <w:vertAlign w:val="subscript"/>
        </w:rPr>
        <w:t>1</w:t>
      </w:r>
      <w:r w:rsidRPr="003C0DF0">
        <w:rPr>
          <w:rFonts w:ascii="Times New Roman" w:hAnsi="Times New Roman"/>
          <w:b/>
          <w:noProof/>
          <w:sz w:val="24"/>
          <w:vertAlign w:val="superscript"/>
        </w:rPr>
        <w:t>z</w:t>
      </w:r>
      <w:r w:rsidRPr="003C0DF0">
        <w:rPr>
          <w:rFonts w:ascii="Times New Roman" w:hAnsi="Times New Roman"/>
          <w:b/>
          <w:noProof/>
          <w:sz w:val="24"/>
        </w:rPr>
        <w:t xml:space="preserve">, </w:t>
      </w:r>
      <w:r w:rsidRPr="003C0DF0">
        <w:rPr>
          <w:rFonts w:ascii="Times New Roman" w:hAnsi="Times New Roman"/>
          <w:noProof/>
          <w:sz w:val="24"/>
        </w:rPr>
        <w:t>where</w:t>
      </w:r>
    </w:p>
    <w:p w14:paraId="70732EAA" w14:textId="77777777" w:rsidR="00ED16B1" w:rsidRPr="003C0DF0" w:rsidRDefault="00ED16B1" w:rsidP="00DE5551">
      <w:pPr>
        <w:spacing w:after="0" w:line="240" w:lineRule="auto"/>
        <w:ind w:firstLine="709"/>
        <w:jc w:val="both"/>
        <w:rPr>
          <w:rFonts w:ascii="Times New Roman" w:eastAsia="Times New Roman" w:hAnsi="Times New Roman"/>
          <w:noProof/>
          <w:sz w:val="24"/>
          <w:szCs w:val="26"/>
        </w:rPr>
      </w:pPr>
      <w:r w:rsidRPr="003C0DF0">
        <w:rPr>
          <w:rFonts w:ascii="Times New Roman" w:hAnsi="Times New Roman"/>
          <w:b/>
          <w:noProof/>
          <w:sz w:val="24"/>
        </w:rPr>
        <w:t>F</w:t>
      </w:r>
      <w:r w:rsidRPr="003C0DF0">
        <w:rPr>
          <w:rFonts w:ascii="Times New Roman" w:hAnsi="Times New Roman"/>
          <w:b/>
          <w:noProof/>
          <w:sz w:val="24"/>
          <w:vertAlign w:val="subscript"/>
        </w:rPr>
        <w:t>1</w:t>
      </w:r>
      <w:r w:rsidRPr="003C0DF0">
        <w:rPr>
          <w:rFonts w:ascii="Times New Roman" w:hAnsi="Times New Roman"/>
          <w:b/>
          <w:noProof/>
          <w:sz w:val="24"/>
          <w:vertAlign w:val="superscript"/>
        </w:rPr>
        <w:t>s</w:t>
      </w:r>
      <w:r w:rsidRPr="003C0DF0">
        <w:rPr>
          <w:rFonts w:ascii="Times New Roman" w:hAnsi="Times New Roman"/>
          <w:noProof/>
          <w:sz w:val="24"/>
        </w:rPr>
        <w:t> – the amount of base funding of studies;</w:t>
      </w:r>
    </w:p>
    <w:p w14:paraId="0DD22D44" w14:textId="77777777" w:rsidR="00ED16B1" w:rsidRPr="003C0DF0" w:rsidRDefault="00ED16B1" w:rsidP="00DE5551">
      <w:pPr>
        <w:spacing w:after="0" w:line="240" w:lineRule="auto"/>
        <w:ind w:firstLine="709"/>
        <w:jc w:val="both"/>
        <w:rPr>
          <w:rFonts w:ascii="Times New Roman" w:eastAsia="Times New Roman" w:hAnsi="Times New Roman"/>
          <w:noProof/>
          <w:sz w:val="24"/>
          <w:szCs w:val="26"/>
        </w:rPr>
      </w:pPr>
      <w:r w:rsidRPr="003C0DF0">
        <w:rPr>
          <w:rFonts w:ascii="Times New Roman" w:hAnsi="Times New Roman"/>
          <w:b/>
          <w:noProof/>
          <w:sz w:val="24"/>
        </w:rPr>
        <w:t>F</w:t>
      </w:r>
      <w:r w:rsidRPr="003C0DF0">
        <w:rPr>
          <w:rFonts w:ascii="Times New Roman" w:hAnsi="Times New Roman"/>
          <w:b/>
          <w:noProof/>
          <w:sz w:val="24"/>
          <w:vertAlign w:val="subscript"/>
        </w:rPr>
        <w:t>1</w:t>
      </w:r>
      <w:r w:rsidRPr="003C0DF0">
        <w:rPr>
          <w:rFonts w:ascii="Times New Roman" w:hAnsi="Times New Roman"/>
          <w:b/>
          <w:noProof/>
          <w:sz w:val="24"/>
          <w:vertAlign w:val="superscript"/>
        </w:rPr>
        <w:t>z</w:t>
      </w:r>
      <w:r w:rsidRPr="003C0DF0">
        <w:rPr>
          <w:rFonts w:ascii="Times New Roman" w:hAnsi="Times New Roman"/>
          <w:noProof/>
          <w:sz w:val="24"/>
        </w:rPr>
        <w:t> – the amount of base funding of scientific activity.</w:t>
      </w:r>
    </w:p>
    <w:p w14:paraId="531F46C5" w14:textId="77777777" w:rsidR="00ED16B1" w:rsidRPr="003C0DF0" w:rsidRDefault="00ED16B1" w:rsidP="00DE5551">
      <w:pPr>
        <w:spacing w:after="0" w:line="240" w:lineRule="auto"/>
        <w:ind w:firstLine="709"/>
        <w:jc w:val="both"/>
        <w:rPr>
          <w:rFonts w:ascii="Times New Roman" w:eastAsia="Times New Roman" w:hAnsi="Times New Roman"/>
          <w:noProof/>
          <w:sz w:val="24"/>
          <w:szCs w:val="26"/>
        </w:rPr>
      </w:pPr>
    </w:p>
    <w:p w14:paraId="71EACED4" w14:textId="77777777" w:rsidR="00ED16B1" w:rsidRPr="003C0DF0" w:rsidRDefault="00ED16B1" w:rsidP="00DE5551">
      <w:pPr>
        <w:spacing w:after="0" w:line="240" w:lineRule="auto"/>
        <w:ind w:firstLine="709"/>
        <w:jc w:val="both"/>
        <w:rPr>
          <w:rFonts w:ascii="Times New Roman" w:eastAsia="Times New Roman" w:hAnsi="Times New Roman"/>
          <w:noProof/>
          <w:sz w:val="24"/>
          <w:szCs w:val="26"/>
        </w:rPr>
      </w:pPr>
      <w:r w:rsidRPr="003C0DF0">
        <w:rPr>
          <w:rFonts w:ascii="Times New Roman" w:hAnsi="Times New Roman"/>
          <w:noProof/>
          <w:sz w:val="24"/>
        </w:rPr>
        <w:t>The amount of performance funding is calculated, using the following formula:</w:t>
      </w:r>
    </w:p>
    <w:p w14:paraId="580D7DFF" w14:textId="77777777" w:rsidR="00ED16B1" w:rsidRPr="003C0DF0" w:rsidRDefault="00ED16B1" w:rsidP="00DE5551">
      <w:pPr>
        <w:spacing w:after="0" w:line="240" w:lineRule="auto"/>
        <w:ind w:firstLine="709"/>
        <w:jc w:val="center"/>
        <w:rPr>
          <w:rFonts w:ascii="Times New Roman" w:eastAsia="Times New Roman" w:hAnsi="Times New Roman"/>
          <w:b/>
          <w:noProof/>
          <w:sz w:val="24"/>
          <w:szCs w:val="26"/>
        </w:rPr>
      </w:pPr>
      <w:r w:rsidRPr="003C0DF0">
        <w:rPr>
          <w:rFonts w:ascii="Times New Roman" w:hAnsi="Times New Roman"/>
          <w:b/>
          <w:noProof/>
          <w:sz w:val="24"/>
        </w:rPr>
        <w:t>F</w:t>
      </w:r>
      <w:r w:rsidRPr="003C0DF0">
        <w:rPr>
          <w:rFonts w:ascii="Times New Roman" w:hAnsi="Times New Roman"/>
          <w:b/>
          <w:noProof/>
          <w:sz w:val="24"/>
          <w:vertAlign w:val="subscript"/>
        </w:rPr>
        <w:t>2</w:t>
      </w:r>
      <w:r w:rsidRPr="003C0DF0">
        <w:rPr>
          <w:rFonts w:ascii="Times New Roman" w:hAnsi="Times New Roman"/>
          <w:noProof/>
          <w:sz w:val="24"/>
        </w:rPr>
        <w:t> = </w:t>
      </w:r>
      <w:r w:rsidRPr="003C0DF0">
        <w:rPr>
          <w:rFonts w:ascii="Times New Roman" w:hAnsi="Times New Roman"/>
          <w:b/>
          <w:noProof/>
          <w:sz w:val="24"/>
        </w:rPr>
        <w:t>F</w:t>
      </w:r>
      <w:r w:rsidRPr="003C0DF0">
        <w:rPr>
          <w:rFonts w:ascii="Times New Roman" w:hAnsi="Times New Roman"/>
          <w:b/>
          <w:noProof/>
          <w:sz w:val="24"/>
          <w:vertAlign w:val="subscript"/>
        </w:rPr>
        <w:t>2</w:t>
      </w:r>
      <w:r w:rsidRPr="003C0DF0">
        <w:rPr>
          <w:rFonts w:ascii="Times New Roman" w:hAnsi="Times New Roman"/>
          <w:b/>
          <w:noProof/>
          <w:sz w:val="24"/>
          <w:vertAlign w:val="superscript"/>
        </w:rPr>
        <w:t>s</w:t>
      </w:r>
      <w:r w:rsidRPr="003C0DF0">
        <w:rPr>
          <w:rFonts w:ascii="Times New Roman" w:hAnsi="Times New Roman"/>
          <w:b/>
          <w:noProof/>
          <w:sz w:val="24"/>
        </w:rPr>
        <w:t> + F</w:t>
      </w:r>
      <w:r w:rsidRPr="003C0DF0">
        <w:rPr>
          <w:rFonts w:ascii="Times New Roman" w:hAnsi="Times New Roman"/>
          <w:b/>
          <w:noProof/>
          <w:sz w:val="24"/>
          <w:vertAlign w:val="subscript"/>
        </w:rPr>
        <w:t>2</w:t>
      </w:r>
      <w:r w:rsidRPr="003C0DF0">
        <w:rPr>
          <w:rFonts w:ascii="Times New Roman" w:hAnsi="Times New Roman"/>
          <w:b/>
          <w:noProof/>
          <w:sz w:val="24"/>
          <w:vertAlign w:val="superscript"/>
        </w:rPr>
        <w:t>z</w:t>
      </w:r>
      <w:r w:rsidRPr="003C0DF0">
        <w:rPr>
          <w:rFonts w:ascii="Times New Roman" w:hAnsi="Times New Roman"/>
          <w:b/>
          <w:noProof/>
          <w:sz w:val="24"/>
        </w:rPr>
        <w:t xml:space="preserve">, </w:t>
      </w:r>
      <w:r w:rsidRPr="003C0DF0">
        <w:rPr>
          <w:rFonts w:ascii="Times New Roman" w:hAnsi="Times New Roman"/>
          <w:noProof/>
          <w:sz w:val="24"/>
        </w:rPr>
        <w:t>where</w:t>
      </w:r>
    </w:p>
    <w:p w14:paraId="18A77788" w14:textId="77777777" w:rsidR="00ED16B1" w:rsidRPr="003C0DF0" w:rsidRDefault="00ED16B1" w:rsidP="00DE5551">
      <w:pPr>
        <w:spacing w:after="0" w:line="240" w:lineRule="auto"/>
        <w:ind w:firstLine="709"/>
        <w:jc w:val="both"/>
        <w:rPr>
          <w:rFonts w:ascii="Times New Roman" w:eastAsia="Times New Roman" w:hAnsi="Times New Roman"/>
          <w:noProof/>
          <w:sz w:val="24"/>
          <w:szCs w:val="26"/>
        </w:rPr>
      </w:pPr>
      <w:r w:rsidRPr="003C0DF0">
        <w:rPr>
          <w:rFonts w:ascii="Times New Roman" w:hAnsi="Times New Roman"/>
          <w:b/>
          <w:noProof/>
          <w:sz w:val="24"/>
        </w:rPr>
        <w:t>F</w:t>
      </w:r>
      <w:r w:rsidRPr="003C0DF0">
        <w:rPr>
          <w:rFonts w:ascii="Times New Roman" w:hAnsi="Times New Roman"/>
          <w:b/>
          <w:noProof/>
          <w:sz w:val="24"/>
          <w:vertAlign w:val="subscript"/>
        </w:rPr>
        <w:t>2</w:t>
      </w:r>
      <w:r w:rsidRPr="003C0DF0">
        <w:rPr>
          <w:rFonts w:ascii="Times New Roman" w:hAnsi="Times New Roman"/>
          <w:b/>
          <w:noProof/>
          <w:sz w:val="24"/>
          <w:vertAlign w:val="superscript"/>
        </w:rPr>
        <w:t>s</w:t>
      </w:r>
      <w:r w:rsidRPr="003C0DF0">
        <w:rPr>
          <w:rFonts w:ascii="Times New Roman" w:hAnsi="Times New Roman"/>
        </w:rPr>
        <w:t> </w:t>
      </w:r>
      <w:r w:rsidRPr="003C0DF0">
        <w:rPr>
          <w:rFonts w:ascii="Times New Roman" w:hAnsi="Times New Roman"/>
          <w:noProof/>
          <w:sz w:val="24"/>
        </w:rPr>
        <w:t>– the amount of funding based on performance indicators of studies;</w:t>
      </w:r>
    </w:p>
    <w:p w14:paraId="6BA1525A" w14:textId="77777777" w:rsidR="00ED16B1" w:rsidRPr="003C0DF0" w:rsidRDefault="00ED16B1" w:rsidP="00DE5551">
      <w:pPr>
        <w:spacing w:after="0" w:line="240" w:lineRule="auto"/>
        <w:ind w:firstLine="709"/>
        <w:jc w:val="both"/>
        <w:rPr>
          <w:rFonts w:ascii="Times New Roman" w:eastAsia="Times New Roman" w:hAnsi="Times New Roman"/>
          <w:noProof/>
          <w:sz w:val="24"/>
          <w:szCs w:val="26"/>
        </w:rPr>
      </w:pPr>
      <w:r w:rsidRPr="003C0DF0">
        <w:rPr>
          <w:rFonts w:ascii="Times New Roman" w:hAnsi="Times New Roman"/>
          <w:b/>
          <w:noProof/>
          <w:sz w:val="24"/>
        </w:rPr>
        <w:t>F</w:t>
      </w:r>
      <w:r w:rsidRPr="003C0DF0">
        <w:rPr>
          <w:rFonts w:ascii="Times New Roman" w:hAnsi="Times New Roman"/>
          <w:b/>
          <w:noProof/>
          <w:sz w:val="24"/>
          <w:vertAlign w:val="subscript"/>
        </w:rPr>
        <w:t>2</w:t>
      </w:r>
      <w:r w:rsidRPr="003C0DF0">
        <w:rPr>
          <w:rFonts w:ascii="Times New Roman" w:hAnsi="Times New Roman"/>
          <w:b/>
          <w:noProof/>
          <w:sz w:val="24"/>
          <w:vertAlign w:val="superscript"/>
        </w:rPr>
        <w:t>z</w:t>
      </w:r>
      <w:r w:rsidRPr="003C0DF0">
        <w:rPr>
          <w:rFonts w:ascii="Times New Roman" w:hAnsi="Times New Roman"/>
          <w:noProof/>
          <w:sz w:val="24"/>
        </w:rPr>
        <w:t> – the amount of funding based on performance indicators of scientific activity.</w:t>
      </w:r>
    </w:p>
    <w:p w14:paraId="26E13E82" w14:textId="77777777" w:rsidR="00ED16B1" w:rsidRPr="003C0DF0" w:rsidRDefault="00ED16B1" w:rsidP="00DE5551">
      <w:pPr>
        <w:spacing w:after="0" w:line="240" w:lineRule="auto"/>
        <w:ind w:firstLine="709"/>
        <w:jc w:val="both"/>
        <w:rPr>
          <w:rFonts w:ascii="Times New Roman" w:eastAsia="Times New Roman" w:hAnsi="Times New Roman"/>
          <w:noProof/>
          <w:sz w:val="24"/>
          <w:szCs w:val="26"/>
        </w:rPr>
      </w:pPr>
    </w:p>
    <w:p w14:paraId="2A27C5CA" w14:textId="77777777" w:rsidR="00ED16B1" w:rsidRPr="003C0DF0" w:rsidRDefault="00ED16B1" w:rsidP="00DE5551">
      <w:pPr>
        <w:spacing w:after="0" w:line="240" w:lineRule="auto"/>
        <w:ind w:firstLine="709"/>
        <w:jc w:val="both"/>
        <w:rPr>
          <w:rFonts w:ascii="Times New Roman" w:eastAsia="Times New Roman" w:hAnsi="Times New Roman"/>
          <w:noProof/>
          <w:sz w:val="24"/>
          <w:szCs w:val="26"/>
        </w:rPr>
      </w:pPr>
      <w:r w:rsidRPr="003C0DF0">
        <w:rPr>
          <w:rFonts w:ascii="Times New Roman" w:hAnsi="Times New Roman"/>
          <w:noProof/>
          <w:sz w:val="24"/>
        </w:rPr>
        <w:t>The amount of funding for innovations and development of strategic specialisation is calculated, using the following formula:</w:t>
      </w:r>
    </w:p>
    <w:p w14:paraId="52DB9193" w14:textId="77777777" w:rsidR="00ED16B1" w:rsidRPr="003C0DF0" w:rsidRDefault="00ED16B1" w:rsidP="00DE5551">
      <w:pPr>
        <w:spacing w:after="0" w:line="240" w:lineRule="auto"/>
        <w:ind w:firstLine="709"/>
        <w:jc w:val="center"/>
        <w:rPr>
          <w:rFonts w:ascii="Times New Roman" w:eastAsia="Times New Roman" w:hAnsi="Times New Roman"/>
          <w:b/>
          <w:noProof/>
          <w:sz w:val="24"/>
          <w:szCs w:val="26"/>
        </w:rPr>
      </w:pPr>
      <w:r w:rsidRPr="003C0DF0">
        <w:rPr>
          <w:rFonts w:ascii="Times New Roman" w:hAnsi="Times New Roman"/>
          <w:b/>
          <w:noProof/>
          <w:sz w:val="24"/>
        </w:rPr>
        <w:t>F</w:t>
      </w:r>
      <w:r w:rsidRPr="003C0DF0">
        <w:rPr>
          <w:rFonts w:ascii="Times New Roman" w:hAnsi="Times New Roman"/>
          <w:b/>
          <w:noProof/>
          <w:sz w:val="24"/>
          <w:vertAlign w:val="subscript"/>
        </w:rPr>
        <w:t>3</w:t>
      </w:r>
      <w:r w:rsidRPr="003C0DF0">
        <w:rPr>
          <w:rFonts w:ascii="Times New Roman" w:hAnsi="Times New Roman"/>
          <w:noProof/>
          <w:sz w:val="24"/>
        </w:rPr>
        <w:t> = </w:t>
      </w:r>
      <w:r w:rsidRPr="003C0DF0">
        <w:rPr>
          <w:rFonts w:ascii="Times New Roman" w:hAnsi="Times New Roman"/>
          <w:b/>
          <w:noProof/>
          <w:sz w:val="24"/>
        </w:rPr>
        <w:t>F</w:t>
      </w:r>
      <w:r w:rsidRPr="003C0DF0">
        <w:rPr>
          <w:rFonts w:ascii="Times New Roman" w:hAnsi="Times New Roman"/>
          <w:b/>
          <w:noProof/>
          <w:sz w:val="24"/>
          <w:vertAlign w:val="subscript"/>
        </w:rPr>
        <w:t>3</w:t>
      </w:r>
      <w:r w:rsidRPr="003C0DF0">
        <w:rPr>
          <w:rFonts w:ascii="Times New Roman" w:hAnsi="Times New Roman"/>
          <w:b/>
          <w:noProof/>
          <w:sz w:val="24"/>
          <w:vertAlign w:val="superscript"/>
        </w:rPr>
        <w:t>s</w:t>
      </w:r>
      <w:r w:rsidRPr="003C0DF0">
        <w:rPr>
          <w:rFonts w:ascii="Times New Roman" w:hAnsi="Times New Roman"/>
          <w:b/>
          <w:noProof/>
          <w:sz w:val="24"/>
        </w:rPr>
        <w:t> + F</w:t>
      </w:r>
      <w:r w:rsidRPr="003C0DF0">
        <w:rPr>
          <w:rFonts w:ascii="Times New Roman" w:hAnsi="Times New Roman"/>
          <w:b/>
          <w:noProof/>
          <w:sz w:val="24"/>
          <w:vertAlign w:val="subscript"/>
        </w:rPr>
        <w:t>3</w:t>
      </w:r>
      <w:r w:rsidRPr="003C0DF0">
        <w:rPr>
          <w:rFonts w:ascii="Times New Roman" w:hAnsi="Times New Roman"/>
          <w:b/>
          <w:noProof/>
          <w:sz w:val="24"/>
          <w:vertAlign w:val="superscript"/>
        </w:rPr>
        <w:t>z</w:t>
      </w:r>
      <w:r w:rsidRPr="003C0DF0">
        <w:rPr>
          <w:rFonts w:ascii="Times New Roman" w:hAnsi="Times New Roman"/>
          <w:b/>
          <w:noProof/>
          <w:sz w:val="24"/>
        </w:rPr>
        <w:t xml:space="preserve">, </w:t>
      </w:r>
      <w:r w:rsidRPr="003C0DF0">
        <w:rPr>
          <w:rFonts w:ascii="Times New Roman" w:hAnsi="Times New Roman"/>
          <w:noProof/>
          <w:sz w:val="24"/>
        </w:rPr>
        <w:t>where</w:t>
      </w:r>
    </w:p>
    <w:p w14:paraId="4C6CA146" w14:textId="77777777" w:rsidR="00ED16B1" w:rsidRPr="003C0DF0" w:rsidRDefault="00ED16B1" w:rsidP="00DE5551">
      <w:pPr>
        <w:spacing w:after="0" w:line="240" w:lineRule="auto"/>
        <w:ind w:firstLine="709"/>
        <w:jc w:val="both"/>
        <w:rPr>
          <w:rFonts w:ascii="Times New Roman" w:eastAsia="Times New Roman" w:hAnsi="Times New Roman"/>
          <w:noProof/>
          <w:sz w:val="24"/>
          <w:szCs w:val="26"/>
        </w:rPr>
      </w:pPr>
      <w:r w:rsidRPr="003C0DF0">
        <w:rPr>
          <w:rFonts w:ascii="Times New Roman" w:hAnsi="Times New Roman"/>
          <w:b/>
          <w:noProof/>
          <w:sz w:val="24"/>
        </w:rPr>
        <w:t>F</w:t>
      </w:r>
      <w:r w:rsidRPr="003C0DF0">
        <w:rPr>
          <w:rFonts w:ascii="Times New Roman" w:hAnsi="Times New Roman"/>
          <w:b/>
          <w:noProof/>
          <w:sz w:val="24"/>
          <w:vertAlign w:val="subscript"/>
        </w:rPr>
        <w:t>3</w:t>
      </w:r>
      <w:r w:rsidRPr="003C0DF0">
        <w:rPr>
          <w:rFonts w:ascii="Times New Roman" w:hAnsi="Times New Roman"/>
          <w:b/>
          <w:noProof/>
          <w:sz w:val="24"/>
          <w:vertAlign w:val="superscript"/>
        </w:rPr>
        <w:t>s</w:t>
      </w:r>
      <w:r w:rsidRPr="003C0DF0">
        <w:rPr>
          <w:rFonts w:ascii="Times New Roman" w:hAnsi="Times New Roman"/>
          <w:noProof/>
          <w:sz w:val="24"/>
        </w:rPr>
        <w:t> – funding for consolidation of study directions and capacity building, development of innovative study programmes, creation of joint study programmes;</w:t>
      </w:r>
    </w:p>
    <w:p w14:paraId="7E73D158" w14:textId="77777777" w:rsidR="00ED16B1" w:rsidRPr="003C0DF0" w:rsidRDefault="00ED16B1" w:rsidP="00DE5551">
      <w:pPr>
        <w:spacing w:after="0" w:line="240" w:lineRule="auto"/>
        <w:ind w:firstLine="709"/>
        <w:jc w:val="both"/>
        <w:rPr>
          <w:rFonts w:ascii="Times New Roman" w:eastAsia="Times New Roman" w:hAnsi="Times New Roman"/>
          <w:noProof/>
          <w:sz w:val="24"/>
          <w:szCs w:val="26"/>
        </w:rPr>
      </w:pPr>
      <w:r w:rsidRPr="003C0DF0">
        <w:rPr>
          <w:rFonts w:ascii="Times New Roman" w:hAnsi="Times New Roman"/>
          <w:b/>
          <w:noProof/>
          <w:sz w:val="24"/>
        </w:rPr>
        <w:t>F</w:t>
      </w:r>
      <w:r w:rsidRPr="003C0DF0">
        <w:rPr>
          <w:rFonts w:ascii="Times New Roman" w:hAnsi="Times New Roman"/>
          <w:b/>
          <w:noProof/>
          <w:sz w:val="24"/>
          <w:vertAlign w:val="subscript"/>
        </w:rPr>
        <w:t>3</w:t>
      </w:r>
      <w:r w:rsidRPr="003C0DF0">
        <w:rPr>
          <w:rFonts w:ascii="Times New Roman" w:hAnsi="Times New Roman"/>
          <w:b/>
          <w:noProof/>
          <w:sz w:val="24"/>
          <w:vertAlign w:val="superscript"/>
        </w:rPr>
        <w:t>z</w:t>
      </w:r>
      <w:r w:rsidRPr="003C0DF0">
        <w:rPr>
          <w:rFonts w:ascii="Times New Roman" w:hAnsi="Times New Roman"/>
          <w:noProof/>
          <w:sz w:val="24"/>
        </w:rPr>
        <w:t> – support to strengthening of research and innovative capacity of scientific institutions and of ability to attract external funding.</w:t>
      </w:r>
    </w:p>
    <w:p w14:paraId="3C3311C8" w14:textId="77777777" w:rsidR="00ED16B1" w:rsidRPr="003C0DF0" w:rsidRDefault="00ED16B1" w:rsidP="00DE5551">
      <w:pPr>
        <w:spacing w:after="0" w:line="240" w:lineRule="auto"/>
        <w:ind w:firstLine="709"/>
        <w:jc w:val="both"/>
        <w:rPr>
          <w:rFonts w:ascii="Times New Roman" w:eastAsia="Times New Roman" w:hAnsi="Times New Roman"/>
          <w:noProof/>
          <w:sz w:val="24"/>
          <w:szCs w:val="26"/>
        </w:rPr>
      </w:pPr>
    </w:p>
    <w:p w14:paraId="0E3E0664" w14:textId="77777777" w:rsidR="00ED16B1" w:rsidRPr="003C0DF0" w:rsidRDefault="00ED16B1" w:rsidP="00DE5551">
      <w:pPr>
        <w:spacing w:after="0" w:line="240" w:lineRule="auto"/>
        <w:ind w:firstLine="709"/>
        <w:jc w:val="both"/>
        <w:rPr>
          <w:rFonts w:ascii="Times New Roman" w:hAnsi="Times New Roman"/>
          <w:noProof/>
          <w:sz w:val="24"/>
          <w:szCs w:val="26"/>
        </w:rPr>
      </w:pPr>
      <w:r w:rsidRPr="003C0DF0">
        <w:rPr>
          <w:rFonts w:ascii="Times New Roman" w:hAnsi="Times New Roman"/>
          <w:noProof/>
          <w:sz w:val="24"/>
        </w:rPr>
        <w:t>In 2015, the ministry will implement gradual introduction of </w:t>
      </w:r>
      <w:r w:rsidRPr="003C0DF0">
        <w:rPr>
          <w:rFonts w:ascii="Times New Roman" w:hAnsi="Times New Roman"/>
          <w:b/>
          <w:noProof/>
          <w:sz w:val="24"/>
        </w:rPr>
        <w:t>F</w:t>
      </w:r>
      <w:r w:rsidRPr="003C0DF0">
        <w:rPr>
          <w:rFonts w:ascii="Times New Roman" w:hAnsi="Times New Roman"/>
          <w:b/>
          <w:noProof/>
          <w:sz w:val="24"/>
          <w:vertAlign w:val="subscript"/>
        </w:rPr>
        <w:t xml:space="preserve">1 </w:t>
      </w:r>
      <w:r w:rsidRPr="003C0DF0">
        <w:rPr>
          <w:rFonts w:ascii="Times New Roman" w:hAnsi="Times New Roman"/>
          <w:noProof/>
          <w:sz w:val="24"/>
        </w:rPr>
        <w:t>and </w:t>
      </w:r>
      <w:r w:rsidRPr="003C0DF0">
        <w:rPr>
          <w:rFonts w:ascii="Times New Roman" w:hAnsi="Times New Roman"/>
          <w:b/>
          <w:noProof/>
          <w:sz w:val="24"/>
        </w:rPr>
        <w:t>F</w:t>
      </w:r>
      <w:r w:rsidRPr="003C0DF0">
        <w:rPr>
          <w:rFonts w:ascii="Times New Roman" w:hAnsi="Times New Roman"/>
          <w:b/>
          <w:noProof/>
          <w:sz w:val="24"/>
          <w:vertAlign w:val="subscript"/>
        </w:rPr>
        <w:t>2</w:t>
      </w:r>
      <w:r w:rsidRPr="003C0DF0">
        <w:rPr>
          <w:rFonts w:ascii="Times New Roman" w:hAnsi="Times New Roman"/>
          <w:b/>
          <w:noProof/>
          <w:sz w:val="24"/>
          <w:vertAlign w:val="superscript"/>
        </w:rPr>
        <w:t>z</w:t>
      </w:r>
      <w:r w:rsidRPr="003C0DF0">
        <w:rPr>
          <w:rFonts w:ascii="Times New Roman" w:hAnsi="Times New Roman"/>
          <w:noProof/>
          <w:sz w:val="24"/>
        </w:rPr>
        <w:t xml:space="preserve"> components according to the amount of funding supported by the Cabinet for financing of institutions of higher education and colleges. The ministry will provide the base funding for studies and research in institutions of higher education and performance funding for scientific activity in institutions of higher education and colleges.</w:t>
      </w:r>
    </w:p>
    <w:p w14:paraId="7C87F0E8" w14:textId="77777777" w:rsidR="00ED16B1" w:rsidRPr="003C0DF0" w:rsidRDefault="00ED16B1" w:rsidP="00DE5551">
      <w:pPr>
        <w:spacing w:after="0" w:line="240" w:lineRule="auto"/>
        <w:ind w:firstLine="709"/>
        <w:jc w:val="both"/>
        <w:rPr>
          <w:rFonts w:ascii="Times New Roman" w:hAnsi="Times New Roman"/>
          <w:noProof/>
          <w:sz w:val="24"/>
          <w:szCs w:val="26"/>
        </w:rPr>
      </w:pPr>
    </w:p>
    <w:p w14:paraId="0631F889" w14:textId="77777777" w:rsidR="00ED16B1" w:rsidRPr="003C0DF0" w:rsidRDefault="00ED16B1" w:rsidP="00DE5551">
      <w:pPr>
        <w:spacing w:after="0" w:line="240" w:lineRule="auto"/>
        <w:ind w:firstLine="709"/>
        <w:jc w:val="both"/>
        <w:rPr>
          <w:rFonts w:ascii="Times New Roman" w:hAnsi="Times New Roman"/>
          <w:i/>
          <w:noProof/>
          <w:sz w:val="24"/>
          <w:szCs w:val="26"/>
        </w:rPr>
      </w:pPr>
      <w:r w:rsidRPr="003C0DF0">
        <w:rPr>
          <w:rFonts w:ascii="Times New Roman" w:hAnsi="Times New Roman"/>
          <w:noProof/>
          <w:sz w:val="24"/>
        </w:rPr>
        <w:t>The ministry will ensure implementation of the first pillar component </w:t>
      </w:r>
      <w:r w:rsidRPr="003C0DF0">
        <w:rPr>
          <w:rFonts w:ascii="Times New Roman" w:hAnsi="Times New Roman"/>
          <w:b/>
          <w:noProof/>
          <w:sz w:val="24"/>
        </w:rPr>
        <w:t>F</w:t>
      </w:r>
      <w:r w:rsidRPr="003C0DF0">
        <w:rPr>
          <w:rFonts w:ascii="Times New Roman" w:hAnsi="Times New Roman"/>
          <w:b/>
          <w:noProof/>
          <w:sz w:val="24"/>
          <w:vertAlign w:val="subscript"/>
        </w:rPr>
        <w:t xml:space="preserve">1 </w:t>
      </w:r>
      <w:r w:rsidRPr="003C0DF0">
        <w:rPr>
          <w:rFonts w:ascii="Times New Roman" w:hAnsi="Times New Roman"/>
          <w:noProof/>
          <w:sz w:val="24"/>
        </w:rPr>
        <w:t xml:space="preserve">from the sub-programme 03.01.00 </w:t>
      </w:r>
      <w:r w:rsidRPr="003C0DF0">
        <w:rPr>
          <w:rFonts w:ascii="Times New Roman" w:hAnsi="Times New Roman"/>
          <w:i/>
          <w:noProof/>
          <w:sz w:val="24"/>
        </w:rPr>
        <w:t>Institutions of</w:t>
      </w:r>
      <w:r w:rsidRPr="003C0DF0">
        <w:rPr>
          <w:rFonts w:ascii="Times New Roman" w:hAnsi="Times New Roman"/>
          <w:noProof/>
          <w:sz w:val="24"/>
        </w:rPr>
        <w:t xml:space="preserve"> </w:t>
      </w:r>
      <w:r w:rsidRPr="003C0DF0">
        <w:rPr>
          <w:rFonts w:ascii="Times New Roman" w:hAnsi="Times New Roman"/>
          <w:i/>
          <w:noProof/>
          <w:sz w:val="24"/>
        </w:rPr>
        <w:t xml:space="preserve">Higher Education </w:t>
      </w:r>
      <w:r w:rsidRPr="003C0DF0">
        <w:rPr>
          <w:rFonts w:ascii="Times New Roman" w:hAnsi="Times New Roman"/>
          <w:noProof/>
          <w:sz w:val="24"/>
        </w:rPr>
        <w:t xml:space="preserve">and sub-programme 03.11.00 </w:t>
      </w:r>
      <w:r w:rsidRPr="003C0DF0">
        <w:rPr>
          <w:rFonts w:ascii="Times New Roman" w:hAnsi="Times New Roman"/>
          <w:i/>
          <w:noProof/>
          <w:sz w:val="24"/>
        </w:rPr>
        <w:t>Colleges</w:t>
      </w:r>
      <w:r w:rsidRPr="003C0DF0">
        <w:rPr>
          <w:rFonts w:ascii="Times New Roman" w:hAnsi="Times New Roman"/>
          <w:noProof/>
          <w:sz w:val="24"/>
        </w:rPr>
        <w:t xml:space="preserve"> of the ministry's budget programme 03.00.00 </w:t>
      </w:r>
      <w:r w:rsidRPr="003C0DF0">
        <w:rPr>
          <w:rFonts w:ascii="Times New Roman" w:hAnsi="Times New Roman"/>
          <w:i/>
          <w:noProof/>
          <w:sz w:val="24"/>
        </w:rPr>
        <w:t xml:space="preserve">Higher Education, </w:t>
      </w:r>
      <w:r w:rsidRPr="003C0DF0">
        <w:rPr>
          <w:rFonts w:ascii="Times New Roman" w:hAnsi="Times New Roman"/>
          <w:noProof/>
          <w:sz w:val="24"/>
        </w:rPr>
        <w:t xml:space="preserve">sub-programme 05.02.00 </w:t>
      </w:r>
      <w:r w:rsidRPr="003C0DF0">
        <w:rPr>
          <w:rFonts w:ascii="Times New Roman" w:hAnsi="Times New Roman"/>
          <w:i/>
          <w:noProof/>
          <w:sz w:val="24"/>
        </w:rPr>
        <w:t>Base Funding for Science</w:t>
      </w:r>
      <w:r w:rsidRPr="003C0DF0">
        <w:rPr>
          <w:rFonts w:ascii="Times New Roman" w:hAnsi="Times New Roman"/>
          <w:noProof/>
          <w:sz w:val="24"/>
        </w:rPr>
        <w:t xml:space="preserve"> of the budget programme 05.00.00 </w:t>
      </w:r>
      <w:r w:rsidRPr="003C0DF0">
        <w:rPr>
          <w:rFonts w:ascii="Times New Roman" w:hAnsi="Times New Roman"/>
          <w:i/>
          <w:noProof/>
          <w:sz w:val="24"/>
        </w:rPr>
        <w:t xml:space="preserve">Science, </w:t>
      </w:r>
      <w:r w:rsidRPr="003C0DF0">
        <w:rPr>
          <w:rFonts w:ascii="Times New Roman" w:hAnsi="Times New Roman"/>
          <w:noProof/>
          <w:sz w:val="24"/>
        </w:rPr>
        <w:t xml:space="preserve">as well as budget sub-programme 02.03.00 </w:t>
      </w:r>
      <w:r w:rsidRPr="003C0DF0">
        <w:rPr>
          <w:rFonts w:ascii="Times New Roman" w:hAnsi="Times New Roman"/>
          <w:i/>
          <w:noProof/>
          <w:sz w:val="24"/>
        </w:rPr>
        <w:t>Higher Medical Education</w:t>
      </w:r>
      <w:r w:rsidRPr="003C0DF0">
        <w:rPr>
          <w:rFonts w:ascii="Times New Roman" w:hAnsi="Times New Roman"/>
          <w:noProof/>
          <w:sz w:val="24"/>
        </w:rPr>
        <w:t xml:space="preserve"> of the Ministry of Health, budget programme 20.00.00 </w:t>
      </w:r>
      <w:r w:rsidRPr="003C0DF0">
        <w:rPr>
          <w:rFonts w:ascii="Times New Roman" w:hAnsi="Times New Roman"/>
          <w:i/>
          <w:noProof/>
          <w:sz w:val="24"/>
        </w:rPr>
        <w:t xml:space="preserve">Cultural Education </w:t>
      </w:r>
      <w:r w:rsidRPr="003C0DF0">
        <w:rPr>
          <w:rFonts w:ascii="Times New Roman" w:hAnsi="Times New Roman"/>
          <w:noProof/>
          <w:sz w:val="24"/>
        </w:rPr>
        <w:t xml:space="preserve">of the Ministry of Culture, and budget sub-programme 22.02.00 </w:t>
      </w:r>
      <w:r w:rsidRPr="003C0DF0">
        <w:rPr>
          <w:rFonts w:ascii="Times New Roman" w:hAnsi="Times New Roman"/>
          <w:i/>
          <w:noProof/>
          <w:sz w:val="24"/>
        </w:rPr>
        <w:t>Higher Education</w:t>
      </w:r>
      <w:r w:rsidRPr="003C0DF0">
        <w:rPr>
          <w:rFonts w:ascii="Times New Roman" w:hAnsi="Times New Roman"/>
          <w:noProof/>
          <w:sz w:val="24"/>
        </w:rPr>
        <w:t xml:space="preserve"> of the Ministry of Agriculture</w:t>
      </w:r>
      <w:r w:rsidRPr="003C0DF0">
        <w:rPr>
          <w:rFonts w:ascii="Times New Roman" w:hAnsi="Times New Roman"/>
          <w:i/>
          <w:noProof/>
          <w:sz w:val="24"/>
        </w:rPr>
        <w:t>.</w:t>
      </w:r>
    </w:p>
    <w:p w14:paraId="461843CF" w14:textId="2EC96962" w:rsidR="00ED16B1" w:rsidRPr="003C0DF0" w:rsidRDefault="00ED16B1" w:rsidP="00DE5551">
      <w:pPr>
        <w:spacing w:after="0" w:line="240" w:lineRule="auto"/>
        <w:ind w:firstLine="709"/>
        <w:jc w:val="both"/>
        <w:rPr>
          <w:rFonts w:ascii="Times New Roman" w:hAnsi="Times New Roman"/>
          <w:noProof/>
          <w:sz w:val="24"/>
          <w:szCs w:val="26"/>
        </w:rPr>
      </w:pPr>
      <w:r w:rsidRPr="003C0DF0">
        <w:rPr>
          <w:rFonts w:ascii="Times New Roman" w:hAnsi="Times New Roman"/>
          <w:noProof/>
          <w:sz w:val="24"/>
        </w:rPr>
        <w:t>The ministry will ensure implementation of the second pillar component </w:t>
      </w:r>
      <w:r w:rsidRPr="003C0DF0">
        <w:rPr>
          <w:rFonts w:ascii="Times New Roman" w:hAnsi="Times New Roman"/>
          <w:b/>
          <w:noProof/>
          <w:sz w:val="24"/>
        </w:rPr>
        <w:t>F</w:t>
      </w:r>
      <w:r w:rsidRPr="003C0DF0">
        <w:rPr>
          <w:rFonts w:ascii="Times New Roman" w:hAnsi="Times New Roman"/>
          <w:b/>
          <w:noProof/>
          <w:sz w:val="24"/>
          <w:vertAlign w:val="subscript"/>
        </w:rPr>
        <w:t>2</w:t>
      </w:r>
      <w:r w:rsidRPr="003C0DF0">
        <w:rPr>
          <w:rFonts w:ascii="Times New Roman" w:hAnsi="Times New Roman"/>
          <w:b/>
          <w:noProof/>
          <w:sz w:val="24"/>
          <w:vertAlign w:val="superscript"/>
        </w:rPr>
        <w:t>z</w:t>
      </w:r>
      <w:r w:rsidRPr="003C0DF0">
        <w:rPr>
          <w:rFonts w:ascii="Times New Roman" w:hAnsi="Times New Roman"/>
          <w:noProof/>
          <w:sz w:val="24"/>
        </w:rPr>
        <w:t xml:space="preserve"> from the sub-programme 03.03.00 </w:t>
      </w:r>
      <w:r w:rsidRPr="003C0DF0">
        <w:rPr>
          <w:rFonts w:ascii="Times New Roman" w:hAnsi="Times New Roman"/>
          <w:i/>
          <w:noProof/>
          <w:sz w:val="24"/>
        </w:rPr>
        <w:t>Development of Scientific Activity in Institutions of Higher Education and Colleges</w:t>
      </w:r>
      <w:r w:rsidRPr="003C0DF0">
        <w:rPr>
          <w:rFonts w:ascii="Times New Roman" w:hAnsi="Times New Roman"/>
          <w:noProof/>
          <w:sz w:val="24"/>
        </w:rPr>
        <w:t xml:space="preserve"> of the ministry's budget programme 03.00.00 </w:t>
      </w:r>
      <w:r w:rsidRPr="003C0DF0">
        <w:rPr>
          <w:rFonts w:ascii="Times New Roman" w:hAnsi="Times New Roman"/>
          <w:i/>
          <w:noProof/>
          <w:sz w:val="24"/>
        </w:rPr>
        <w:t xml:space="preserve">Higher Education. </w:t>
      </w:r>
      <w:r w:rsidRPr="003C0DF0">
        <w:rPr>
          <w:rFonts w:ascii="Times New Roman" w:hAnsi="Times New Roman"/>
          <w:b/>
          <w:noProof/>
          <w:sz w:val="24"/>
        </w:rPr>
        <w:t>F</w:t>
      </w:r>
      <w:r w:rsidRPr="003C0DF0">
        <w:rPr>
          <w:rFonts w:ascii="Times New Roman" w:hAnsi="Times New Roman"/>
          <w:b/>
          <w:noProof/>
          <w:sz w:val="24"/>
          <w:vertAlign w:val="subscript"/>
        </w:rPr>
        <w:t>2</w:t>
      </w:r>
      <w:r w:rsidRPr="003C0DF0">
        <w:rPr>
          <w:rFonts w:ascii="Times New Roman" w:hAnsi="Times New Roman"/>
          <w:b/>
          <w:noProof/>
          <w:sz w:val="24"/>
          <w:vertAlign w:val="superscript"/>
        </w:rPr>
        <w:t>s </w:t>
      </w:r>
      <w:r w:rsidRPr="003C0DF0">
        <w:rPr>
          <w:rFonts w:ascii="Times New Roman" w:hAnsi="Times New Roman"/>
          <w:noProof/>
          <w:sz w:val="24"/>
        </w:rPr>
        <w:t>component (implementation of additional performance criteria) will be provided, with increase in the total performance funding.</w:t>
      </w:r>
    </w:p>
    <w:p w14:paraId="2BEE4434" w14:textId="77777777" w:rsidR="00ED16B1" w:rsidRPr="003C0DF0" w:rsidRDefault="00ED16B1" w:rsidP="00DE5551">
      <w:pPr>
        <w:spacing w:after="0" w:line="240" w:lineRule="auto"/>
        <w:ind w:firstLine="709"/>
        <w:jc w:val="both"/>
        <w:rPr>
          <w:rFonts w:ascii="Times New Roman" w:hAnsi="Times New Roman"/>
          <w:bCs/>
          <w:noProof/>
          <w:sz w:val="24"/>
          <w:szCs w:val="26"/>
        </w:rPr>
      </w:pPr>
      <w:r w:rsidRPr="003C0DF0">
        <w:rPr>
          <w:rFonts w:ascii="Times New Roman" w:hAnsi="Times New Roman"/>
          <w:noProof/>
          <w:sz w:val="24"/>
        </w:rPr>
        <w:t>Financing of the third pillar component </w:t>
      </w:r>
      <w:r w:rsidRPr="003C0DF0">
        <w:rPr>
          <w:rFonts w:ascii="Times New Roman" w:hAnsi="Times New Roman"/>
          <w:b/>
          <w:noProof/>
          <w:sz w:val="24"/>
        </w:rPr>
        <w:t>F</w:t>
      </w:r>
      <w:r w:rsidRPr="003C0DF0">
        <w:rPr>
          <w:rFonts w:ascii="Times New Roman" w:hAnsi="Times New Roman"/>
          <w:b/>
          <w:noProof/>
          <w:sz w:val="24"/>
          <w:vertAlign w:val="subscript"/>
        </w:rPr>
        <w:t xml:space="preserve">3 </w:t>
      </w:r>
      <w:r w:rsidRPr="003C0DF0">
        <w:rPr>
          <w:rFonts w:ascii="Times New Roman" w:hAnsi="Times New Roman"/>
          <w:noProof/>
          <w:sz w:val="24"/>
        </w:rPr>
        <w:t xml:space="preserve">from the European Union Structural Funds will be launched in 2015. Primarily, the funding will be provided in the specific support objective (SSO) activities of the European Union Cohesion Policy Fund Operational Programme “Growth and Employment” for the planning period 2014 – 2020 (hereinafter – </w:t>
      </w:r>
      <w:r w:rsidRPr="003C0DF0">
        <w:rPr>
          <w:rFonts w:ascii="Times New Roman" w:hAnsi="Times New Roman"/>
          <w:noProof/>
          <w:sz w:val="24"/>
        </w:rPr>
        <w:lastRenderedPageBreak/>
        <w:t xml:space="preserve">Operational Programme), including SSO 8.1.1 </w:t>
      </w:r>
      <w:r w:rsidRPr="003C0DF0">
        <w:rPr>
          <w:rFonts w:ascii="Times New Roman" w:hAnsi="Times New Roman"/>
          <w:i/>
          <w:noProof/>
          <w:sz w:val="24"/>
        </w:rPr>
        <w:t>To increase the number of modernised STEM, including medical and creative industries, study programmes;</w:t>
      </w:r>
      <w:r w:rsidRPr="003C0DF0">
        <w:rPr>
          <w:rFonts w:ascii="Times New Roman" w:hAnsi="Times New Roman"/>
          <w:noProof/>
          <w:sz w:val="24"/>
        </w:rPr>
        <w:t xml:space="preserve"> SSO 8.2.1 </w:t>
      </w:r>
      <w:r w:rsidRPr="003C0DF0">
        <w:rPr>
          <w:rFonts w:ascii="Times New Roman" w:hAnsi="Times New Roman"/>
          <w:i/>
          <w:noProof/>
          <w:sz w:val="24"/>
        </w:rPr>
        <w:t>To reduce the study programme fragmentation and strengthen the sharing of resources;</w:t>
      </w:r>
      <w:r w:rsidRPr="003C0DF0">
        <w:rPr>
          <w:rFonts w:ascii="Times New Roman" w:hAnsi="Times New Roman"/>
          <w:noProof/>
          <w:sz w:val="24"/>
        </w:rPr>
        <w:t xml:space="preserve"> SSO 8.2.3. </w:t>
      </w:r>
      <w:r w:rsidRPr="003C0DF0">
        <w:rPr>
          <w:rFonts w:ascii="Times New Roman" w:hAnsi="Times New Roman"/>
          <w:i/>
          <w:noProof/>
          <w:sz w:val="24"/>
        </w:rPr>
        <w:t>To ensure better management of institutions of higher education;</w:t>
      </w:r>
      <w:r w:rsidRPr="003C0DF0">
        <w:rPr>
          <w:rFonts w:ascii="Times New Roman" w:hAnsi="Times New Roman"/>
          <w:noProof/>
          <w:sz w:val="24"/>
        </w:rPr>
        <w:t xml:space="preserve"> SSO 1.1.1. </w:t>
      </w:r>
      <w:r w:rsidRPr="003C0DF0">
        <w:rPr>
          <w:rFonts w:ascii="Times New Roman" w:hAnsi="Times New Roman"/>
          <w:i/>
          <w:noProof/>
          <w:sz w:val="24"/>
        </w:rPr>
        <w:t>To increase research and innovation capacity of Latvian scientific institutions and their ability to attract external funding, by investing in human resources and infrastructure.</w:t>
      </w:r>
      <w:r w:rsidRPr="003C0DF0">
        <w:rPr>
          <w:rFonts w:ascii="Times New Roman" w:hAnsi="Times New Roman"/>
          <w:noProof/>
          <w:sz w:val="24"/>
        </w:rPr>
        <w:t xml:space="preserve"> The third pillar financing will be implemented in accordance with the Law On Management of European Union Structural Funds and the relevant Cabinet regulations for implementation of specific support targeted activities. As of 2020 it is planned to gradually increase the share of State budget funding for formation of innovations fund.</w:t>
      </w:r>
    </w:p>
    <w:p w14:paraId="6EBB36DC" w14:textId="77777777" w:rsidR="00ED16B1" w:rsidRPr="003C0DF0" w:rsidRDefault="00ED16B1" w:rsidP="00DE5551">
      <w:pPr>
        <w:spacing w:after="0" w:line="240" w:lineRule="auto"/>
        <w:ind w:firstLine="709"/>
        <w:jc w:val="both"/>
        <w:rPr>
          <w:rFonts w:ascii="Times New Roman" w:hAnsi="Times New Roman"/>
          <w:noProof/>
          <w:sz w:val="24"/>
          <w:szCs w:val="26"/>
        </w:rPr>
      </w:pPr>
      <w:r w:rsidRPr="003C0DF0">
        <w:rPr>
          <w:rFonts w:ascii="Times New Roman" w:hAnsi="Times New Roman"/>
          <w:noProof/>
          <w:sz w:val="24"/>
        </w:rPr>
        <w:t>The planned funding of the State budget and European Union Structural Funds from the three pillar perspective for implementation of a new higher education financing model as of 2015 is included in Annex 8.</w:t>
      </w:r>
    </w:p>
    <w:p w14:paraId="588D1818" w14:textId="77777777" w:rsidR="00DE5551" w:rsidRPr="003C0DF0" w:rsidRDefault="00DE5551" w:rsidP="00DE5551">
      <w:pPr>
        <w:spacing w:after="0" w:line="240" w:lineRule="auto"/>
        <w:ind w:firstLine="709"/>
        <w:jc w:val="both"/>
        <w:rPr>
          <w:rFonts w:ascii="Times New Roman" w:hAnsi="Times New Roman"/>
          <w:noProof/>
          <w:sz w:val="24"/>
          <w:szCs w:val="26"/>
        </w:rPr>
      </w:pPr>
    </w:p>
    <w:p w14:paraId="1F348A10" w14:textId="09CB551E" w:rsidR="00ED16B1" w:rsidRPr="001E4898" w:rsidRDefault="00DE5551" w:rsidP="001E4898">
      <w:pPr>
        <w:pStyle w:val="Heading3"/>
      </w:pPr>
      <w:bookmarkStart w:id="48" w:name="_Toc421550741"/>
      <w:bookmarkStart w:id="49" w:name="_Toc453155045"/>
      <w:r w:rsidRPr="001E4898">
        <w:t>2.2.3. Procedures for the Financing of Institutions of Higher Education and Colleges from the Funds of the State Budget</w:t>
      </w:r>
      <w:bookmarkEnd w:id="48"/>
      <w:bookmarkEnd w:id="49"/>
    </w:p>
    <w:p w14:paraId="37E23366" w14:textId="77777777" w:rsidR="00DE5551" w:rsidRPr="003C0DF0" w:rsidRDefault="00DE5551" w:rsidP="006E539B">
      <w:pPr>
        <w:spacing w:after="0" w:line="240" w:lineRule="auto"/>
        <w:jc w:val="both"/>
        <w:rPr>
          <w:rFonts w:ascii="Times New Roman" w:hAnsi="Times New Roman"/>
          <w:noProof/>
          <w:sz w:val="24"/>
          <w:szCs w:val="26"/>
        </w:rPr>
      </w:pPr>
    </w:p>
    <w:p w14:paraId="3DA15045" w14:textId="77777777" w:rsidR="00ED16B1" w:rsidRPr="003C0DF0" w:rsidRDefault="00ED16B1" w:rsidP="00DE5551">
      <w:pPr>
        <w:spacing w:after="0" w:line="240" w:lineRule="auto"/>
        <w:ind w:firstLine="709"/>
        <w:jc w:val="both"/>
        <w:rPr>
          <w:rFonts w:ascii="Times New Roman" w:hAnsi="Times New Roman"/>
          <w:noProof/>
          <w:sz w:val="24"/>
          <w:szCs w:val="26"/>
        </w:rPr>
      </w:pPr>
      <w:r w:rsidRPr="003C0DF0">
        <w:rPr>
          <w:rFonts w:ascii="Times New Roman" w:hAnsi="Times New Roman"/>
          <w:noProof/>
          <w:sz w:val="24"/>
        </w:rPr>
        <w:t>Financing of institutions of higher education and colleges from the funds of the State budget is regulated by Cabinet Regulation No. 994. Paragraph 9 of the aforementioned Regulation lays down the amount of study funding on the basis of the number of study places, which has been specified by the State for the relevant institution of higher education or college, the base costs of a study place, and coefficients of the costs of thematic educational area of studies. In 2015 the ministry will revise the procedures for financing of institutions of higher education and colleges from the funds of the State budget by incorporating consolidated study cost coefficients in Cabinet Regulation No. 994 and updating the methodology for the calculation of the base costs of studies.</w:t>
      </w:r>
    </w:p>
    <w:p w14:paraId="70913357" w14:textId="77777777" w:rsidR="00ED16B1" w:rsidRPr="003C0DF0" w:rsidRDefault="00ED16B1" w:rsidP="00DE5551">
      <w:pPr>
        <w:spacing w:after="0" w:line="240" w:lineRule="auto"/>
        <w:ind w:firstLine="709"/>
        <w:jc w:val="both"/>
        <w:rPr>
          <w:rFonts w:ascii="Times New Roman" w:hAnsi="Times New Roman"/>
          <w:noProof/>
          <w:sz w:val="24"/>
          <w:szCs w:val="26"/>
        </w:rPr>
      </w:pPr>
      <w:r w:rsidRPr="003C0DF0">
        <w:rPr>
          <w:rFonts w:ascii="Times New Roman" w:hAnsi="Times New Roman"/>
          <w:noProof/>
          <w:sz w:val="24"/>
        </w:rPr>
        <w:t>The ministry has already launched optimisation of the allocation process of study funding and broader attraction of co-operation partners and sectoral ministries. Clarification and verification of the data on number of study places and prepared specialists in 2013, as well as the number of planned study places and specialists to be prepared in 2014 was carried out during the time period from 1 September 2014 to 1 December 2014. Proposals of 12 Sectoral Expert Councils with respect to the necessary changes in study directions compliant with their specifics and redistribution of subsidised study places were evaluated. There have been several meetings with Sectoral Expert Councils and evaluation of the proposals made by employers. The draft allocation of subsidised study places for 2015 has been prepared in consultation with institutions of higher education and colleges.</w:t>
      </w:r>
    </w:p>
    <w:p w14:paraId="0D6B8D5D" w14:textId="77777777" w:rsidR="00ED16B1" w:rsidRPr="003C0DF0" w:rsidRDefault="00ED16B1" w:rsidP="00DE5551">
      <w:pPr>
        <w:pStyle w:val="Default"/>
        <w:ind w:firstLine="709"/>
        <w:jc w:val="both"/>
        <w:rPr>
          <w:rFonts w:eastAsia="Times New Roman"/>
          <w:bCs/>
          <w:noProof/>
          <w:color w:val="auto"/>
          <w:szCs w:val="26"/>
        </w:rPr>
      </w:pPr>
      <w:r w:rsidRPr="003C0DF0">
        <w:rPr>
          <w:noProof/>
          <w:color w:val="auto"/>
        </w:rPr>
        <w:t xml:space="preserve">In the allocation of subsidised study places for 2015 the results achieved in the previous year in the preparation of specialists (actual execution of subsidised study places, the number of specialists prepared as compared to the planned, drop-out) were taken into account; promotion of reduction of fragmentation of study programmes and fragmentation of directions was ensured. Taking into account the target laid down in the Education Development Guidelines for 2014 – 2020, in 2017 to direct 50 % of all subsidised study places to Science, Technology, Engineering and Mathematics (STEM) programmes, and in 2020 – 55 %, according to the forecasts of the Ministry of Economics with regard to the demand for specialities in 2020, it was ensured in 2015 that the number of study places in the thematic groups </w:t>
      </w:r>
      <w:r w:rsidRPr="003C0DF0">
        <w:rPr>
          <w:i/>
          <w:noProof/>
          <w:color w:val="auto"/>
        </w:rPr>
        <w:t>Engineering, manufacturing and construction, Natural sciences, mathematics</w:t>
      </w:r>
      <w:r w:rsidRPr="003C0DF0">
        <w:rPr>
          <w:noProof/>
          <w:color w:val="auto"/>
        </w:rPr>
        <w:t xml:space="preserve"> </w:t>
      </w:r>
      <w:r w:rsidRPr="003C0DF0">
        <w:rPr>
          <w:i/>
          <w:noProof/>
          <w:color w:val="auto"/>
        </w:rPr>
        <w:t>and ICT</w:t>
      </w:r>
      <w:r w:rsidRPr="003C0DF0">
        <w:rPr>
          <w:noProof/>
          <w:color w:val="auto"/>
        </w:rPr>
        <w:t xml:space="preserve"> and </w:t>
      </w:r>
      <w:r w:rsidRPr="003C0DF0">
        <w:rPr>
          <w:i/>
          <w:noProof/>
          <w:color w:val="auto"/>
        </w:rPr>
        <w:t>Agriculture</w:t>
      </w:r>
      <w:r w:rsidRPr="003C0DF0">
        <w:rPr>
          <w:noProof/>
          <w:color w:val="auto"/>
        </w:rPr>
        <w:t>, together account for 42 % of all study places.</w:t>
      </w:r>
      <w:r w:rsidRPr="003C0DF0">
        <w:rPr>
          <w:rStyle w:val="FootnoteReference"/>
          <w:noProof/>
          <w:color w:val="auto"/>
        </w:rPr>
        <w:footnoteReference w:id="15"/>
      </w:r>
    </w:p>
    <w:p w14:paraId="721AECE4" w14:textId="77777777" w:rsidR="00ED16B1" w:rsidRPr="003C0DF0" w:rsidRDefault="00ED16B1" w:rsidP="00DE5551">
      <w:pPr>
        <w:pStyle w:val="Default"/>
        <w:ind w:firstLine="709"/>
        <w:jc w:val="both"/>
        <w:rPr>
          <w:noProof/>
          <w:color w:val="auto"/>
          <w:szCs w:val="26"/>
        </w:rPr>
      </w:pPr>
      <w:r w:rsidRPr="003C0DF0">
        <w:rPr>
          <w:noProof/>
          <w:color w:val="auto"/>
        </w:rPr>
        <w:lastRenderedPageBreak/>
        <w:t>The “envelope” principle (the total funding of an institution of higher education is not reduced) was maintained in the allocation of study places in 2015; concurrently proposals of institutions of higher education for fundamental changes in redistribution of study places among institutions in the coming years were evaluated. In planning the number of study places for 2015, a slight increase was preserved in the number of study places in college-level study programmes according to the education development objective, to promote the extension of STEM directions in the 1st level vocational higher education programmes.</w:t>
      </w:r>
    </w:p>
    <w:p w14:paraId="6333E0F1" w14:textId="77777777" w:rsidR="006E539B" w:rsidRPr="003C0DF0" w:rsidRDefault="00ED16B1" w:rsidP="00DE5551">
      <w:pPr>
        <w:pStyle w:val="Default"/>
        <w:ind w:firstLine="709"/>
        <w:jc w:val="both"/>
        <w:rPr>
          <w:rFonts w:eastAsia="Times New Roman"/>
          <w:bCs/>
          <w:noProof/>
          <w:color w:val="auto"/>
          <w:szCs w:val="26"/>
        </w:rPr>
      </w:pPr>
      <w:r w:rsidRPr="003C0DF0">
        <w:rPr>
          <w:noProof/>
          <w:color w:val="auto"/>
        </w:rPr>
        <w:t xml:space="preserve">Upon analysing the employment and labour market developments in the European Union, the Ministry of Economics points out that the main future challenges of employment in Europe will be linked to ensuring balance between the demand and supply of labour force skills, as well as to creation of new jobs. As pointed out by the Ministry of Economics, there is a concern that the supply of </w:t>
      </w:r>
      <w:r w:rsidRPr="003C0DF0">
        <w:rPr>
          <w:b/>
          <w:noProof/>
          <w:color w:val="auto"/>
        </w:rPr>
        <w:t xml:space="preserve">science, technology, engineering and mathematics skills could be insufficient and may hinder the economic growth of Europe. </w:t>
      </w:r>
      <w:r w:rsidRPr="003C0DF0">
        <w:rPr>
          <w:noProof/>
          <w:color w:val="auto"/>
        </w:rPr>
        <w:t>In the future the compliance of the skills of labour force with the labour market demands will be of key importance.</w:t>
      </w:r>
      <w:r w:rsidRPr="003C0DF0">
        <w:rPr>
          <w:rStyle w:val="FootnoteReference"/>
          <w:noProof/>
          <w:color w:val="auto"/>
        </w:rPr>
        <w:footnoteReference w:id="16"/>
      </w:r>
    </w:p>
    <w:p w14:paraId="0795C836" w14:textId="4C8075E3" w:rsidR="00ED16B1" w:rsidRPr="003C0DF0" w:rsidRDefault="00ED16B1" w:rsidP="00DE5551">
      <w:pPr>
        <w:spacing w:after="0" w:line="240" w:lineRule="auto"/>
        <w:ind w:firstLine="709"/>
        <w:jc w:val="both"/>
        <w:rPr>
          <w:rFonts w:ascii="Times New Roman" w:hAnsi="Times New Roman"/>
          <w:bCs/>
          <w:noProof/>
          <w:sz w:val="24"/>
          <w:szCs w:val="26"/>
        </w:rPr>
      </w:pPr>
      <w:r w:rsidRPr="003C0DF0">
        <w:rPr>
          <w:rFonts w:ascii="Times New Roman" w:hAnsi="Times New Roman"/>
          <w:noProof/>
          <w:sz w:val="24"/>
        </w:rPr>
        <w:t>Compared to other European countries, Latvia belongs to the group of countries, which shows average results in preparation of specialists in science and technologies and in promotion of STEM attractiveness among young people, namely, there are 13.3 – 16.4 STEM speciality graduates per 1 thousand inhabitants from</w:t>
      </w:r>
      <w:r w:rsidR="003C0DF0" w:rsidRPr="003C0DF0">
        <w:rPr>
          <w:rFonts w:ascii="Times New Roman" w:hAnsi="Times New Roman"/>
          <w:noProof/>
          <w:sz w:val="24"/>
        </w:rPr>
        <w:t xml:space="preserve"> </w:t>
      </w:r>
      <w:r w:rsidRPr="003C0DF0">
        <w:rPr>
          <w:rFonts w:ascii="Times New Roman" w:hAnsi="Times New Roman"/>
          <w:noProof/>
          <w:sz w:val="24"/>
        </w:rPr>
        <w:t xml:space="preserve">20 to 29 years of age. The leading European countries in production of STEM specialists are Finland, Great Britain, Ireland, France, Portugal, as well as Lithuania and other countries in which there are 19.3 – 23 STEM graduates per 1 thousand of inhabitants(Figure 6, </w:t>
      </w:r>
      <w:r w:rsidRPr="003C0DF0">
        <w:rPr>
          <w:rFonts w:ascii="Times New Roman" w:hAnsi="Times New Roman"/>
          <w:i/>
          <w:noProof/>
          <w:sz w:val="24"/>
        </w:rPr>
        <w:t>Eurostat</w:t>
      </w:r>
      <w:r w:rsidRPr="003C0DF0">
        <w:rPr>
          <w:rFonts w:ascii="Times New Roman" w:hAnsi="Times New Roman"/>
          <w:noProof/>
          <w:sz w:val="24"/>
        </w:rPr>
        <w:t> 2015 data).</w:t>
      </w:r>
    </w:p>
    <w:p w14:paraId="5BA0F738" w14:textId="77777777" w:rsidR="00DE5551" w:rsidRPr="003C0DF0" w:rsidRDefault="00DE5551" w:rsidP="00DE5551">
      <w:pPr>
        <w:spacing w:after="0" w:line="240" w:lineRule="auto"/>
        <w:ind w:firstLine="709"/>
        <w:jc w:val="both"/>
        <w:rPr>
          <w:rFonts w:ascii="Times New Roman" w:hAnsi="Times New Roman"/>
          <w:bCs/>
          <w:noProof/>
          <w:sz w:val="24"/>
          <w:szCs w:val="26"/>
        </w:rPr>
      </w:pPr>
    </w:p>
    <w:p w14:paraId="182E6DED" w14:textId="77777777" w:rsidR="00ED16B1" w:rsidRPr="003C0DF0" w:rsidRDefault="00ED16B1" w:rsidP="00635E80">
      <w:pPr>
        <w:spacing w:after="0" w:line="240" w:lineRule="auto"/>
        <w:ind w:firstLine="709"/>
        <w:jc w:val="center"/>
        <w:rPr>
          <w:rFonts w:ascii="Times New Roman" w:hAnsi="Times New Roman"/>
          <w:bCs/>
          <w:noProof/>
          <w:sz w:val="24"/>
          <w:szCs w:val="26"/>
        </w:rPr>
      </w:pPr>
      <w:bookmarkStart w:id="50" w:name="_GoBack"/>
      <w:r w:rsidRPr="003C0DF0">
        <w:rPr>
          <w:rFonts w:ascii="Times New Roman" w:hAnsi="Times New Roman"/>
          <w:bCs/>
          <w:noProof/>
          <w:sz w:val="24"/>
          <w:szCs w:val="26"/>
          <w:lang w:val="lv-LV" w:eastAsia="lv-LV" w:bidi="ar-SA"/>
        </w:rPr>
        <w:lastRenderedPageBreak/>
        <w:drawing>
          <wp:inline distT="0" distB="0" distL="0" distR="0" wp14:anchorId="16E19400" wp14:editId="66F78111">
            <wp:extent cx="5720715" cy="4905375"/>
            <wp:effectExtent l="0" t="0" r="0" b="9525"/>
            <wp:docPr id="3" name="Picture 3" descr="C:\Users\laura.treimane\Desktop\FINANSESANAS_MODELIS_16042015\pic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aura.treimane\Desktop\FINANSESANAS_MODELIS_16042015\picture.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0560" cy="4913817"/>
                    </a:xfrm>
                    <a:prstGeom prst="rect">
                      <a:avLst/>
                    </a:prstGeom>
                    <a:noFill/>
                    <a:ln>
                      <a:noFill/>
                    </a:ln>
                  </pic:spPr>
                </pic:pic>
              </a:graphicData>
            </a:graphic>
          </wp:inline>
        </w:drawing>
      </w:r>
      <w:bookmarkEnd w:id="50"/>
    </w:p>
    <w:p w14:paraId="49390386" w14:textId="77777777" w:rsidR="00DE5551" w:rsidRPr="003C0DF0" w:rsidRDefault="00DE5551" w:rsidP="006E539B">
      <w:pPr>
        <w:spacing w:after="0" w:line="240" w:lineRule="auto"/>
        <w:jc w:val="both"/>
        <w:rPr>
          <w:rFonts w:ascii="Times New Roman" w:hAnsi="Times New Roman"/>
          <w:bCs/>
          <w:i/>
          <w:noProof/>
          <w:sz w:val="24"/>
          <w:szCs w:val="24"/>
        </w:rPr>
      </w:pPr>
    </w:p>
    <w:p w14:paraId="483BDA50" w14:textId="77777777" w:rsidR="00ED16B1" w:rsidRPr="003C0DF0" w:rsidRDefault="00ED16B1" w:rsidP="00DE5551">
      <w:pPr>
        <w:spacing w:after="0" w:line="240" w:lineRule="auto"/>
        <w:ind w:firstLine="709"/>
        <w:jc w:val="both"/>
        <w:rPr>
          <w:rFonts w:ascii="Times New Roman" w:hAnsi="Times New Roman"/>
          <w:b/>
          <w:bCs/>
          <w:noProof/>
          <w:sz w:val="24"/>
          <w:szCs w:val="24"/>
        </w:rPr>
      </w:pPr>
      <w:r w:rsidRPr="003C0DF0">
        <w:rPr>
          <w:rFonts w:ascii="Times New Roman" w:hAnsi="Times New Roman"/>
          <w:i/>
          <w:noProof/>
          <w:sz w:val="24"/>
        </w:rPr>
        <w:t xml:space="preserve">Figure 6. </w:t>
      </w:r>
      <w:r w:rsidRPr="003C0DF0">
        <w:rPr>
          <w:rFonts w:ascii="Times New Roman" w:hAnsi="Times New Roman"/>
          <w:b/>
          <w:noProof/>
          <w:sz w:val="24"/>
        </w:rPr>
        <w:t>Science and Technology (STEM) Graduates in Europe</w:t>
      </w:r>
    </w:p>
    <w:p w14:paraId="2B48FFE7" w14:textId="77777777" w:rsidR="00DE5551" w:rsidRPr="003C0DF0" w:rsidRDefault="00DE5551" w:rsidP="00DE5551">
      <w:pPr>
        <w:spacing w:after="0" w:line="240" w:lineRule="auto"/>
        <w:ind w:firstLine="709"/>
        <w:jc w:val="both"/>
        <w:rPr>
          <w:rFonts w:ascii="Times New Roman" w:hAnsi="Times New Roman"/>
          <w:noProof/>
          <w:sz w:val="24"/>
          <w:szCs w:val="26"/>
        </w:rPr>
      </w:pPr>
    </w:p>
    <w:p w14:paraId="3B331843" w14:textId="77777777" w:rsidR="00ED16B1" w:rsidRPr="003C0DF0" w:rsidRDefault="00ED16B1" w:rsidP="00DE5551">
      <w:pPr>
        <w:spacing w:after="0" w:line="240" w:lineRule="auto"/>
        <w:ind w:firstLine="709"/>
        <w:jc w:val="both"/>
        <w:rPr>
          <w:rFonts w:ascii="Times New Roman" w:hAnsi="Times New Roman"/>
          <w:noProof/>
          <w:sz w:val="24"/>
          <w:szCs w:val="26"/>
        </w:rPr>
      </w:pPr>
      <w:r w:rsidRPr="003C0DF0">
        <w:rPr>
          <w:rFonts w:ascii="Times New Roman" w:hAnsi="Times New Roman"/>
          <w:noProof/>
          <w:sz w:val="24"/>
        </w:rPr>
        <w:t xml:space="preserve">Naturally, the low indicators of STEM graduates form the structure of economically active population where there is a small share of STEM specialists. Compared to other European countries, specialists in science and technologies account for less than 40 % of the economically active population in Latvia, which is not the lowest rate in Europe, however, is lagging behind the other Baltic countries, as well as Scandinavian countries, Great Britain and other developed countries with high welfare level of the society (Figure 7, </w:t>
      </w:r>
      <w:r w:rsidRPr="003C0DF0">
        <w:rPr>
          <w:rFonts w:ascii="Times New Roman" w:hAnsi="Times New Roman"/>
          <w:i/>
          <w:noProof/>
          <w:sz w:val="24"/>
        </w:rPr>
        <w:t>Eurostat</w:t>
      </w:r>
      <w:r w:rsidRPr="003C0DF0">
        <w:rPr>
          <w:rFonts w:ascii="Times New Roman" w:hAnsi="Times New Roman"/>
          <w:noProof/>
          <w:sz w:val="24"/>
        </w:rPr>
        <w:t> 2015 data).</w:t>
      </w:r>
    </w:p>
    <w:p w14:paraId="1FC5B78C" w14:textId="77777777" w:rsidR="00DE5551" w:rsidRPr="003C0DF0" w:rsidRDefault="00DE5551" w:rsidP="00DE5551">
      <w:pPr>
        <w:spacing w:after="0" w:line="240" w:lineRule="auto"/>
        <w:ind w:firstLine="709"/>
        <w:jc w:val="both"/>
        <w:rPr>
          <w:rFonts w:ascii="Times New Roman" w:hAnsi="Times New Roman"/>
          <w:noProof/>
          <w:sz w:val="24"/>
          <w:szCs w:val="26"/>
        </w:rPr>
      </w:pPr>
    </w:p>
    <w:p w14:paraId="32369D14" w14:textId="77777777" w:rsidR="00ED16B1" w:rsidRPr="003C0DF0" w:rsidRDefault="00ED16B1" w:rsidP="00DE5551">
      <w:pPr>
        <w:spacing w:after="0" w:line="240" w:lineRule="auto"/>
        <w:jc w:val="center"/>
        <w:rPr>
          <w:rFonts w:ascii="Times New Roman" w:hAnsi="Times New Roman"/>
          <w:noProof/>
          <w:sz w:val="24"/>
          <w:szCs w:val="24"/>
        </w:rPr>
      </w:pPr>
      <w:r w:rsidRPr="003C0DF0">
        <w:rPr>
          <w:rFonts w:ascii="Times New Roman" w:hAnsi="Times New Roman"/>
          <w:noProof/>
          <w:sz w:val="24"/>
          <w:szCs w:val="24"/>
          <w:lang w:val="lv-LV" w:eastAsia="lv-LV" w:bidi="ar-SA"/>
        </w:rPr>
        <w:lastRenderedPageBreak/>
        <w:drawing>
          <wp:inline distT="0" distB="0" distL="0" distR="0" wp14:anchorId="401F4470" wp14:editId="0A915FAC">
            <wp:extent cx="4891683" cy="4743450"/>
            <wp:effectExtent l="0" t="0" r="4445" b="0"/>
            <wp:docPr id="2" name="Picture 2" descr="C:\Users\ltreimane\Desktop\FINANSESANAS_MODELIS_16042015\bil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treimane\Desktop\FINANSESANAS_MODELIS_16042015\bilde2.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96743" cy="4748357"/>
                    </a:xfrm>
                    <a:prstGeom prst="rect">
                      <a:avLst/>
                    </a:prstGeom>
                    <a:noFill/>
                    <a:ln>
                      <a:noFill/>
                    </a:ln>
                  </pic:spPr>
                </pic:pic>
              </a:graphicData>
            </a:graphic>
          </wp:inline>
        </w:drawing>
      </w:r>
    </w:p>
    <w:p w14:paraId="7F1F450E" w14:textId="77777777" w:rsidR="00DE5551" w:rsidRPr="003C0DF0" w:rsidRDefault="00DE5551" w:rsidP="006E539B">
      <w:pPr>
        <w:spacing w:after="0" w:line="240" w:lineRule="auto"/>
        <w:jc w:val="both"/>
        <w:rPr>
          <w:rFonts w:ascii="Times New Roman" w:hAnsi="Times New Roman"/>
          <w:i/>
          <w:noProof/>
          <w:sz w:val="24"/>
          <w:szCs w:val="24"/>
        </w:rPr>
      </w:pPr>
    </w:p>
    <w:p w14:paraId="7434E0D4" w14:textId="77777777" w:rsidR="00ED16B1" w:rsidRPr="003C0DF0" w:rsidRDefault="00ED16B1" w:rsidP="00DE5551">
      <w:pPr>
        <w:spacing w:after="0" w:line="240" w:lineRule="auto"/>
        <w:ind w:firstLine="709"/>
        <w:jc w:val="both"/>
        <w:rPr>
          <w:rFonts w:ascii="Times New Roman" w:hAnsi="Times New Roman"/>
          <w:b/>
          <w:noProof/>
          <w:sz w:val="24"/>
          <w:szCs w:val="24"/>
        </w:rPr>
      </w:pPr>
      <w:r w:rsidRPr="003C0DF0">
        <w:rPr>
          <w:rFonts w:ascii="Times New Roman" w:hAnsi="Times New Roman"/>
          <w:i/>
          <w:noProof/>
          <w:sz w:val="24"/>
        </w:rPr>
        <w:t xml:space="preserve">Figure 7. </w:t>
      </w:r>
      <w:r w:rsidRPr="003C0DF0">
        <w:rPr>
          <w:rFonts w:ascii="Times New Roman" w:hAnsi="Times New Roman"/>
          <w:b/>
          <w:noProof/>
          <w:sz w:val="24"/>
        </w:rPr>
        <w:t>Human Resources in Science and Technologies (% of economically active population)</w:t>
      </w:r>
    </w:p>
    <w:p w14:paraId="2BA219AE" w14:textId="77777777" w:rsidR="00ED16B1" w:rsidRPr="003C0DF0" w:rsidRDefault="00ED16B1" w:rsidP="00DE5551">
      <w:pPr>
        <w:pStyle w:val="Default"/>
        <w:ind w:firstLine="709"/>
        <w:jc w:val="both"/>
        <w:rPr>
          <w:b/>
          <w:noProof/>
        </w:rPr>
      </w:pPr>
    </w:p>
    <w:p w14:paraId="08F62BE1" w14:textId="77777777" w:rsidR="006E539B" w:rsidRPr="003C0DF0" w:rsidRDefault="00ED16B1" w:rsidP="00DE5551">
      <w:pPr>
        <w:pStyle w:val="Default"/>
        <w:ind w:firstLine="709"/>
        <w:jc w:val="both"/>
        <w:rPr>
          <w:noProof/>
          <w:color w:val="auto"/>
          <w:szCs w:val="26"/>
        </w:rPr>
      </w:pPr>
      <w:r w:rsidRPr="003C0DF0">
        <w:rPr>
          <w:noProof/>
          <w:color w:val="auto"/>
        </w:rPr>
        <w:t>Taking into account the restructuring of the economy in medium and long term, which is determined by the directions marked in the Latvian development planning documents</w:t>
      </w:r>
      <w:r w:rsidRPr="003C0DF0">
        <w:rPr>
          <w:noProof/>
          <w:color w:val="auto"/>
          <w:vertAlign w:val="superscript"/>
        </w:rPr>
        <w:footnoteReference w:id="17"/>
      </w:r>
      <w:r w:rsidRPr="003C0DF0">
        <w:rPr>
          <w:noProof/>
          <w:color w:val="auto"/>
        </w:rPr>
        <w:t>, in the future changes are expected in demand for labour force in distribution by occupational group. Demand for highly qualified specialists (master and doctoral degree holders) will grow more rapidly, there will be a distinct drop in the demand for labour force that enters the labour market without a particular speciality and skills. It is expected that in medium term there will be insufficient supply of science and engineering specialists, and demand for science and engineering specialists, as well as ICT specialists will witness a rapid growth. Concurrently a large surplus in the number of specialists in the humanities and social sciences is expected. In these areas, increase in labour supply by 2020 can build almost half of the total growth of the labour force with higher education.</w:t>
      </w:r>
    </w:p>
    <w:p w14:paraId="540D4A8D" w14:textId="4573DD1B" w:rsidR="00ED16B1" w:rsidRPr="003C0DF0" w:rsidRDefault="00ED16B1" w:rsidP="00DE5551">
      <w:pPr>
        <w:spacing w:after="0" w:line="240" w:lineRule="auto"/>
        <w:ind w:firstLine="709"/>
        <w:jc w:val="both"/>
        <w:rPr>
          <w:rFonts w:ascii="Times New Roman" w:hAnsi="Times New Roman"/>
          <w:bCs/>
          <w:noProof/>
          <w:sz w:val="24"/>
          <w:szCs w:val="26"/>
        </w:rPr>
      </w:pPr>
      <w:r w:rsidRPr="003C0DF0">
        <w:rPr>
          <w:rFonts w:ascii="Times New Roman" w:hAnsi="Times New Roman"/>
          <w:noProof/>
          <w:sz w:val="24"/>
        </w:rPr>
        <w:t xml:space="preserve">The abovementioned confirms the importance of the allocation of subsidised study places in alignment of the labour market demand with the actual supply of specialists and skills. In 2016 structural changes in study places will continue in order to ensure an adequate number of study places in specialities, where demand is expected according to the labour market forecasts. Concurrently stable funding shall be ensured for existence of the branches of science, </w:t>
      </w:r>
      <w:r w:rsidRPr="003C0DF0">
        <w:rPr>
          <w:rFonts w:ascii="Times New Roman" w:hAnsi="Times New Roman"/>
          <w:noProof/>
          <w:sz w:val="24"/>
        </w:rPr>
        <w:lastRenderedPageBreak/>
        <w:t xml:space="preserve">which promote preservation of the Latvian national identity and historical memory and serve as the basis for strengthening of the cultural awareness and national identity, for creation of value-based society. </w:t>
      </w:r>
      <w:r w:rsidRPr="003C0DF0">
        <w:rPr>
          <w:rFonts w:ascii="Times New Roman" w:hAnsi="Times New Roman"/>
          <w:b/>
          <w:noProof/>
          <w:sz w:val="24"/>
        </w:rPr>
        <w:t xml:space="preserve">In planning of the study places it is necessary to ensure a balanced coverage of the national economy and national identity interests. </w:t>
      </w:r>
      <w:r w:rsidRPr="003C0DF0">
        <w:rPr>
          <w:rFonts w:ascii="Times New Roman" w:hAnsi="Times New Roman"/>
          <w:noProof/>
          <w:sz w:val="24"/>
        </w:rPr>
        <w:t>The ministry will provide reallocation of targeted funding in favour of STEM programmes by reducing the number of study places in the study programmes, in which overproduction is expected, namely, in thematic groups of social sciences and education, and ensure an appropriate planning policy in the areas that are important for the preservation of national identity.</w:t>
      </w:r>
    </w:p>
    <w:p w14:paraId="3B3C6D41" w14:textId="4F8D4B93" w:rsidR="006E539B" w:rsidRPr="003C0DF0" w:rsidRDefault="00ED16B1" w:rsidP="00DE5551">
      <w:pPr>
        <w:spacing w:after="0" w:line="240" w:lineRule="auto"/>
        <w:ind w:firstLine="709"/>
        <w:jc w:val="both"/>
        <w:rPr>
          <w:rFonts w:ascii="Times New Roman" w:hAnsi="Times New Roman"/>
          <w:noProof/>
          <w:sz w:val="24"/>
          <w:szCs w:val="26"/>
        </w:rPr>
      </w:pPr>
      <w:r w:rsidRPr="003C0DF0">
        <w:rPr>
          <w:rFonts w:ascii="Times New Roman" w:hAnsi="Times New Roman"/>
          <w:noProof/>
          <w:sz w:val="24"/>
        </w:rPr>
        <w:t>Base funding of science for the institutions of higher education, which are also scientific institutions, is ensured in accordance with Cabinet Regulation No. 1316 of 12 November 2013, Procedures for the Allocation of Financial Reference Amount to Scientific Institutions, (hereinafter – Cabinet Regulation No. 1316) from sub-programme 05.02.00 “Base Funding of Science”. The calculation of the base funding of science already includes performance-based elements – part of the funding is granted, taking into account the amount of attracted external funding, scientific publications, as well as master and doctoral works defended by the academic personnel. These criteria account for 19 % of the total base funding. Taking into account the proposal of the international evaluation of the Latvian science to promote consolidation of scientific resources by developing a smaller number of scientific institutions with strong critical mass and significant international profile, it is provided for in the conditions of the base funding of science that as of 2015 additional 10 % of the base funding of science are allocated to scientific institutions, which have received “4” and “5” in the international science evaluation. As of 2016 allocation of base funding is stopped for those research institutions which have received “1” and “2” in the international science evaluation. The abovementioned conditions constitute a financing element of the performance-based scientific activity of institutions of higher education. Scientific institutions must, by 1 April 2015, submit information for the calculation of the base funding for 2016 according to the guidelines prepared by the ministry “Guidelines for the Submission of Documentation for the Calculation of the Base Funding of Scientific Organisation”</w:t>
      </w:r>
      <w:r w:rsidRPr="003C0DF0">
        <w:rPr>
          <w:rStyle w:val="FootnoteReference"/>
          <w:rFonts w:ascii="Times New Roman" w:hAnsi="Times New Roman"/>
          <w:noProof/>
          <w:sz w:val="24"/>
        </w:rPr>
        <w:footnoteReference w:id="18"/>
      </w:r>
      <w:r w:rsidRPr="003C0DF0">
        <w:rPr>
          <w:rFonts w:ascii="Times New Roman" w:hAnsi="Times New Roman"/>
          <w:noProof/>
          <w:sz w:val="24"/>
        </w:rPr>
        <w:t>.</w:t>
      </w:r>
    </w:p>
    <w:p w14:paraId="0638FACC" w14:textId="66FE0CC2" w:rsidR="00ED16B1" w:rsidRPr="003C0DF0" w:rsidRDefault="00ED16B1" w:rsidP="00DE5551">
      <w:pPr>
        <w:spacing w:after="0" w:line="240" w:lineRule="auto"/>
        <w:ind w:firstLine="709"/>
        <w:jc w:val="both"/>
        <w:rPr>
          <w:rFonts w:ascii="Times New Roman" w:hAnsi="Times New Roman"/>
          <w:noProof/>
          <w:sz w:val="24"/>
          <w:szCs w:val="26"/>
        </w:rPr>
      </w:pPr>
      <w:r w:rsidRPr="003C0DF0">
        <w:rPr>
          <w:rFonts w:ascii="Times New Roman" w:hAnsi="Times New Roman"/>
          <w:b/>
          <w:noProof/>
          <w:sz w:val="24"/>
        </w:rPr>
        <w:t>As of 2016 all institutions of higher education will receive the base funding of studies places and science</w:t>
      </w:r>
      <w:r w:rsidRPr="003C0DF0">
        <w:rPr>
          <w:rFonts w:ascii="Times New Roman" w:hAnsi="Times New Roman"/>
          <w:noProof/>
          <w:sz w:val="24"/>
        </w:rPr>
        <w:t xml:space="preserve"> in a single allocation, which will be foreseen in the performance agreement for a time period of 3 –5 years. The ministry will conclude bilateral agreements with institutions of higher education under its supervision. With regard to study places in sectoral institutions of higher education (culture, agriculture and medicine) tripartite agreements will be concluded between the ministry, the sectoral ministries and institutions of higher education under their supervision. Strategic specialisation of institutions of higher education will be marked in performance agreements, depending on the profile of study and research programmes of institutions of higher education, and the relevant performance indicators of the institution of higher education will be incorporated, preparing them in consultation and co-operation between the ministry, sectoral ministries and institutions of higher education.</w:t>
      </w:r>
    </w:p>
    <w:p w14:paraId="40960D92" w14:textId="77777777" w:rsidR="006E539B" w:rsidRPr="003C0DF0" w:rsidRDefault="00ED16B1" w:rsidP="00DE5551">
      <w:pPr>
        <w:spacing w:after="0" w:line="240" w:lineRule="auto"/>
        <w:ind w:firstLine="709"/>
        <w:jc w:val="both"/>
        <w:rPr>
          <w:rFonts w:ascii="Times New Roman" w:hAnsi="Times New Roman"/>
          <w:noProof/>
          <w:sz w:val="24"/>
          <w:szCs w:val="26"/>
        </w:rPr>
      </w:pPr>
      <w:r w:rsidRPr="003C0DF0">
        <w:rPr>
          <w:rFonts w:ascii="Times New Roman" w:hAnsi="Times New Roman"/>
          <w:noProof/>
          <w:sz w:val="24"/>
        </w:rPr>
        <w:t>Performance agreements will ensure the link of the allocation of the base funding with the quality of the study process and research, as well as contribute to the study and research integrity. Linking of studies and research is already incorporated in agreements of the new sample, which are concluded with institutions of higher education under the supervision of the ministry in 2014 on the preparation of a specific number of specialists and development of scientific activity in the institution of higher education. Supplementary conditions for the receipt of the State budget funding for studies and research are included in the agreements:</w:t>
      </w:r>
    </w:p>
    <w:p w14:paraId="60E8D5D5" w14:textId="18383D58" w:rsidR="00ED16B1" w:rsidRPr="003C0DF0" w:rsidRDefault="00ED16B1" w:rsidP="00DE5551">
      <w:pPr>
        <w:pStyle w:val="ListParagraph"/>
        <w:numPr>
          <w:ilvl w:val="0"/>
          <w:numId w:val="15"/>
        </w:numPr>
        <w:spacing w:after="0" w:line="240" w:lineRule="auto"/>
        <w:ind w:left="0" w:firstLine="709"/>
        <w:jc w:val="both"/>
        <w:rPr>
          <w:rFonts w:ascii="Times New Roman" w:hAnsi="Times New Roman"/>
          <w:noProof/>
          <w:sz w:val="24"/>
          <w:szCs w:val="26"/>
          <w:shd w:val="clear" w:color="auto" w:fill="FFFFFF"/>
        </w:rPr>
      </w:pPr>
      <w:r w:rsidRPr="003C0DF0">
        <w:rPr>
          <w:rFonts w:ascii="Times New Roman" w:hAnsi="Times New Roman"/>
          <w:noProof/>
          <w:sz w:val="24"/>
          <w:shd w:val="clear" w:color="auto" w:fill="FFFFFF"/>
        </w:rPr>
        <w:lastRenderedPageBreak/>
        <w:t>To develop the priority areas of institutions of higher education;</w:t>
      </w:r>
    </w:p>
    <w:p w14:paraId="5F603CFF" w14:textId="77777777" w:rsidR="00ED16B1" w:rsidRPr="003C0DF0" w:rsidRDefault="00ED16B1" w:rsidP="00DE5551">
      <w:pPr>
        <w:pStyle w:val="ListParagraph"/>
        <w:numPr>
          <w:ilvl w:val="0"/>
          <w:numId w:val="15"/>
        </w:numPr>
        <w:tabs>
          <w:tab w:val="left" w:pos="0"/>
        </w:tabs>
        <w:spacing w:after="0" w:line="240" w:lineRule="auto"/>
        <w:ind w:left="0" w:firstLine="709"/>
        <w:jc w:val="both"/>
        <w:rPr>
          <w:rFonts w:ascii="Times New Roman" w:hAnsi="Times New Roman"/>
          <w:noProof/>
          <w:sz w:val="24"/>
          <w:szCs w:val="26"/>
        </w:rPr>
      </w:pPr>
      <w:r w:rsidRPr="003C0DF0">
        <w:rPr>
          <w:rFonts w:ascii="Times New Roman" w:hAnsi="Times New Roman"/>
          <w:noProof/>
          <w:sz w:val="24"/>
        </w:rPr>
        <w:t>To continue negotiations with other institutions of higher education, local governments, employers, planning regions for the implementation of closer cooperation;</w:t>
      </w:r>
    </w:p>
    <w:p w14:paraId="0A10DCB4" w14:textId="77777777" w:rsidR="00ED16B1" w:rsidRPr="003C0DF0" w:rsidRDefault="00ED16B1" w:rsidP="00DE5551">
      <w:pPr>
        <w:pStyle w:val="ListParagraph"/>
        <w:numPr>
          <w:ilvl w:val="0"/>
          <w:numId w:val="15"/>
        </w:numPr>
        <w:tabs>
          <w:tab w:val="left" w:pos="0"/>
        </w:tabs>
        <w:spacing w:after="0" w:line="240" w:lineRule="auto"/>
        <w:ind w:left="0" w:firstLine="709"/>
        <w:jc w:val="both"/>
        <w:rPr>
          <w:rFonts w:ascii="Times New Roman" w:hAnsi="Times New Roman"/>
          <w:noProof/>
          <w:sz w:val="24"/>
          <w:szCs w:val="26"/>
        </w:rPr>
      </w:pPr>
      <w:r w:rsidRPr="003C0DF0">
        <w:rPr>
          <w:rFonts w:ascii="Times New Roman" w:hAnsi="Times New Roman"/>
          <w:noProof/>
          <w:sz w:val="24"/>
        </w:rPr>
        <w:t>To promote conformity with the provisions of the Smart Specialisation Strategy in the study process;</w:t>
      </w:r>
    </w:p>
    <w:p w14:paraId="43EFA59B" w14:textId="77777777" w:rsidR="00ED16B1" w:rsidRPr="003C0DF0" w:rsidRDefault="00ED16B1" w:rsidP="00DE5551">
      <w:pPr>
        <w:pStyle w:val="ListParagraph"/>
        <w:numPr>
          <w:ilvl w:val="0"/>
          <w:numId w:val="15"/>
        </w:numPr>
        <w:tabs>
          <w:tab w:val="left" w:pos="0"/>
        </w:tabs>
        <w:spacing w:after="0" w:line="240" w:lineRule="auto"/>
        <w:ind w:left="0" w:firstLine="709"/>
        <w:jc w:val="both"/>
        <w:rPr>
          <w:rFonts w:ascii="Times New Roman" w:hAnsi="Times New Roman"/>
          <w:noProof/>
          <w:sz w:val="24"/>
          <w:szCs w:val="26"/>
        </w:rPr>
      </w:pPr>
      <w:r w:rsidRPr="003C0DF0">
        <w:rPr>
          <w:rFonts w:ascii="Times New Roman" w:hAnsi="Times New Roman"/>
          <w:noProof/>
          <w:sz w:val="24"/>
        </w:rPr>
        <w:t>To implement co-operation with employers in the development and improvement of the study programmes, preparation of scientific publications;</w:t>
      </w:r>
    </w:p>
    <w:p w14:paraId="5BB0F855" w14:textId="77777777" w:rsidR="00ED16B1" w:rsidRPr="003C0DF0" w:rsidRDefault="00ED16B1" w:rsidP="00DE5551">
      <w:pPr>
        <w:pStyle w:val="ListParagraph"/>
        <w:numPr>
          <w:ilvl w:val="0"/>
          <w:numId w:val="15"/>
        </w:numPr>
        <w:tabs>
          <w:tab w:val="left" w:pos="0"/>
        </w:tabs>
        <w:spacing w:after="0" w:line="240" w:lineRule="auto"/>
        <w:ind w:left="0" w:firstLine="709"/>
        <w:jc w:val="both"/>
        <w:rPr>
          <w:rFonts w:ascii="Times New Roman" w:hAnsi="Times New Roman"/>
          <w:noProof/>
          <w:sz w:val="24"/>
          <w:szCs w:val="26"/>
        </w:rPr>
      </w:pPr>
      <w:r w:rsidRPr="003C0DF0">
        <w:rPr>
          <w:rFonts w:ascii="Times New Roman" w:hAnsi="Times New Roman"/>
          <w:noProof/>
          <w:sz w:val="24"/>
        </w:rPr>
        <w:t>To engage in the implementation of a common inter-institutional plagiarism prevention system, as well as to improve the plagiarism prevention system in the institution of higher education;</w:t>
      </w:r>
    </w:p>
    <w:p w14:paraId="2F33CA98" w14:textId="77777777" w:rsidR="00ED16B1" w:rsidRPr="003C0DF0" w:rsidRDefault="00ED16B1" w:rsidP="00DE5551">
      <w:pPr>
        <w:pStyle w:val="ListParagraph"/>
        <w:numPr>
          <w:ilvl w:val="0"/>
          <w:numId w:val="15"/>
        </w:numPr>
        <w:tabs>
          <w:tab w:val="left" w:pos="0"/>
        </w:tabs>
        <w:spacing w:after="0" w:line="240" w:lineRule="auto"/>
        <w:ind w:left="0" w:firstLine="709"/>
        <w:jc w:val="both"/>
        <w:rPr>
          <w:rFonts w:ascii="Times New Roman" w:hAnsi="Times New Roman"/>
          <w:noProof/>
          <w:sz w:val="24"/>
          <w:szCs w:val="26"/>
        </w:rPr>
      </w:pPr>
      <w:r w:rsidRPr="003C0DF0">
        <w:rPr>
          <w:rFonts w:ascii="Times New Roman" w:hAnsi="Times New Roman"/>
          <w:noProof/>
          <w:sz w:val="24"/>
        </w:rPr>
        <w:t>To introduce performance management, linking it to the remuneration policy.</w:t>
      </w:r>
    </w:p>
    <w:p w14:paraId="70EFEA67" w14:textId="77777777" w:rsidR="00ED16B1" w:rsidRPr="003C0DF0" w:rsidRDefault="00ED16B1" w:rsidP="00DE5551">
      <w:pPr>
        <w:pStyle w:val="ListParagraph"/>
        <w:spacing w:after="0" w:line="240" w:lineRule="auto"/>
        <w:ind w:left="0" w:firstLine="709"/>
        <w:jc w:val="both"/>
        <w:rPr>
          <w:rFonts w:ascii="Times New Roman" w:hAnsi="Times New Roman"/>
          <w:b/>
          <w:noProof/>
          <w:sz w:val="24"/>
          <w:szCs w:val="26"/>
        </w:rPr>
      </w:pPr>
    </w:p>
    <w:p w14:paraId="3F0072AB" w14:textId="77777777" w:rsidR="00ED16B1" w:rsidRPr="003C0DF0" w:rsidRDefault="00ED16B1" w:rsidP="00DE5551">
      <w:pPr>
        <w:pStyle w:val="CommentText"/>
        <w:spacing w:after="0"/>
        <w:ind w:firstLine="709"/>
        <w:jc w:val="both"/>
        <w:rPr>
          <w:rFonts w:ascii="Times New Roman" w:hAnsi="Times New Roman"/>
          <w:noProof/>
          <w:sz w:val="24"/>
          <w:szCs w:val="26"/>
        </w:rPr>
      </w:pPr>
      <w:r w:rsidRPr="003C0DF0">
        <w:rPr>
          <w:rFonts w:ascii="Times New Roman" w:hAnsi="Times New Roman"/>
          <w:noProof/>
          <w:sz w:val="24"/>
        </w:rPr>
        <w:t xml:space="preserve">In 2015 in collaboration with institutions of higher education and sectoral ministries a new performance agreement format will be developed for its implementation as of 2016. Performance agreements are concluded based on Section 12, Paragraph two of the Law On Institutions of Higher Education, which prescribes that the highest management body and decision-making body of an institution of higher education in strategic, financial and economic issues shall be the founder thereof, but the highest representation and management body and decision-making body in academic and scientific issues – the constitutional assembly of an institution of higher education. Performance agreements will express the set objectives in clear and measurable results, they will contribute to the dialogue between the ministries and institutions of higher education at the level of objectives and results, and will serve as the basis for the allocation of public funds, using clear financing conditions and sanctions. Performance agreements will reflect the study and research work, as well as measures in the implementation of the </w:t>
      </w:r>
      <w:r w:rsidRPr="003C0DF0">
        <w:rPr>
          <w:rFonts w:ascii="Times New Roman" w:hAnsi="Times New Roman"/>
          <w:i/>
          <w:noProof/>
          <w:sz w:val="24"/>
        </w:rPr>
        <w:t>third mission</w:t>
      </w:r>
      <w:r w:rsidRPr="003C0DF0">
        <w:rPr>
          <w:rFonts w:ascii="Times New Roman" w:hAnsi="Times New Roman"/>
          <w:noProof/>
          <w:sz w:val="24"/>
        </w:rPr>
        <w:t> – a set of activities for the promotion of public participation, prosperity, and economic growth, which results from the basic tasks of the institutions of higher education in education and research</w:t>
      </w:r>
      <w:r w:rsidRPr="003C0DF0">
        <w:rPr>
          <w:rStyle w:val="FootnoteReference"/>
          <w:rFonts w:ascii="Times New Roman" w:hAnsi="Times New Roman"/>
          <w:i/>
          <w:noProof/>
          <w:sz w:val="24"/>
        </w:rPr>
        <w:footnoteReference w:id="19"/>
      </w:r>
      <w:r w:rsidRPr="003C0DF0">
        <w:rPr>
          <w:rFonts w:ascii="Times New Roman" w:hAnsi="Times New Roman"/>
          <w:noProof/>
          <w:sz w:val="24"/>
        </w:rPr>
        <w:t>. Performance agreements will be created in the negotiation process with institutions of higher education, with the involvement of sectoral ministries. Agreements will be concluded with regard to the results to be achieved in higher education and scientific activity of institutions of higher education, ensuring progress towards further linking of studies and research. Agreements will mark development progress of institutions of higher education, taking into account the results to be achieved in higher education and research laid down in the National Development Plan for 2014 – 2020, Education Development Guidelines for 2014 – 2020, Science, Technology Development and Innovation Guidelines for 2014 – 2020, Smart Specialization Framework. The agreement will incorporate the strategic development vision of the institution of higher education and the planned projects for the receipt of development and innovation support funding.</w:t>
      </w:r>
    </w:p>
    <w:p w14:paraId="0F3BF0B4" w14:textId="77777777" w:rsidR="00ED16B1" w:rsidRPr="003C0DF0" w:rsidRDefault="00ED16B1" w:rsidP="00DE5551">
      <w:pPr>
        <w:spacing w:after="0" w:line="240" w:lineRule="auto"/>
        <w:ind w:firstLine="709"/>
        <w:jc w:val="both"/>
        <w:rPr>
          <w:rFonts w:ascii="Times New Roman" w:hAnsi="Times New Roman"/>
          <w:noProof/>
          <w:sz w:val="24"/>
          <w:szCs w:val="26"/>
        </w:rPr>
      </w:pPr>
      <w:r w:rsidRPr="003C0DF0">
        <w:rPr>
          <w:rFonts w:ascii="Times New Roman" w:hAnsi="Times New Roman"/>
          <w:noProof/>
          <w:sz w:val="24"/>
        </w:rPr>
        <w:t>By introducing the financing procedure, as of 2016 the process of determining the number of study places will be optimised, assessing the possibilities to also finance innovative study programmes of private institutions of higher education, which are not offered at State institutions of higher education. The principle of transparency will be respected in the financing of private institutions of higher education from the State budget funds. The ministry will plan the total number of study places in various disciplines, providing for an opportunity for redistribution of study places between institutions of higher education. The planning process will take place through consultations with the stakeholders, assessing the labour market forecasts and the available data on the development of demand. The common target indicators in the national economy sectors of Latvia will be published.</w:t>
      </w:r>
    </w:p>
    <w:p w14:paraId="4C02B0BE" w14:textId="77777777" w:rsidR="006E539B" w:rsidRPr="003C0DF0" w:rsidRDefault="00ED16B1" w:rsidP="00DE5551">
      <w:pPr>
        <w:autoSpaceDE w:val="0"/>
        <w:autoSpaceDN w:val="0"/>
        <w:adjustRightInd w:val="0"/>
        <w:spacing w:after="0" w:line="240" w:lineRule="auto"/>
        <w:ind w:firstLine="709"/>
        <w:jc w:val="both"/>
        <w:rPr>
          <w:rFonts w:ascii="Times New Roman" w:hAnsi="Times New Roman"/>
          <w:noProof/>
          <w:sz w:val="24"/>
          <w:szCs w:val="26"/>
        </w:rPr>
      </w:pPr>
      <w:r w:rsidRPr="003C0DF0">
        <w:rPr>
          <w:rFonts w:ascii="Times New Roman" w:hAnsi="Times New Roman"/>
          <w:noProof/>
          <w:sz w:val="24"/>
        </w:rPr>
        <w:lastRenderedPageBreak/>
        <w:t>The items of the study place base cost calculation and the calculation methodology, as well as determination of the values of study cost coefficients in thematic areas of education, which are currently included in Cabinet Regulation No. 994, were drawn up in 1996. The current study cost coefficient system (optimum and minimum coefficients of 30 thematic areas of education) is fragmented and does not correspond to the actual study cost, as well as is not aligned with the related areas of science. To ensure that base funding of studies is granted in compliance with the real study costs, the ministry has carried out the study “Updating of Components of Base Costs of a Study Place of Institutions of Higher Education, Calculation Methodology and Study Cost Coefficients and Adjusting Thereof According to the Real Costs”. Based on the study results, the methodology for granting base funding will be revised in 2015. It will reduce the fragmentation of the system of coefficients, creating a smaller number of cost groups and linking them with the classification of the fields of science. The updated methodology for the calculation of base costs of a study place and the consolidated scope of cost group coefficients will be taken into account in the financing of study places as of 2016. Amendments to Cabinet Regulation No. 994 will provide for the updated methodology for the calculation of base costs of a study place and the updated sectoral coefficients according to the results of the study carried out by the ministry. Upon introduction of a uniform classification system for higher education and science, cost coefficients will be linked to the classification of sciences of the Organisation for Economic Co-operation and Development (OECD).</w:t>
      </w:r>
    </w:p>
    <w:p w14:paraId="20737870" w14:textId="57936125" w:rsidR="00ED16B1" w:rsidRPr="003C0DF0" w:rsidRDefault="00ED16B1" w:rsidP="00DE5551">
      <w:pPr>
        <w:autoSpaceDE w:val="0"/>
        <w:autoSpaceDN w:val="0"/>
        <w:adjustRightInd w:val="0"/>
        <w:spacing w:after="0" w:line="240" w:lineRule="auto"/>
        <w:ind w:firstLine="709"/>
        <w:jc w:val="both"/>
        <w:rPr>
          <w:rFonts w:ascii="Times New Roman" w:hAnsi="Times New Roman"/>
          <w:noProof/>
          <w:sz w:val="24"/>
          <w:szCs w:val="26"/>
        </w:rPr>
      </w:pPr>
    </w:p>
    <w:p w14:paraId="08E021E1" w14:textId="77777777" w:rsidR="00ED16B1" w:rsidRPr="003C0DF0" w:rsidRDefault="00ED16B1" w:rsidP="00DE5551">
      <w:pPr>
        <w:spacing w:after="0" w:line="240" w:lineRule="auto"/>
        <w:ind w:firstLine="709"/>
        <w:jc w:val="both"/>
        <w:rPr>
          <w:rFonts w:ascii="Times New Roman" w:hAnsi="Times New Roman"/>
          <w:noProof/>
          <w:sz w:val="24"/>
          <w:szCs w:val="26"/>
        </w:rPr>
      </w:pPr>
      <w:r w:rsidRPr="003C0DF0">
        <w:rPr>
          <w:rFonts w:ascii="Times New Roman" w:hAnsi="Times New Roman"/>
          <w:noProof/>
          <w:sz w:val="24"/>
        </w:rPr>
        <w:t>According to the recommendations of experts of the World Bank, updating of the study cost coefficients ensures optimisation of financing procedure and more efficient utilisation of the funding allocated to the sector. The updated factors will affect the funding, which is granted to an institution of higher education according to a specific number of study places in the respective field. The number of study places for an institution of higher education is planned, taking into account the study place performance and drop-out indicators, the labour market forecasts, the priority directions of development of the national economy, and the interests of national identity.</w:t>
      </w:r>
    </w:p>
    <w:p w14:paraId="19806944" w14:textId="77777777" w:rsidR="00ED16B1" w:rsidRPr="003C0DF0" w:rsidRDefault="00ED16B1" w:rsidP="00DE5551">
      <w:pPr>
        <w:autoSpaceDE w:val="0"/>
        <w:autoSpaceDN w:val="0"/>
        <w:adjustRightInd w:val="0"/>
        <w:spacing w:after="0" w:line="240" w:lineRule="auto"/>
        <w:ind w:firstLine="709"/>
        <w:jc w:val="both"/>
        <w:rPr>
          <w:rFonts w:ascii="Times New Roman" w:hAnsi="Times New Roman"/>
          <w:noProof/>
          <w:sz w:val="24"/>
          <w:szCs w:val="26"/>
        </w:rPr>
      </w:pPr>
      <w:r w:rsidRPr="003C0DF0">
        <w:rPr>
          <w:rFonts w:ascii="Times New Roman" w:hAnsi="Times New Roman"/>
          <w:noProof/>
          <w:sz w:val="24"/>
        </w:rPr>
        <w:t>Based on the study findings the ministry will prepare a proposal for consolidation of study directions in nine categories of costs:</w:t>
      </w:r>
    </w:p>
    <w:p w14:paraId="6E5315D7" w14:textId="77777777" w:rsidR="00ED16B1" w:rsidRPr="003C0DF0" w:rsidRDefault="00ED16B1" w:rsidP="006E539B">
      <w:pPr>
        <w:autoSpaceDE w:val="0"/>
        <w:autoSpaceDN w:val="0"/>
        <w:adjustRightInd w:val="0"/>
        <w:spacing w:after="0" w:line="240" w:lineRule="auto"/>
        <w:jc w:val="both"/>
        <w:rPr>
          <w:rFonts w:ascii="Times New Roman" w:hAnsi="Times New Roman"/>
          <w:noProof/>
          <w:sz w:val="24"/>
          <w:szCs w:val="26"/>
        </w:rPr>
      </w:pPr>
    </w:p>
    <w:p w14:paraId="0479C588" w14:textId="77777777" w:rsidR="00ED16B1" w:rsidRPr="003C0DF0" w:rsidRDefault="00ED16B1" w:rsidP="00DE5551">
      <w:pPr>
        <w:autoSpaceDE w:val="0"/>
        <w:autoSpaceDN w:val="0"/>
        <w:adjustRightInd w:val="0"/>
        <w:spacing w:after="0" w:line="240" w:lineRule="auto"/>
        <w:ind w:firstLine="709"/>
        <w:jc w:val="both"/>
        <w:rPr>
          <w:rFonts w:ascii="Times New Roman" w:hAnsi="Times New Roman"/>
          <w:noProof/>
          <w:sz w:val="24"/>
          <w:szCs w:val="26"/>
        </w:rPr>
      </w:pPr>
      <w:r w:rsidRPr="003C0DF0">
        <w:rPr>
          <w:rFonts w:ascii="Times New Roman" w:hAnsi="Times New Roman"/>
          <w:b/>
          <w:noProof/>
          <w:sz w:val="24"/>
        </w:rPr>
        <w:t>Group 1, coefficient of costs 1.0</w:t>
      </w:r>
      <w:r w:rsidRPr="003C0DF0">
        <w:rPr>
          <w:rFonts w:ascii="Times New Roman" w:hAnsi="Times New Roman"/>
          <w:noProof/>
          <w:sz w:val="24"/>
        </w:rPr>
        <w:t xml:space="preserve"> – Law; Humanities; Social and behavioural sciences; Information and communication sciences; Business and administration;</w:t>
      </w:r>
    </w:p>
    <w:p w14:paraId="4E9B9F96" w14:textId="1F73186B" w:rsidR="00ED16B1" w:rsidRPr="003C0DF0" w:rsidRDefault="00ED16B1" w:rsidP="00DE5551">
      <w:pPr>
        <w:autoSpaceDE w:val="0"/>
        <w:autoSpaceDN w:val="0"/>
        <w:adjustRightInd w:val="0"/>
        <w:spacing w:after="0" w:line="240" w:lineRule="auto"/>
        <w:ind w:firstLine="709"/>
        <w:jc w:val="both"/>
        <w:rPr>
          <w:rFonts w:ascii="Times New Roman" w:hAnsi="Times New Roman"/>
          <w:noProof/>
          <w:sz w:val="24"/>
          <w:szCs w:val="26"/>
        </w:rPr>
      </w:pPr>
      <w:r w:rsidRPr="003C0DF0">
        <w:rPr>
          <w:rFonts w:ascii="Times New Roman" w:hAnsi="Times New Roman"/>
          <w:b/>
          <w:noProof/>
          <w:sz w:val="24"/>
        </w:rPr>
        <w:t>Group 2, coefficient of costs 1.5</w:t>
      </w:r>
      <w:r w:rsidRPr="003C0DF0">
        <w:rPr>
          <w:rFonts w:ascii="Times New Roman" w:hAnsi="Times New Roman"/>
          <w:noProof/>
          <w:sz w:val="24"/>
        </w:rPr>
        <w:t xml:space="preserve"> – Teacher education and education sciences; Private services; Transport services;</w:t>
      </w:r>
    </w:p>
    <w:p w14:paraId="43462BA3" w14:textId="1D7C8D3A" w:rsidR="00ED16B1" w:rsidRPr="003C0DF0" w:rsidRDefault="00ED16B1" w:rsidP="00DE5551">
      <w:pPr>
        <w:autoSpaceDE w:val="0"/>
        <w:autoSpaceDN w:val="0"/>
        <w:adjustRightInd w:val="0"/>
        <w:spacing w:after="0" w:line="240" w:lineRule="auto"/>
        <w:ind w:firstLine="709"/>
        <w:jc w:val="both"/>
        <w:rPr>
          <w:rFonts w:ascii="Times New Roman" w:hAnsi="Times New Roman"/>
          <w:noProof/>
          <w:sz w:val="24"/>
          <w:szCs w:val="26"/>
        </w:rPr>
      </w:pPr>
      <w:r w:rsidRPr="003C0DF0">
        <w:rPr>
          <w:rFonts w:ascii="Times New Roman" w:hAnsi="Times New Roman"/>
          <w:b/>
          <w:noProof/>
          <w:sz w:val="24"/>
        </w:rPr>
        <w:t xml:space="preserve">Group 3, coefficient of costs1.9 </w:t>
      </w:r>
      <w:r w:rsidRPr="003C0DF0">
        <w:rPr>
          <w:rFonts w:ascii="Times New Roman" w:hAnsi="Times New Roman"/>
          <w:noProof/>
          <w:sz w:val="24"/>
        </w:rPr>
        <w:t>– Computer sciences; Mathematics and statistics; Organisation and management of sports work;</w:t>
      </w:r>
    </w:p>
    <w:p w14:paraId="7604E680" w14:textId="4E42A111" w:rsidR="00ED16B1" w:rsidRPr="003C0DF0" w:rsidRDefault="00ED16B1" w:rsidP="00DE5551">
      <w:pPr>
        <w:autoSpaceDE w:val="0"/>
        <w:autoSpaceDN w:val="0"/>
        <w:adjustRightInd w:val="0"/>
        <w:spacing w:after="0" w:line="240" w:lineRule="auto"/>
        <w:ind w:firstLine="709"/>
        <w:jc w:val="both"/>
        <w:rPr>
          <w:rFonts w:ascii="Times New Roman" w:hAnsi="Times New Roman"/>
          <w:noProof/>
          <w:sz w:val="24"/>
          <w:szCs w:val="26"/>
        </w:rPr>
      </w:pPr>
      <w:r w:rsidRPr="003C0DF0">
        <w:rPr>
          <w:rFonts w:ascii="Times New Roman" w:hAnsi="Times New Roman"/>
          <w:b/>
          <w:noProof/>
          <w:sz w:val="24"/>
        </w:rPr>
        <w:t xml:space="preserve">Group 4, coefficient of costs 2.5 </w:t>
      </w:r>
      <w:r w:rsidRPr="003C0DF0">
        <w:rPr>
          <w:rFonts w:ascii="Times New Roman" w:hAnsi="Times New Roman"/>
          <w:noProof/>
          <w:sz w:val="24"/>
        </w:rPr>
        <w:t>– Construction; Navigation; Engineering sciences; Manufacturing and processing;</w:t>
      </w:r>
    </w:p>
    <w:p w14:paraId="350BB7FC" w14:textId="6D29EF73" w:rsidR="00ED16B1" w:rsidRPr="003C0DF0" w:rsidRDefault="00ED16B1" w:rsidP="00DE5551">
      <w:pPr>
        <w:autoSpaceDE w:val="0"/>
        <w:autoSpaceDN w:val="0"/>
        <w:adjustRightInd w:val="0"/>
        <w:spacing w:after="0" w:line="240" w:lineRule="auto"/>
        <w:ind w:firstLine="709"/>
        <w:jc w:val="both"/>
        <w:rPr>
          <w:rFonts w:ascii="Times New Roman" w:hAnsi="Times New Roman"/>
          <w:noProof/>
          <w:sz w:val="24"/>
          <w:szCs w:val="26"/>
        </w:rPr>
      </w:pPr>
      <w:r w:rsidRPr="003C0DF0">
        <w:rPr>
          <w:rFonts w:ascii="Times New Roman" w:hAnsi="Times New Roman"/>
          <w:b/>
          <w:noProof/>
          <w:sz w:val="24"/>
        </w:rPr>
        <w:t xml:space="preserve">Group 5, coefficient of costs 2.9 </w:t>
      </w:r>
      <w:r w:rsidRPr="003C0DF0">
        <w:rPr>
          <w:rFonts w:ascii="Times New Roman" w:hAnsi="Times New Roman"/>
          <w:noProof/>
          <w:sz w:val="24"/>
        </w:rPr>
        <w:t>– Natural sciences; Environmental protection; Agriculture, forestry and fishery; Translation and applied linguistics;</w:t>
      </w:r>
    </w:p>
    <w:p w14:paraId="1D9DFF36" w14:textId="7CD40CA7" w:rsidR="00ED16B1" w:rsidRPr="003C0DF0" w:rsidRDefault="00ED16B1" w:rsidP="00DE5551">
      <w:pPr>
        <w:autoSpaceDE w:val="0"/>
        <w:autoSpaceDN w:val="0"/>
        <w:adjustRightInd w:val="0"/>
        <w:spacing w:after="0" w:line="240" w:lineRule="auto"/>
        <w:ind w:firstLine="709"/>
        <w:jc w:val="both"/>
        <w:rPr>
          <w:rFonts w:ascii="Times New Roman" w:hAnsi="Times New Roman"/>
          <w:noProof/>
          <w:sz w:val="24"/>
          <w:szCs w:val="26"/>
        </w:rPr>
      </w:pPr>
      <w:r w:rsidRPr="003C0DF0">
        <w:rPr>
          <w:rFonts w:ascii="Times New Roman" w:hAnsi="Times New Roman"/>
          <w:b/>
          <w:noProof/>
          <w:sz w:val="24"/>
        </w:rPr>
        <w:t xml:space="preserve">Group 6, coefficient of costs 3.6 </w:t>
      </w:r>
      <w:r w:rsidRPr="003C0DF0">
        <w:rPr>
          <w:rFonts w:ascii="Times New Roman" w:hAnsi="Times New Roman"/>
          <w:noProof/>
          <w:sz w:val="24"/>
        </w:rPr>
        <w:t>– Architecture; Art (except for art programmes “Audio-visual Media Art” and “Design”); Musical education; Pharmacy; Health and social care;</w:t>
      </w:r>
    </w:p>
    <w:p w14:paraId="51548B17" w14:textId="6DF668DD" w:rsidR="00ED16B1" w:rsidRPr="003C0DF0" w:rsidRDefault="00ED16B1" w:rsidP="00DE5551">
      <w:pPr>
        <w:autoSpaceDE w:val="0"/>
        <w:autoSpaceDN w:val="0"/>
        <w:adjustRightInd w:val="0"/>
        <w:spacing w:after="0" w:line="240" w:lineRule="auto"/>
        <w:ind w:firstLine="709"/>
        <w:jc w:val="both"/>
        <w:rPr>
          <w:rFonts w:ascii="Times New Roman" w:hAnsi="Times New Roman"/>
          <w:noProof/>
          <w:sz w:val="24"/>
          <w:szCs w:val="26"/>
        </w:rPr>
      </w:pPr>
      <w:r w:rsidRPr="003C0DF0">
        <w:rPr>
          <w:rFonts w:ascii="Times New Roman" w:hAnsi="Times New Roman"/>
          <w:b/>
          <w:noProof/>
          <w:sz w:val="24"/>
        </w:rPr>
        <w:t xml:space="preserve">Group 7, coefficient of costs 4.5 </w:t>
      </w:r>
      <w:r w:rsidRPr="003C0DF0">
        <w:rPr>
          <w:rFonts w:ascii="Times New Roman" w:hAnsi="Times New Roman"/>
          <w:noProof/>
          <w:sz w:val="24"/>
        </w:rPr>
        <w:t>– Medical treatment; Civil defence; Music and choreography; Audio-visual media art and design;</w:t>
      </w:r>
    </w:p>
    <w:p w14:paraId="1482F44E" w14:textId="2121CC6A" w:rsidR="006E539B" w:rsidRPr="003C0DF0" w:rsidRDefault="00ED16B1" w:rsidP="00DE5551">
      <w:pPr>
        <w:autoSpaceDE w:val="0"/>
        <w:autoSpaceDN w:val="0"/>
        <w:adjustRightInd w:val="0"/>
        <w:spacing w:after="0" w:line="240" w:lineRule="auto"/>
        <w:ind w:firstLine="709"/>
        <w:jc w:val="both"/>
        <w:rPr>
          <w:rFonts w:ascii="Times New Roman" w:hAnsi="Times New Roman"/>
          <w:noProof/>
          <w:sz w:val="24"/>
          <w:szCs w:val="26"/>
        </w:rPr>
      </w:pPr>
      <w:r w:rsidRPr="003C0DF0">
        <w:rPr>
          <w:rFonts w:ascii="Times New Roman" w:hAnsi="Times New Roman"/>
          <w:b/>
          <w:noProof/>
          <w:sz w:val="24"/>
        </w:rPr>
        <w:t xml:space="preserve">Group 8, coefficient of costs 5.0 </w:t>
      </w:r>
      <w:r w:rsidRPr="003C0DF0">
        <w:rPr>
          <w:rFonts w:ascii="Times New Roman" w:hAnsi="Times New Roman"/>
          <w:noProof/>
          <w:sz w:val="24"/>
        </w:rPr>
        <w:t>– Veterinary; Dental care;</w:t>
      </w:r>
    </w:p>
    <w:p w14:paraId="56C0C967" w14:textId="28ABC82A" w:rsidR="00ED16B1" w:rsidRPr="003C0DF0" w:rsidRDefault="00ED16B1" w:rsidP="00DE5551">
      <w:pPr>
        <w:autoSpaceDE w:val="0"/>
        <w:autoSpaceDN w:val="0"/>
        <w:adjustRightInd w:val="0"/>
        <w:spacing w:after="0" w:line="240" w:lineRule="auto"/>
        <w:ind w:firstLine="709"/>
        <w:jc w:val="both"/>
        <w:rPr>
          <w:rFonts w:ascii="Times New Roman" w:hAnsi="Times New Roman"/>
          <w:noProof/>
          <w:sz w:val="24"/>
          <w:szCs w:val="26"/>
        </w:rPr>
      </w:pPr>
      <w:r w:rsidRPr="003C0DF0">
        <w:rPr>
          <w:rFonts w:ascii="Times New Roman" w:hAnsi="Times New Roman"/>
          <w:b/>
          <w:noProof/>
          <w:sz w:val="24"/>
        </w:rPr>
        <w:t xml:space="preserve">Group 9, coefficient of costs 6.0 </w:t>
      </w:r>
      <w:r w:rsidRPr="003C0DF0">
        <w:rPr>
          <w:rFonts w:ascii="Times New Roman" w:hAnsi="Times New Roman"/>
          <w:noProof/>
          <w:sz w:val="24"/>
        </w:rPr>
        <w:t>– Military defence.</w:t>
      </w:r>
    </w:p>
    <w:p w14:paraId="3CFB608A" w14:textId="77777777" w:rsidR="00ED16B1" w:rsidRPr="003C0DF0" w:rsidRDefault="00ED16B1" w:rsidP="00DE5551">
      <w:pPr>
        <w:spacing w:after="0" w:line="240" w:lineRule="auto"/>
        <w:ind w:firstLine="709"/>
        <w:jc w:val="both"/>
        <w:rPr>
          <w:rFonts w:ascii="Times New Roman" w:hAnsi="Times New Roman"/>
          <w:noProof/>
          <w:sz w:val="24"/>
          <w:szCs w:val="26"/>
        </w:rPr>
      </w:pPr>
    </w:p>
    <w:p w14:paraId="6A0821B1" w14:textId="77777777" w:rsidR="006E539B" w:rsidRPr="003C0DF0" w:rsidRDefault="00ED16B1" w:rsidP="00DE5551">
      <w:pPr>
        <w:spacing w:after="0" w:line="240" w:lineRule="auto"/>
        <w:ind w:firstLine="709"/>
        <w:jc w:val="both"/>
        <w:rPr>
          <w:rFonts w:ascii="Times New Roman" w:hAnsi="Times New Roman"/>
          <w:noProof/>
          <w:sz w:val="24"/>
          <w:szCs w:val="26"/>
        </w:rPr>
      </w:pPr>
      <w:r w:rsidRPr="003C0DF0">
        <w:rPr>
          <w:rFonts w:ascii="Times New Roman" w:hAnsi="Times New Roman"/>
          <w:noProof/>
          <w:sz w:val="24"/>
        </w:rPr>
        <w:t xml:space="preserve">The new study cost coefficients show the optimal study costs in breakdown by field of education for sustainability- and development-oriented research-based higher education. </w:t>
      </w:r>
      <w:r w:rsidRPr="003C0DF0">
        <w:rPr>
          <w:rFonts w:ascii="Times New Roman" w:hAnsi="Times New Roman"/>
          <w:b/>
          <w:noProof/>
          <w:sz w:val="24"/>
        </w:rPr>
        <w:t xml:space="preserve">According to the estimates of the ministry, the funding necessary for ensuring the current </w:t>
      </w:r>
      <w:r w:rsidRPr="003C0DF0">
        <w:rPr>
          <w:rFonts w:ascii="Times New Roman" w:hAnsi="Times New Roman"/>
          <w:b/>
          <w:noProof/>
          <w:sz w:val="24"/>
        </w:rPr>
        <w:lastRenderedPageBreak/>
        <w:t xml:space="preserve">number of students studying from the State budget funds, for implementation of the consolidated study cost coefficients and the updated methodology for the base calculation of study places, is EUR 160.5 million for all sectoral ministries. </w:t>
      </w:r>
      <w:r w:rsidRPr="003C0DF0">
        <w:rPr>
          <w:rFonts w:ascii="Times New Roman" w:hAnsi="Times New Roman"/>
          <w:noProof/>
          <w:sz w:val="24"/>
        </w:rPr>
        <w:t>Consolidated coefficients of study cost and base costs of a study place will be introduced gradually by moving to allocation of study funding depending on the number of graduates, as well as providing additional State budget funding for new study programmes.</w:t>
      </w:r>
    </w:p>
    <w:p w14:paraId="35FC3F17" w14:textId="1C1A7720" w:rsidR="006E539B" w:rsidRPr="003C0DF0" w:rsidRDefault="00ED16B1" w:rsidP="00DE5551">
      <w:pPr>
        <w:spacing w:after="0" w:line="240" w:lineRule="auto"/>
        <w:ind w:firstLine="709"/>
        <w:jc w:val="both"/>
        <w:rPr>
          <w:rFonts w:ascii="Times New Roman" w:hAnsi="Times New Roman"/>
          <w:noProof/>
          <w:sz w:val="24"/>
          <w:szCs w:val="26"/>
        </w:rPr>
      </w:pPr>
      <w:r w:rsidRPr="003C0DF0">
        <w:rPr>
          <w:rFonts w:ascii="Times New Roman" w:hAnsi="Times New Roman"/>
          <w:noProof/>
          <w:sz w:val="24"/>
        </w:rPr>
        <w:t>The methodology used in the study for updating of study cost coefficients and detailed estimates are included in the final report “Study on the Updating of Study Cost Coefficients in Higher Education and Proposals for Their Consolidation” (Annex 5).</w:t>
      </w:r>
    </w:p>
    <w:p w14:paraId="75B0D2AF" w14:textId="77777777" w:rsidR="006E539B" w:rsidRPr="003C0DF0" w:rsidRDefault="00ED16B1" w:rsidP="00DE5551">
      <w:pPr>
        <w:spacing w:after="0" w:line="240" w:lineRule="auto"/>
        <w:ind w:firstLine="709"/>
        <w:jc w:val="both"/>
        <w:rPr>
          <w:rFonts w:ascii="Times New Roman" w:hAnsi="Times New Roman"/>
          <w:noProof/>
          <w:sz w:val="24"/>
          <w:szCs w:val="26"/>
        </w:rPr>
      </w:pPr>
      <w:r w:rsidRPr="003C0DF0">
        <w:rPr>
          <w:rFonts w:ascii="Times New Roman" w:hAnsi="Times New Roman"/>
          <w:noProof/>
          <w:sz w:val="24"/>
        </w:rPr>
        <w:t>In 2015 the ministry will launch quality improvements of financial statements of institutions of higher education, based on the proposals of the study “Evaluation of Financial-Economic Operations of Institutions of Higher Education and Consolidation of Public Reports” conducted by the ministry in 2014. The study shows that the current financial statements of institutions of higher education do not facilitate an easy and timely data analysis, because the data are not submitted frequently enough and the format is not convenient. For improvement of the availability and quality of financial-economic data, it is necessary to ensure the following elements:</w:t>
      </w:r>
    </w:p>
    <w:p w14:paraId="7089069D" w14:textId="290D1379" w:rsidR="00ED16B1" w:rsidRPr="003C0DF0" w:rsidRDefault="00ED16B1" w:rsidP="00DE5551">
      <w:pPr>
        <w:pStyle w:val="ListParagraph"/>
        <w:numPr>
          <w:ilvl w:val="0"/>
          <w:numId w:val="20"/>
        </w:numPr>
        <w:spacing w:after="0" w:line="240" w:lineRule="auto"/>
        <w:ind w:left="0" w:firstLine="709"/>
        <w:jc w:val="both"/>
        <w:rPr>
          <w:rFonts w:ascii="Times New Roman" w:hAnsi="Times New Roman"/>
          <w:noProof/>
          <w:sz w:val="24"/>
          <w:szCs w:val="26"/>
        </w:rPr>
      </w:pPr>
      <w:r w:rsidRPr="003C0DF0">
        <w:rPr>
          <w:rFonts w:ascii="Times New Roman" w:hAnsi="Times New Roman"/>
          <w:b/>
          <w:noProof/>
          <w:sz w:val="24"/>
        </w:rPr>
        <w:t>Data are easy to compile, in electronic format – </w:t>
      </w:r>
      <w:r w:rsidRPr="003C0DF0">
        <w:rPr>
          <w:rFonts w:ascii="Times New Roman" w:hAnsi="Times New Roman"/>
          <w:noProof/>
          <w:sz w:val="24"/>
        </w:rPr>
        <w:t>all institutions of higher education must submit data in a uniform electronic format, completely excluding situations where some documents are only available in printed form;</w:t>
      </w:r>
    </w:p>
    <w:p w14:paraId="53CFA547" w14:textId="77777777" w:rsidR="00ED16B1" w:rsidRPr="003C0DF0" w:rsidRDefault="00ED16B1" w:rsidP="00DE5551">
      <w:pPr>
        <w:pStyle w:val="ListParagraph"/>
        <w:numPr>
          <w:ilvl w:val="0"/>
          <w:numId w:val="20"/>
        </w:numPr>
        <w:spacing w:after="0" w:line="240" w:lineRule="auto"/>
        <w:ind w:left="0" w:firstLine="709"/>
        <w:jc w:val="both"/>
        <w:rPr>
          <w:rFonts w:ascii="Times New Roman" w:hAnsi="Times New Roman"/>
          <w:noProof/>
          <w:sz w:val="24"/>
          <w:szCs w:val="26"/>
        </w:rPr>
      </w:pPr>
      <w:r w:rsidRPr="003C0DF0">
        <w:rPr>
          <w:rFonts w:ascii="Times New Roman" w:hAnsi="Times New Roman"/>
          <w:b/>
          <w:noProof/>
          <w:sz w:val="24"/>
        </w:rPr>
        <w:t>Broad involvement of all stakeholders</w:t>
      </w:r>
      <w:r w:rsidRPr="003C0DF0">
        <w:rPr>
          <w:rFonts w:ascii="Times New Roman" w:hAnsi="Times New Roman"/>
          <w:noProof/>
          <w:sz w:val="24"/>
        </w:rPr>
        <w:t xml:space="preserve"> – data availability is ensured to all stakeholders;</w:t>
      </w:r>
    </w:p>
    <w:p w14:paraId="60047287" w14:textId="6F785394" w:rsidR="00ED16B1" w:rsidRPr="003C0DF0" w:rsidRDefault="00ED16B1" w:rsidP="00DE5551">
      <w:pPr>
        <w:pStyle w:val="ListParagraph"/>
        <w:numPr>
          <w:ilvl w:val="0"/>
          <w:numId w:val="20"/>
        </w:numPr>
        <w:spacing w:after="0" w:line="240" w:lineRule="auto"/>
        <w:ind w:left="0" w:firstLine="709"/>
        <w:jc w:val="both"/>
        <w:rPr>
          <w:rFonts w:ascii="Times New Roman" w:hAnsi="Times New Roman"/>
          <w:noProof/>
          <w:sz w:val="24"/>
          <w:szCs w:val="26"/>
        </w:rPr>
      </w:pPr>
      <w:r w:rsidRPr="003C0DF0">
        <w:rPr>
          <w:rFonts w:ascii="Times New Roman" w:hAnsi="Times New Roman"/>
          <w:b/>
          <w:noProof/>
          <w:sz w:val="24"/>
        </w:rPr>
        <w:t>Critical revision of accounting standards</w:t>
      </w:r>
      <w:r w:rsidRPr="003C0DF0">
        <w:rPr>
          <w:rFonts w:ascii="Times New Roman" w:hAnsi="Times New Roman"/>
          <w:noProof/>
          <w:sz w:val="24"/>
        </w:rPr>
        <w:t> – as close as possible comparison of financial-economic performance indicators of institutions of higher education is promoted. Institutions of higher education should apply similar systematisation of financial-economic data in order to facilitate and increase accuracy and efficiency of analysis;</w:t>
      </w:r>
    </w:p>
    <w:p w14:paraId="25AA87CD" w14:textId="77777777" w:rsidR="00ED16B1" w:rsidRPr="003C0DF0" w:rsidRDefault="00ED16B1" w:rsidP="00DE5551">
      <w:pPr>
        <w:pStyle w:val="ListParagraph"/>
        <w:numPr>
          <w:ilvl w:val="0"/>
          <w:numId w:val="20"/>
        </w:numPr>
        <w:spacing w:after="0" w:line="240" w:lineRule="auto"/>
        <w:ind w:left="0" w:firstLine="709"/>
        <w:jc w:val="both"/>
        <w:rPr>
          <w:rFonts w:ascii="Times New Roman" w:hAnsi="Times New Roman"/>
          <w:noProof/>
          <w:sz w:val="24"/>
          <w:szCs w:val="26"/>
        </w:rPr>
      </w:pPr>
      <w:r w:rsidRPr="003C0DF0">
        <w:rPr>
          <w:rFonts w:ascii="Times New Roman" w:hAnsi="Times New Roman"/>
          <w:b/>
          <w:noProof/>
          <w:sz w:val="24"/>
        </w:rPr>
        <w:t>Reduction of reporting period from once a year to once in six months or even once a quarter</w:t>
      </w:r>
      <w:r w:rsidRPr="003C0DF0">
        <w:rPr>
          <w:rFonts w:ascii="Times New Roman" w:hAnsi="Times New Roman"/>
          <w:noProof/>
          <w:sz w:val="24"/>
        </w:rPr>
        <w:t xml:space="preserve"> – a higher level of control of indicators and timely evaluation and prevention of financial risks are ensured;</w:t>
      </w:r>
    </w:p>
    <w:p w14:paraId="6A384CA0" w14:textId="77777777" w:rsidR="006E539B" w:rsidRPr="003C0DF0" w:rsidRDefault="00ED16B1" w:rsidP="00DE5551">
      <w:pPr>
        <w:pStyle w:val="ListParagraph"/>
        <w:numPr>
          <w:ilvl w:val="0"/>
          <w:numId w:val="20"/>
        </w:numPr>
        <w:spacing w:after="0" w:line="240" w:lineRule="auto"/>
        <w:ind w:left="0" w:firstLine="709"/>
        <w:jc w:val="both"/>
        <w:rPr>
          <w:rFonts w:ascii="Times New Roman" w:hAnsi="Times New Roman"/>
          <w:bCs/>
          <w:noProof/>
          <w:sz w:val="24"/>
          <w:szCs w:val="26"/>
        </w:rPr>
      </w:pPr>
      <w:r w:rsidRPr="003C0DF0">
        <w:rPr>
          <w:rFonts w:ascii="Times New Roman" w:hAnsi="Times New Roman"/>
          <w:b/>
          <w:noProof/>
          <w:sz w:val="24"/>
        </w:rPr>
        <w:t>Platform for easy and convenient data visualisation</w:t>
      </w:r>
      <w:r w:rsidRPr="003C0DF0">
        <w:rPr>
          <w:rFonts w:ascii="Times New Roman" w:hAnsi="Times New Roman"/>
          <w:noProof/>
          <w:sz w:val="24"/>
        </w:rPr>
        <w:t xml:space="preserve"> – a system of data storage and analysis.</w:t>
      </w:r>
    </w:p>
    <w:p w14:paraId="1FB83F4F" w14:textId="1B8F7997" w:rsidR="00ED16B1" w:rsidRPr="003C0DF0" w:rsidRDefault="00ED16B1" w:rsidP="00DE5551">
      <w:pPr>
        <w:spacing w:after="0" w:line="240" w:lineRule="auto"/>
        <w:ind w:firstLine="709"/>
        <w:jc w:val="both"/>
        <w:rPr>
          <w:rFonts w:ascii="Times New Roman" w:hAnsi="Times New Roman"/>
          <w:noProof/>
          <w:sz w:val="24"/>
          <w:szCs w:val="26"/>
        </w:rPr>
      </w:pPr>
    </w:p>
    <w:p w14:paraId="1DAF14CE" w14:textId="77777777" w:rsidR="006E539B" w:rsidRPr="003C0DF0" w:rsidRDefault="00ED16B1" w:rsidP="00DE5551">
      <w:pPr>
        <w:spacing w:after="0" w:line="240" w:lineRule="auto"/>
        <w:ind w:firstLine="709"/>
        <w:jc w:val="both"/>
        <w:rPr>
          <w:rFonts w:ascii="Times New Roman" w:hAnsi="Times New Roman"/>
          <w:bCs/>
          <w:noProof/>
          <w:sz w:val="24"/>
          <w:szCs w:val="26"/>
          <w:shd w:val="clear" w:color="auto" w:fill="FFFFFF"/>
        </w:rPr>
      </w:pPr>
      <w:r w:rsidRPr="003C0DF0">
        <w:rPr>
          <w:rFonts w:ascii="Times New Roman" w:hAnsi="Times New Roman"/>
          <w:noProof/>
          <w:sz w:val="24"/>
        </w:rPr>
        <w:t>Conclusions of the study on the analysis of financial statements of institutions of higher education and proposals for promotion of sustainability of financial activity of institutions of higher education are included in the final report of the study (Annex 6)</w:t>
      </w:r>
      <w:r w:rsidRPr="003C0DF0">
        <w:rPr>
          <w:rStyle w:val="FootnoteReference"/>
          <w:rFonts w:ascii="Times New Roman" w:hAnsi="Times New Roman"/>
          <w:noProof/>
          <w:sz w:val="24"/>
        </w:rPr>
        <w:footnoteReference w:id="20"/>
      </w:r>
      <w:r w:rsidRPr="003C0DF0">
        <w:rPr>
          <w:rFonts w:ascii="Times New Roman" w:hAnsi="Times New Roman"/>
          <w:noProof/>
          <w:sz w:val="24"/>
        </w:rPr>
        <w:t>. In order to improve the financial reporting process and control of utilisation, to ensure uniformity in financial reporting, the framework for submission of financial statements will be improved by incorporating changes in Cabinet Regulation No. 348 of 2 May 2006, Procedures for Submitting Information Regarding Activity by an Institution of Higher Education and College to the Ministry of Education and Science, specifying the information to be submitted each year regarding performance and financial indicators, including with regard to employment of graduates. Availability of financial data of institutions of higher education will be ensured by publishing them on the website of the ministry.</w:t>
      </w:r>
    </w:p>
    <w:p w14:paraId="23233014" w14:textId="77777777" w:rsidR="00DE5551" w:rsidRPr="003C0DF0" w:rsidRDefault="00DE5551" w:rsidP="00DE5551">
      <w:pPr>
        <w:spacing w:after="0" w:line="240" w:lineRule="auto"/>
        <w:ind w:firstLine="709"/>
        <w:jc w:val="both"/>
        <w:rPr>
          <w:rFonts w:ascii="Times New Roman" w:hAnsi="Times New Roman"/>
          <w:bCs/>
          <w:noProof/>
          <w:sz w:val="24"/>
          <w:szCs w:val="26"/>
          <w:shd w:val="clear" w:color="auto" w:fill="FFFFFF"/>
        </w:rPr>
      </w:pPr>
    </w:p>
    <w:p w14:paraId="0B96F01F" w14:textId="09587F95" w:rsidR="00ED16B1" w:rsidRPr="001E4898" w:rsidRDefault="00DE5551" w:rsidP="001E4898">
      <w:pPr>
        <w:pStyle w:val="Heading3"/>
        <w:keepNext/>
      </w:pPr>
      <w:bookmarkStart w:id="51" w:name="_Toc421550742"/>
      <w:bookmarkStart w:id="52" w:name="_Toc453155046"/>
      <w:r w:rsidRPr="001E4898">
        <w:lastRenderedPageBreak/>
        <w:t>2.2.4. Procedures for Financing the Second Pillar of Study and Research from the State Budget</w:t>
      </w:r>
      <w:bookmarkEnd w:id="51"/>
      <w:bookmarkEnd w:id="52"/>
    </w:p>
    <w:p w14:paraId="17F8248B" w14:textId="77777777" w:rsidR="00DE5551" w:rsidRPr="003C0DF0" w:rsidRDefault="00DE5551" w:rsidP="001E4898">
      <w:pPr>
        <w:keepNext/>
        <w:autoSpaceDE w:val="0"/>
        <w:autoSpaceDN w:val="0"/>
        <w:adjustRightInd w:val="0"/>
        <w:spacing w:after="0" w:line="240" w:lineRule="auto"/>
        <w:ind w:firstLine="709"/>
        <w:jc w:val="both"/>
        <w:rPr>
          <w:rFonts w:ascii="Times New Roman" w:hAnsi="Times New Roman"/>
          <w:noProof/>
          <w:sz w:val="24"/>
          <w:szCs w:val="26"/>
        </w:rPr>
      </w:pPr>
    </w:p>
    <w:p w14:paraId="56D8FD61" w14:textId="77777777" w:rsidR="006E539B" w:rsidRPr="003C0DF0" w:rsidRDefault="00ED16B1" w:rsidP="001E4898">
      <w:pPr>
        <w:keepNext/>
        <w:autoSpaceDE w:val="0"/>
        <w:autoSpaceDN w:val="0"/>
        <w:adjustRightInd w:val="0"/>
        <w:spacing w:after="0" w:line="240" w:lineRule="auto"/>
        <w:ind w:firstLine="709"/>
        <w:jc w:val="both"/>
        <w:rPr>
          <w:rFonts w:ascii="Times New Roman" w:hAnsi="Times New Roman"/>
          <w:noProof/>
          <w:sz w:val="24"/>
          <w:szCs w:val="26"/>
        </w:rPr>
      </w:pPr>
      <w:r w:rsidRPr="003C0DF0">
        <w:rPr>
          <w:rFonts w:ascii="Times New Roman" w:hAnsi="Times New Roman"/>
          <w:noProof/>
          <w:sz w:val="24"/>
        </w:rPr>
        <w:t xml:space="preserve">In developing the second pillar performance criteria, institutional diversity of higher education and research sector of Latvia was taken into account, including operational specifics of niche institutions of higher education (academies), culture and art institutions of higher education, colleges. The ministry will launch the second pillar (performance-based) financing in 2015. Based on the decision of Cabinet meeting of 10 November 2014, the funds of the new budget sub-programme 03.03.00 </w:t>
      </w:r>
      <w:r w:rsidRPr="003C0DF0">
        <w:rPr>
          <w:rFonts w:ascii="Times New Roman" w:hAnsi="Times New Roman"/>
          <w:i/>
          <w:noProof/>
          <w:sz w:val="24"/>
        </w:rPr>
        <w:t>Development of Scientific Activity in Institutions of Higher Education and Colleges</w:t>
      </w:r>
      <w:r w:rsidRPr="003C0DF0">
        <w:rPr>
          <w:rFonts w:ascii="Times New Roman" w:hAnsi="Times New Roman"/>
          <w:noProof/>
          <w:sz w:val="24"/>
        </w:rPr>
        <w:t xml:space="preserve"> in 2015 account for EUR 5,500,000, in 2016 – EUR 6,500,000, in 2017 – EUR 6,500,000. According to the Cabinet, the funds of the sub-programme 03.03.00 will be directed for implementation of the second pillar for performance indicators of implementation of research-based higher education. According to the policy objectives, performance funding will be directed to the institutions of higher education and colleges, which are funded from the State budget in accordance with Cabinet Regulation No. 994 and which have introduced a performance management and personnel remuneration system, certified by the Work Remuneration By-laws approved by the senate of the institution of higher education or approved by the council of the college, and submitted to the ministry until 1 September 2015.</w:t>
      </w:r>
    </w:p>
    <w:p w14:paraId="1AA61E71" w14:textId="06ED40BB" w:rsidR="00ED16B1" w:rsidRPr="003C0DF0" w:rsidRDefault="00ED16B1" w:rsidP="00DE5551">
      <w:pPr>
        <w:spacing w:after="0" w:line="240" w:lineRule="auto"/>
        <w:ind w:firstLine="709"/>
        <w:jc w:val="both"/>
        <w:rPr>
          <w:rFonts w:ascii="Times New Roman" w:hAnsi="Times New Roman"/>
          <w:noProof/>
          <w:sz w:val="24"/>
          <w:szCs w:val="26"/>
        </w:rPr>
      </w:pPr>
      <w:r w:rsidRPr="003C0DF0">
        <w:rPr>
          <w:rFonts w:ascii="Times New Roman" w:hAnsi="Times New Roman"/>
          <w:b/>
          <w:noProof/>
          <w:sz w:val="24"/>
        </w:rPr>
        <w:t xml:space="preserve">The objective of performance funding is to support research-based higher education which is rooted in research excellence of institutions of higher education and colleges and in collaboration with the industry and is focused on the increase in the number of persons employed in research and technological development and on reproduction thereof. </w:t>
      </w:r>
      <w:r w:rsidRPr="003C0DF0">
        <w:rPr>
          <w:rFonts w:ascii="Times New Roman" w:hAnsi="Times New Roman"/>
          <w:noProof/>
          <w:sz w:val="24"/>
        </w:rPr>
        <w:t>Funding will be granted, taking into account performance indicators of institutions of higher education according the following common objectives and criteria:</w:t>
      </w:r>
    </w:p>
    <w:p w14:paraId="5A1C5F7B" w14:textId="77777777" w:rsidR="00DE5551" w:rsidRPr="003C0DF0" w:rsidRDefault="00DE5551" w:rsidP="00DE5551">
      <w:pPr>
        <w:spacing w:after="0" w:line="240" w:lineRule="auto"/>
        <w:ind w:firstLine="709"/>
        <w:jc w:val="both"/>
        <w:rPr>
          <w:rFonts w:ascii="Times New Roman" w:hAnsi="Times New Roman"/>
          <w:noProof/>
          <w:sz w:val="24"/>
          <w:szCs w:val="26"/>
        </w:rPr>
      </w:pPr>
    </w:p>
    <w:p w14:paraId="71EA8993" w14:textId="4125FC3E" w:rsidR="00ED16B1" w:rsidRPr="003C0DF0" w:rsidRDefault="00ED16B1" w:rsidP="00DE5551">
      <w:pPr>
        <w:autoSpaceDE w:val="0"/>
        <w:autoSpaceDN w:val="0"/>
        <w:adjustRightInd w:val="0"/>
        <w:spacing w:after="0" w:line="240" w:lineRule="auto"/>
        <w:ind w:firstLine="709"/>
        <w:jc w:val="both"/>
        <w:rPr>
          <w:rFonts w:ascii="Times New Roman" w:hAnsi="Times New Roman"/>
          <w:b/>
          <w:iCs/>
          <w:noProof/>
          <w:sz w:val="24"/>
          <w:szCs w:val="26"/>
        </w:rPr>
      </w:pPr>
      <w:r w:rsidRPr="003C0DF0">
        <w:rPr>
          <w:rFonts w:ascii="Times New Roman" w:hAnsi="Times New Roman"/>
          <w:b/>
          <w:noProof/>
          <w:sz w:val="24"/>
        </w:rPr>
        <w:t xml:space="preserve">Objective I: </w:t>
      </w:r>
      <w:r w:rsidRPr="003C0DF0">
        <w:rPr>
          <w:rFonts w:ascii="Times New Roman" w:hAnsi="Times New Roman"/>
          <w:noProof/>
          <w:sz w:val="24"/>
        </w:rPr>
        <w:t>Reproduction of human resources in higher education and research – employment of young scientists in research in institutions of higher education:</w:t>
      </w:r>
    </w:p>
    <w:p w14:paraId="4DACB2E7" w14:textId="77777777" w:rsidR="00ED16B1" w:rsidRPr="003C0DF0" w:rsidRDefault="00ED16B1" w:rsidP="00DE5551">
      <w:pPr>
        <w:autoSpaceDE w:val="0"/>
        <w:autoSpaceDN w:val="0"/>
        <w:adjustRightInd w:val="0"/>
        <w:spacing w:after="0" w:line="240" w:lineRule="auto"/>
        <w:ind w:firstLine="709"/>
        <w:jc w:val="both"/>
        <w:rPr>
          <w:rFonts w:ascii="Times New Roman" w:hAnsi="Times New Roman"/>
          <w:b/>
          <w:bCs/>
          <w:noProof/>
          <w:sz w:val="24"/>
          <w:szCs w:val="26"/>
        </w:rPr>
      </w:pPr>
      <w:r w:rsidRPr="003C0DF0">
        <w:rPr>
          <w:rFonts w:ascii="Times New Roman" w:hAnsi="Times New Roman"/>
          <w:b/>
          <w:noProof/>
          <w:sz w:val="24"/>
        </w:rPr>
        <w:t xml:space="preserve">Performance indicator 1: </w:t>
      </w:r>
      <w:r w:rsidRPr="003C0DF0">
        <w:rPr>
          <w:rFonts w:ascii="Times New Roman" w:hAnsi="Times New Roman"/>
          <w:noProof/>
          <w:sz w:val="24"/>
        </w:rPr>
        <w:t>Master and doctoral students employed as researchers in institutions of higher education, as well as researchers who during the past five years have acquired master or doctoral degree in terms of full-time equivalent (FTE);</w:t>
      </w:r>
    </w:p>
    <w:p w14:paraId="5964C221" w14:textId="77777777" w:rsidR="00DE5551" w:rsidRPr="003C0DF0" w:rsidRDefault="00DE5551" w:rsidP="00DE5551">
      <w:pPr>
        <w:autoSpaceDE w:val="0"/>
        <w:autoSpaceDN w:val="0"/>
        <w:adjustRightInd w:val="0"/>
        <w:spacing w:after="0" w:line="240" w:lineRule="auto"/>
        <w:ind w:firstLine="709"/>
        <w:jc w:val="both"/>
        <w:rPr>
          <w:rFonts w:ascii="Times New Roman" w:hAnsi="Times New Roman"/>
          <w:b/>
          <w:iCs/>
          <w:noProof/>
          <w:sz w:val="24"/>
          <w:szCs w:val="26"/>
        </w:rPr>
      </w:pPr>
    </w:p>
    <w:p w14:paraId="75583456" w14:textId="77777777" w:rsidR="00ED16B1" w:rsidRPr="003C0DF0" w:rsidRDefault="00ED16B1" w:rsidP="00DE5551">
      <w:pPr>
        <w:autoSpaceDE w:val="0"/>
        <w:autoSpaceDN w:val="0"/>
        <w:adjustRightInd w:val="0"/>
        <w:spacing w:after="0" w:line="240" w:lineRule="auto"/>
        <w:ind w:firstLine="709"/>
        <w:jc w:val="both"/>
        <w:rPr>
          <w:rFonts w:ascii="Times New Roman" w:hAnsi="Times New Roman"/>
          <w:iCs/>
          <w:noProof/>
          <w:sz w:val="24"/>
          <w:szCs w:val="26"/>
        </w:rPr>
      </w:pPr>
      <w:r w:rsidRPr="003C0DF0">
        <w:rPr>
          <w:rFonts w:ascii="Times New Roman" w:hAnsi="Times New Roman"/>
          <w:b/>
          <w:noProof/>
          <w:sz w:val="24"/>
        </w:rPr>
        <w:t xml:space="preserve">Objective II: </w:t>
      </w:r>
      <w:r w:rsidRPr="003C0DF0">
        <w:rPr>
          <w:rFonts w:ascii="Times New Roman" w:hAnsi="Times New Roman"/>
          <w:noProof/>
          <w:sz w:val="24"/>
        </w:rPr>
        <w:t>Internationalisation and international competitiveness of research implemented in institutions of higher education – integration in the global research area:</w:t>
      </w:r>
    </w:p>
    <w:p w14:paraId="53DCC113" w14:textId="77777777" w:rsidR="00ED16B1" w:rsidRPr="003C0DF0" w:rsidRDefault="00ED16B1" w:rsidP="00DE5551">
      <w:pPr>
        <w:autoSpaceDE w:val="0"/>
        <w:autoSpaceDN w:val="0"/>
        <w:adjustRightInd w:val="0"/>
        <w:spacing w:after="0" w:line="240" w:lineRule="auto"/>
        <w:ind w:firstLine="709"/>
        <w:jc w:val="both"/>
        <w:rPr>
          <w:rFonts w:ascii="Times New Roman" w:hAnsi="Times New Roman"/>
          <w:noProof/>
          <w:sz w:val="24"/>
          <w:szCs w:val="26"/>
        </w:rPr>
      </w:pPr>
      <w:r w:rsidRPr="003C0DF0">
        <w:rPr>
          <w:rFonts w:ascii="Times New Roman" w:hAnsi="Times New Roman"/>
          <w:b/>
          <w:noProof/>
          <w:sz w:val="24"/>
        </w:rPr>
        <w:t xml:space="preserve">Performance indicator 2: </w:t>
      </w:r>
      <w:r w:rsidRPr="003C0DF0">
        <w:rPr>
          <w:rFonts w:ascii="Times New Roman" w:hAnsi="Times New Roman"/>
          <w:noProof/>
          <w:sz w:val="24"/>
        </w:rPr>
        <w:t>Funding acquired within the framework of research and development projects implemented in the European Union programme “Horizon 2020” and in other international research project competitions;</w:t>
      </w:r>
    </w:p>
    <w:p w14:paraId="09784ED3" w14:textId="77777777" w:rsidR="00DE5551" w:rsidRPr="003C0DF0" w:rsidRDefault="00DE5551" w:rsidP="00DE5551">
      <w:pPr>
        <w:pStyle w:val="ListParagraph"/>
        <w:autoSpaceDE w:val="0"/>
        <w:autoSpaceDN w:val="0"/>
        <w:adjustRightInd w:val="0"/>
        <w:spacing w:after="0" w:line="240" w:lineRule="auto"/>
        <w:ind w:left="0" w:firstLine="709"/>
        <w:jc w:val="both"/>
        <w:rPr>
          <w:rFonts w:ascii="Times New Roman" w:hAnsi="Times New Roman"/>
          <w:b/>
          <w:noProof/>
          <w:sz w:val="24"/>
          <w:szCs w:val="26"/>
        </w:rPr>
      </w:pPr>
    </w:p>
    <w:p w14:paraId="56E7DD3A" w14:textId="77777777" w:rsidR="00ED16B1" w:rsidRPr="003C0DF0" w:rsidRDefault="00ED16B1" w:rsidP="00DE5551">
      <w:pPr>
        <w:pStyle w:val="ListParagraph"/>
        <w:autoSpaceDE w:val="0"/>
        <w:autoSpaceDN w:val="0"/>
        <w:adjustRightInd w:val="0"/>
        <w:spacing w:after="0" w:line="240" w:lineRule="auto"/>
        <w:ind w:left="0" w:firstLine="709"/>
        <w:jc w:val="both"/>
        <w:rPr>
          <w:rFonts w:ascii="Times New Roman" w:hAnsi="Times New Roman"/>
          <w:iCs/>
          <w:noProof/>
          <w:sz w:val="24"/>
          <w:szCs w:val="26"/>
        </w:rPr>
      </w:pPr>
      <w:r w:rsidRPr="003C0DF0">
        <w:rPr>
          <w:rFonts w:ascii="Times New Roman" w:hAnsi="Times New Roman"/>
          <w:b/>
          <w:noProof/>
          <w:sz w:val="24"/>
        </w:rPr>
        <w:t xml:space="preserve">Objective III: </w:t>
      </w:r>
      <w:r w:rsidRPr="003C0DF0">
        <w:rPr>
          <w:rFonts w:ascii="Times New Roman" w:hAnsi="Times New Roman"/>
          <w:noProof/>
          <w:sz w:val="24"/>
        </w:rPr>
        <w:t>Linking of the research implemented in institutions of higher education with the needs of the industry/sector – solving of problems topical in the industry:</w:t>
      </w:r>
    </w:p>
    <w:p w14:paraId="747A635F" w14:textId="69E07ECB" w:rsidR="00ED16B1" w:rsidRPr="003C0DF0" w:rsidRDefault="00ED16B1" w:rsidP="00DE5551">
      <w:pPr>
        <w:pStyle w:val="ListParagraph"/>
        <w:autoSpaceDE w:val="0"/>
        <w:autoSpaceDN w:val="0"/>
        <w:adjustRightInd w:val="0"/>
        <w:spacing w:after="0" w:line="240" w:lineRule="auto"/>
        <w:ind w:left="0" w:firstLine="709"/>
        <w:jc w:val="both"/>
        <w:rPr>
          <w:rFonts w:ascii="Times New Roman" w:hAnsi="Times New Roman"/>
          <w:noProof/>
          <w:sz w:val="24"/>
          <w:szCs w:val="26"/>
        </w:rPr>
      </w:pPr>
      <w:r w:rsidRPr="003C0DF0">
        <w:rPr>
          <w:rFonts w:ascii="Times New Roman" w:hAnsi="Times New Roman"/>
          <w:b/>
          <w:noProof/>
          <w:sz w:val="24"/>
        </w:rPr>
        <w:t xml:space="preserve">Performance indicator 3: </w:t>
      </w:r>
      <w:r w:rsidRPr="003C0DF0">
        <w:rPr>
          <w:rFonts w:ascii="Times New Roman" w:hAnsi="Times New Roman"/>
          <w:noProof/>
          <w:sz w:val="24"/>
        </w:rPr>
        <w:t>Funding attracted in research and development projects implemented upon an order of the industry, including contract work with merchants.</w:t>
      </w:r>
    </w:p>
    <w:p w14:paraId="6774982B" w14:textId="77777777" w:rsidR="00DE5551" w:rsidRPr="003C0DF0" w:rsidRDefault="00DE5551" w:rsidP="00DE5551">
      <w:pPr>
        <w:spacing w:after="0" w:line="240" w:lineRule="auto"/>
        <w:ind w:firstLine="709"/>
        <w:jc w:val="both"/>
        <w:rPr>
          <w:rFonts w:ascii="Times New Roman" w:hAnsi="Times New Roman"/>
          <w:b/>
          <w:noProof/>
          <w:sz w:val="24"/>
          <w:szCs w:val="26"/>
        </w:rPr>
      </w:pPr>
    </w:p>
    <w:p w14:paraId="3421C2B9" w14:textId="4C6CC596" w:rsidR="006E539B" w:rsidRPr="003C0DF0" w:rsidRDefault="00ED16B1" w:rsidP="00DE5551">
      <w:pPr>
        <w:spacing w:after="0" w:line="240" w:lineRule="auto"/>
        <w:ind w:firstLine="709"/>
        <w:jc w:val="both"/>
        <w:rPr>
          <w:rFonts w:ascii="Times New Roman" w:hAnsi="Times New Roman"/>
          <w:noProof/>
          <w:sz w:val="24"/>
          <w:szCs w:val="26"/>
        </w:rPr>
      </w:pPr>
      <w:r w:rsidRPr="003C0DF0">
        <w:rPr>
          <w:rFonts w:ascii="Times New Roman" w:hAnsi="Times New Roman"/>
          <w:b/>
          <w:noProof/>
          <w:sz w:val="24"/>
        </w:rPr>
        <w:t xml:space="preserve">Conditions for granting of performance funding are clearly formulated objectives, precisely measurable and comparable performance indicators, as well as transparent and accumulated source data. </w:t>
      </w:r>
      <w:r w:rsidRPr="003C0DF0">
        <w:rPr>
          <w:rFonts w:ascii="Times New Roman" w:hAnsi="Times New Roman"/>
          <w:noProof/>
          <w:sz w:val="24"/>
        </w:rPr>
        <w:t>Based on recommendations of the World Bank in determining performance criteria, the ministry assessed the available performance indicators of research activities of institutions of higher education and established a set of criteria that meet the mandate of the policy implemented by the ministry – development of research-based higher education.</w:t>
      </w:r>
    </w:p>
    <w:p w14:paraId="2801C93C" w14:textId="00115620" w:rsidR="00ED16B1" w:rsidRPr="003C0DF0" w:rsidRDefault="00ED16B1" w:rsidP="00DE5551">
      <w:pPr>
        <w:spacing w:after="0" w:line="240" w:lineRule="auto"/>
        <w:ind w:firstLine="709"/>
        <w:jc w:val="both"/>
        <w:rPr>
          <w:rFonts w:ascii="Times New Roman" w:hAnsi="Times New Roman"/>
          <w:noProof/>
          <w:sz w:val="24"/>
          <w:szCs w:val="26"/>
        </w:rPr>
      </w:pPr>
      <w:r w:rsidRPr="003C0DF0">
        <w:rPr>
          <w:rFonts w:ascii="Times New Roman" w:hAnsi="Times New Roman"/>
          <w:noProof/>
          <w:sz w:val="24"/>
        </w:rPr>
        <w:t xml:space="preserve">Performance funding will be granted based on data, which are regularly collected and used for calculation of base funding of science in institutions of higher education in accordance with Cabinet Regulation No. 1316, namely the FTE of persons employed in science and the </w:t>
      </w:r>
      <w:r w:rsidRPr="003C0DF0">
        <w:rPr>
          <w:rFonts w:ascii="Times New Roman" w:hAnsi="Times New Roman"/>
          <w:noProof/>
          <w:sz w:val="24"/>
        </w:rPr>
        <w:lastRenderedPageBreak/>
        <w:t>funding attracted to the principal activity. The data, which are provided by 1 April of the current year according to the procedures for calculating the base funding of science, will be used for the allocation of performance funding. The indicators, which are included in the set of criteria that are not provided in accordance with Cabinet Regulation No. 1316 (including with regard to college activities), will be additionally requested from institutions of higher education.</w:t>
      </w:r>
    </w:p>
    <w:p w14:paraId="6791DB0F" w14:textId="77777777" w:rsidR="00ED16B1" w:rsidRPr="003C0DF0" w:rsidRDefault="00ED16B1" w:rsidP="00DE5551">
      <w:pPr>
        <w:spacing w:after="0" w:line="240" w:lineRule="auto"/>
        <w:ind w:firstLine="709"/>
        <w:jc w:val="both"/>
        <w:rPr>
          <w:rFonts w:ascii="Times New Roman" w:hAnsi="Times New Roman"/>
          <w:noProof/>
          <w:sz w:val="24"/>
          <w:szCs w:val="26"/>
        </w:rPr>
      </w:pPr>
      <w:r w:rsidRPr="003C0DF0">
        <w:rPr>
          <w:rFonts w:ascii="Times New Roman" w:hAnsi="Times New Roman"/>
          <w:noProof/>
          <w:sz w:val="24"/>
        </w:rPr>
        <w:t>Performance funding in 2015 will be distributed equally among the allocation criteria, i.e., funding for each criterion will account for 1/3 of the total performance funding EUR 5,500,000 or approximately EUR 1.8 million. The approach is based on the following considerations:</w:t>
      </w:r>
    </w:p>
    <w:p w14:paraId="618DCD9A" w14:textId="77777777" w:rsidR="00ED16B1" w:rsidRPr="003C0DF0" w:rsidRDefault="00ED16B1" w:rsidP="00DE5551">
      <w:pPr>
        <w:spacing w:after="0" w:line="240" w:lineRule="auto"/>
        <w:ind w:firstLine="709"/>
        <w:contextualSpacing/>
        <w:jc w:val="both"/>
        <w:rPr>
          <w:rFonts w:ascii="Times New Roman" w:hAnsi="Times New Roman"/>
          <w:noProof/>
          <w:sz w:val="24"/>
          <w:szCs w:val="26"/>
        </w:rPr>
      </w:pPr>
      <w:r w:rsidRPr="003C0DF0">
        <w:rPr>
          <w:rFonts w:ascii="Times New Roman" w:hAnsi="Times New Roman"/>
          <w:noProof/>
          <w:sz w:val="24"/>
        </w:rPr>
        <w:t>1) all components of the indicators are given an equally important priority by giving equal weight to each objective to be achieved and criterion. This will contribute to a balanced research-based higher education performance development, and reduce the adverse effects of the policy instrument. Equal weight in all criteria is the “starting position” for launching of performance funding. Further weight ratio of the criteria will be created according to the policy priorities and the total increase in performance funding;</w:t>
      </w:r>
    </w:p>
    <w:p w14:paraId="18157027" w14:textId="77777777" w:rsidR="00ED16B1" w:rsidRPr="003C0DF0" w:rsidRDefault="00ED16B1" w:rsidP="00DE5551">
      <w:pPr>
        <w:spacing w:after="0" w:line="240" w:lineRule="auto"/>
        <w:ind w:firstLine="709"/>
        <w:contextualSpacing/>
        <w:jc w:val="both"/>
        <w:rPr>
          <w:rFonts w:ascii="Times New Roman" w:hAnsi="Times New Roman"/>
          <w:noProof/>
          <w:sz w:val="24"/>
          <w:szCs w:val="26"/>
        </w:rPr>
      </w:pPr>
      <w:r w:rsidRPr="003C0DF0">
        <w:rPr>
          <w:rFonts w:ascii="Times New Roman" w:hAnsi="Times New Roman"/>
          <w:noProof/>
          <w:sz w:val="24"/>
        </w:rPr>
        <w:t>2) equal access to performance analysis of institutions is ensured, because performance in one criterion does not have an impact on (is not applied to) performance evaluation in other criteria;</w:t>
      </w:r>
    </w:p>
    <w:p w14:paraId="13F54BBA" w14:textId="77777777" w:rsidR="006E539B" w:rsidRPr="003C0DF0" w:rsidRDefault="00ED16B1" w:rsidP="00DE5551">
      <w:pPr>
        <w:spacing w:after="0" w:line="240" w:lineRule="auto"/>
        <w:ind w:firstLine="709"/>
        <w:contextualSpacing/>
        <w:jc w:val="both"/>
        <w:rPr>
          <w:rFonts w:ascii="Times New Roman" w:hAnsi="Times New Roman"/>
          <w:noProof/>
          <w:sz w:val="24"/>
          <w:szCs w:val="26"/>
        </w:rPr>
      </w:pPr>
      <w:r w:rsidRPr="003C0DF0">
        <w:rPr>
          <w:rFonts w:ascii="Times New Roman" w:hAnsi="Times New Roman"/>
          <w:noProof/>
          <w:sz w:val="24"/>
        </w:rPr>
        <w:t>3) the set objectives and criteria ensure a balanced approach to evaluation of research results and reflect the diversity of the sector.</w:t>
      </w:r>
    </w:p>
    <w:p w14:paraId="00DD5A07" w14:textId="0E37F66C" w:rsidR="00ED16B1" w:rsidRPr="003C0DF0" w:rsidRDefault="00ED16B1" w:rsidP="00DE5551">
      <w:pPr>
        <w:spacing w:after="0" w:line="240" w:lineRule="auto"/>
        <w:ind w:firstLine="709"/>
        <w:contextualSpacing/>
        <w:jc w:val="both"/>
        <w:rPr>
          <w:rFonts w:ascii="Times New Roman" w:hAnsi="Times New Roman"/>
          <w:noProof/>
          <w:sz w:val="24"/>
          <w:szCs w:val="26"/>
        </w:rPr>
      </w:pPr>
    </w:p>
    <w:p w14:paraId="46D36EDF" w14:textId="77777777" w:rsidR="00ED16B1" w:rsidRPr="003C0DF0" w:rsidRDefault="00ED16B1" w:rsidP="00DE5551">
      <w:pPr>
        <w:spacing w:after="0" w:line="240" w:lineRule="auto"/>
        <w:ind w:firstLine="709"/>
        <w:jc w:val="both"/>
        <w:rPr>
          <w:rFonts w:ascii="Times New Roman" w:hAnsi="Times New Roman"/>
          <w:noProof/>
          <w:sz w:val="24"/>
          <w:szCs w:val="26"/>
        </w:rPr>
      </w:pPr>
      <w:r w:rsidRPr="003C0DF0">
        <w:rPr>
          <w:rFonts w:ascii="Times New Roman" w:hAnsi="Times New Roman"/>
          <w:noProof/>
          <w:sz w:val="24"/>
        </w:rPr>
        <w:t>Allocation for each institution of higher education will be calculated according to the contribution of the institution of higher education in promotion of value in each criterion. For example, if an institution of higher education has provided 15 % of the total number of the employed master and doctoral students and young scientists in 2014, the institution of higher education will receive 15 % of the total funding in this criterion.</w:t>
      </w:r>
    </w:p>
    <w:p w14:paraId="385140EC" w14:textId="77777777" w:rsidR="00ED16B1" w:rsidRPr="003C0DF0" w:rsidRDefault="00ED16B1" w:rsidP="00DE5551">
      <w:pPr>
        <w:spacing w:after="0" w:line="240" w:lineRule="auto"/>
        <w:ind w:firstLine="709"/>
        <w:jc w:val="both"/>
        <w:rPr>
          <w:rFonts w:ascii="Times New Roman" w:hAnsi="Times New Roman"/>
          <w:noProof/>
          <w:sz w:val="24"/>
          <w:szCs w:val="26"/>
        </w:rPr>
      </w:pPr>
      <w:r w:rsidRPr="003C0DF0">
        <w:rPr>
          <w:rFonts w:ascii="Times New Roman" w:hAnsi="Times New Roman"/>
          <w:noProof/>
          <w:sz w:val="24"/>
        </w:rPr>
        <w:t>Objectives and criteria are mutually supplementing – success of an institution in one of the criteria has a positive impact on its performance in other criteria. Thus, performance funding will promote balanced development, mutual competition, and striving for excellence of scientific activity of institutions of higher education. As a result a positive trend will be ensured in the overall research performance. Concurrently it is ensured that the funding planned in the budget sub-programme is completely used, because allocation is determined by the relative performance ratio, and the allocation does not have a ceiling.</w:t>
      </w:r>
    </w:p>
    <w:p w14:paraId="20346FDC" w14:textId="005E329F" w:rsidR="00ED16B1" w:rsidRPr="003C0DF0" w:rsidRDefault="00ED16B1" w:rsidP="00DE5551">
      <w:pPr>
        <w:spacing w:after="0" w:line="240" w:lineRule="auto"/>
        <w:ind w:firstLine="709"/>
        <w:jc w:val="both"/>
        <w:rPr>
          <w:rFonts w:ascii="Times New Roman" w:hAnsi="Times New Roman"/>
          <w:noProof/>
          <w:sz w:val="24"/>
          <w:szCs w:val="26"/>
        </w:rPr>
      </w:pPr>
      <w:r w:rsidRPr="003C0DF0">
        <w:rPr>
          <w:rStyle w:val="FontStyle50"/>
          <w:rFonts w:ascii="Times New Roman" w:hAnsi="Times New Roman" w:cs="Times New Roman"/>
          <w:noProof/>
          <w:color w:val="auto"/>
          <w:sz w:val="24"/>
        </w:rPr>
        <w:t>During the time period 2015</w:t>
      </w:r>
      <w:r w:rsidRPr="003C0DF0">
        <w:rPr>
          <w:rFonts w:ascii="Times New Roman" w:hAnsi="Times New Roman"/>
          <w:noProof/>
          <w:sz w:val="24"/>
        </w:rPr>
        <w:t xml:space="preserve">-2017 financing of the second pillar component </w:t>
      </w:r>
      <w:r w:rsidRPr="003C0DF0">
        <w:rPr>
          <w:rFonts w:ascii="Times New Roman" w:hAnsi="Times New Roman"/>
          <w:b/>
          <w:noProof/>
          <w:sz w:val="24"/>
        </w:rPr>
        <w:t>F</w:t>
      </w:r>
      <w:r w:rsidRPr="003C0DF0">
        <w:rPr>
          <w:rFonts w:ascii="Times New Roman" w:hAnsi="Times New Roman"/>
          <w:b/>
          <w:noProof/>
          <w:sz w:val="24"/>
          <w:vertAlign w:val="subscript"/>
        </w:rPr>
        <w:t>2</w:t>
      </w:r>
      <w:r w:rsidRPr="003C0DF0">
        <w:rPr>
          <w:rFonts w:ascii="Times New Roman" w:hAnsi="Times New Roman"/>
          <w:b/>
          <w:noProof/>
          <w:sz w:val="24"/>
          <w:vertAlign w:val="superscript"/>
        </w:rPr>
        <w:t>z</w:t>
      </w:r>
      <w:r w:rsidRPr="003C0DF0">
        <w:rPr>
          <w:rStyle w:val="FontStyle50"/>
          <w:rFonts w:ascii="Times New Roman" w:hAnsi="Times New Roman" w:cs="Times New Roman"/>
          <w:noProof/>
          <w:color w:val="auto"/>
          <w:sz w:val="24"/>
        </w:rPr>
        <w:t xml:space="preserve"> </w:t>
      </w:r>
      <w:r w:rsidRPr="003C0DF0">
        <w:rPr>
          <w:rFonts w:ascii="Times New Roman" w:hAnsi="Times New Roman"/>
          <w:noProof/>
          <w:sz w:val="24"/>
        </w:rPr>
        <w:t xml:space="preserve">will be carried out, using the funds available in the budget sub-programme 03.03.00 </w:t>
      </w:r>
      <w:r w:rsidRPr="003C0DF0">
        <w:rPr>
          <w:rFonts w:ascii="Times New Roman" w:hAnsi="Times New Roman"/>
          <w:i/>
          <w:noProof/>
          <w:sz w:val="24"/>
        </w:rPr>
        <w:t>Development of Scientific Activity in Institutions of Higher Education and Colleges.</w:t>
      </w:r>
      <w:r w:rsidRPr="003C0DF0">
        <w:rPr>
          <w:rFonts w:ascii="Times New Roman" w:hAnsi="Times New Roman"/>
          <w:noProof/>
          <w:sz w:val="24"/>
        </w:rPr>
        <w:t xml:space="preserve"> The funds to be allocated to each institution of higher education </w:t>
      </w:r>
      <w:r w:rsidRPr="003C0DF0">
        <w:rPr>
          <w:rFonts w:ascii="Times New Roman" w:hAnsi="Times New Roman"/>
          <w:b/>
          <w:noProof/>
          <w:sz w:val="24"/>
        </w:rPr>
        <w:t>F</w:t>
      </w:r>
      <w:r w:rsidRPr="003C0DF0">
        <w:rPr>
          <w:rFonts w:ascii="Times New Roman" w:hAnsi="Times New Roman"/>
          <w:b/>
          <w:noProof/>
          <w:sz w:val="24"/>
          <w:vertAlign w:val="subscript"/>
        </w:rPr>
        <w:t>att</w:t>
      </w:r>
      <w:r w:rsidRPr="003C0DF0">
        <w:rPr>
          <w:rFonts w:ascii="Times New Roman" w:hAnsi="Times New Roman"/>
          <w:noProof/>
          <w:sz w:val="24"/>
        </w:rPr>
        <w:t xml:space="preserve"> will be calculated according to the formula incorporated in Cabinet Regulation No. 994:</w:t>
      </w:r>
    </w:p>
    <w:p w14:paraId="74340343" w14:textId="77777777" w:rsidR="00DE5551" w:rsidRPr="003C0DF0" w:rsidRDefault="00DE5551" w:rsidP="00DE5551">
      <w:pPr>
        <w:spacing w:after="0" w:line="240" w:lineRule="auto"/>
        <w:ind w:firstLine="709"/>
        <w:jc w:val="both"/>
        <w:rPr>
          <w:rFonts w:ascii="Times New Roman" w:hAnsi="Times New Roman"/>
          <w:noProof/>
          <w:sz w:val="24"/>
          <w:szCs w:val="26"/>
        </w:rPr>
      </w:pPr>
    </w:p>
    <w:p w14:paraId="16B40166" w14:textId="77777777" w:rsidR="00ED16B1" w:rsidRPr="003C0DF0" w:rsidRDefault="00635E80" w:rsidP="006E539B">
      <w:pPr>
        <w:spacing w:after="0" w:line="240" w:lineRule="auto"/>
        <w:jc w:val="both"/>
        <w:rPr>
          <w:rFonts w:ascii="Times New Roman" w:hAnsi="Times New Roman"/>
          <w:i/>
          <w:noProof/>
          <w:sz w:val="24"/>
          <w:szCs w:val="26"/>
        </w:rPr>
      </w:pPr>
      <m:oMathPara>
        <m:oMath>
          <m:sSub>
            <m:sSubPr>
              <m:ctrlPr>
                <w:rPr>
                  <w:rFonts w:ascii="Cambria Math" w:hAnsi="Cambria Math"/>
                  <w:i/>
                  <w:noProof/>
                  <w:sz w:val="24"/>
                  <w:szCs w:val="26"/>
                </w:rPr>
              </m:ctrlPr>
            </m:sSubPr>
            <m:e>
              <m:r>
                <w:rPr>
                  <w:rFonts w:ascii="Cambria Math" w:hAnsi="Cambria Math"/>
                  <w:noProof/>
                  <w:sz w:val="24"/>
                  <w:szCs w:val="26"/>
                </w:rPr>
                <m:t>F</m:t>
              </m:r>
            </m:e>
            <m:sub>
              <m:sSup>
                <m:sSupPr>
                  <m:ctrlPr>
                    <w:rPr>
                      <w:rFonts w:ascii="Cambria Math" w:hAnsi="Cambria Math"/>
                      <w:i/>
                      <w:noProof/>
                      <w:sz w:val="24"/>
                      <w:szCs w:val="26"/>
                    </w:rPr>
                  </m:ctrlPr>
                </m:sSupPr>
                <m:e>
                  <m:r>
                    <w:rPr>
                      <w:rFonts w:ascii="Cambria Math" w:hAnsi="Cambria Math"/>
                      <w:noProof/>
                      <w:sz w:val="24"/>
                      <w:szCs w:val="26"/>
                    </w:rPr>
                    <m:t>2</m:t>
                  </m:r>
                </m:e>
                <m:sup>
                  <m:r>
                    <w:rPr>
                      <w:rFonts w:ascii="Cambria Math" w:hAnsi="Cambria Math"/>
                      <w:noProof/>
                      <w:sz w:val="24"/>
                      <w:szCs w:val="26"/>
                    </w:rPr>
                    <m:t>z</m:t>
                  </m:r>
                </m:sup>
              </m:sSup>
            </m:sub>
          </m:sSub>
          <m:r>
            <w:rPr>
              <w:rFonts w:ascii="Cambria Math" w:hAnsi="Cambria Math"/>
              <w:noProof/>
              <w:sz w:val="24"/>
              <w:szCs w:val="26"/>
            </w:rPr>
            <m:t>=</m:t>
          </m:r>
          <m:sSub>
            <m:sSubPr>
              <m:ctrlPr>
                <w:rPr>
                  <w:rFonts w:ascii="Cambria Math" w:hAnsi="Cambria Math"/>
                  <w:i/>
                  <w:noProof/>
                  <w:sz w:val="24"/>
                  <w:szCs w:val="26"/>
                </w:rPr>
              </m:ctrlPr>
            </m:sSubPr>
            <m:e>
              <m:r>
                <w:rPr>
                  <w:rFonts w:ascii="Cambria Math" w:hAnsi="Cambria Math"/>
                  <w:noProof/>
                  <w:sz w:val="24"/>
                  <w:szCs w:val="26"/>
                </w:rPr>
                <m:t>F</m:t>
              </m:r>
            </m:e>
            <m:sub>
              <m:r>
                <w:rPr>
                  <w:rFonts w:ascii="Cambria Math" w:hAnsi="Cambria Math"/>
                  <w:noProof/>
                  <w:sz w:val="24"/>
                  <w:szCs w:val="26"/>
                </w:rPr>
                <m:t>att</m:t>
              </m:r>
            </m:sub>
          </m:sSub>
          <m:d>
            <m:dPr>
              <m:ctrlPr>
                <w:rPr>
                  <w:rFonts w:ascii="Cambria Math" w:hAnsi="Cambria Math"/>
                  <w:i/>
                  <w:noProof/>
                  <w:sz w:val="24"/>
                  <w:szCs w:val="26"/>
                </w:rPr>
              </m:ctrlPr>
            </m:dPr>
            <m:e>
              <m:f>
                <m:fPr>
                  <m:ctrlPr>
                    <w:rPr>
                      <w:rFonts w:ascii="Cambria Math" w:hAnsi="Cambria Math"/>
                      <w:i/>
                      <w:noProof/>
                      <w:sz w:val="24"/>
                      <w:szCs w:val="26"/>
                    </w:rPr>
                  </m:ctrlPr>
                </m:fPr>
                <m:num>
                  <m:d>
                    <m:dPr>
                      <m:ctrlPr>
                        <w:rPr>
                          <w:rFonts w:ascii="Cambria Math" w:hAnsi="Cambria Math"/>
                          <w:i/>
                          <w:noProof/>
                          <w:sz w:val="24"/>
                          <w:szCs w:val="26"/>
                        </w:rPr>
                      </m:ctrlPr>
                    </m:dPr>
                    <m:e>
                      <m:f>
                        <m:fPr>
                          <m:ctrlPr>
                            <w:rPr>
                              <w:rFonts w:ascii="Cambria Math" w:hAnsi="Cambria Math"/>
                              <w:i/>
                              <w:noProof/>
                              <w:sz w:val="24"/>
                              <w:szCs w:val="26"/>
                            </w:rPr>
                          </m:ctrlPr>
                        </m:fPr>
                        <m:num>
                          <m:r>
                            <w:rPr>
                              <w:rFonts w:ascii="Cambria Math" w:hAnsi="Cambria Math"/>
                              <w:noProof/>
                              <w:sz w:val="24"/>
                              <w:szCs w:val="26"/>
                            </w:rPr>
                            <m:t>P</m:t>
                          </m:r>
                        </m:num>
                        <m:den>
                          <m:r>
                            <w:rPr>
                              <w:rFonts w:ascii="Cambria Math" w:hAnsi="Cambria Math"/>
                              <w:noProof/>
                              <w:sz w:val="24"/>
                              <w:szCs w:val="26"/>
                            </w:rPr>
                            <m:t>∑P</m:t>
                          </m:r>
                        </m:den>
                      </m:f>
                    </m:e>
                  </m:d>
                  <m:r>
                    <w:rPr>
                      <w:rFonts w:ascii="Cambria Math" w:hAnsi="Cambria Math"/>
                      <w:noProof/>
                      <w:sz w:val="24"/>
                      <w:szCs w:val="26"/>
                    </w:rPr>
                    <m:t>+</m:t>
                  </m:r>
                  <m:d>
                    <m:dPr>
                      <m:ctrlPr>
                        <w:rPr>
                          <w:rFonts w:ascii="Cambria Math" w:hAnsi="Cambria Math"/>
                          <w:i/>
                          <w:noProof/>
                          <w:sz w:val="24"/>
                          <w:szCs w:val="26"/>
                        </w:rPr>
                      </m:ctrlPr>
                    </m:dPr>
                    <m:e>
                      <m:f>
                        <m:fPr>
                          <m:ctrlPr>
                            <w:rPr>
                              <w:rFonts w:ascii="Cambria Math" w:hAnsi="Cambria Math"/>
                              <w:i/>
                              <w:noProof/>
                              <w:sz w:val="24"/>
                              <w:szCs w:val="26"/>
                            </w:rPr>
                          </m:ctrlPr>
                        </m:fPr>
                        <m:num>
                          <m:r>
                            <w:rPr>
                              <w:rFonts w:ascii="Cambria Math" w:hAnsi="Cambria Math"/>
                              <w:noProof/>
                              <w:sz w:val="24"/>
                              <w:szCs w:val="26"/>
                            </w:rPr>
                            <m:t>S</m:t>
                          </m:r>
                        </m:num>
                        <m:den>
                          <m:r>
                            <w:rPr>
                              <w:rFonts w:ascii="Cambria Math" w:hAnsi="Cambria Math"/>
                              <w:noProof/>
                              <w:sz w:val="24"/>
                              <w:szCs w:val="26"/>
                            </w:rPr>
                            <m:t>∑S</m:t>
                          </m:r>
                        </m:den>
                      </m:f>
                    </m:e>
                  </m:d>
                  <m:r>
                    <w:rPr>
                      <w:rFonts w:ascii="Cambria Math" w:hAnsi="Cambria Math"/>
                      <w:noProof/>
                      <w:sz w:val="24"/>
                      <w:szCs w:val="26"/>
                    </w:rPr>
                    <m:t>+</m:t>
                  </m:r>
                  <m:d>
                    <m:dPr>
                      <m:ctrlPr>
                        <w:rPr>
                          <w:rFonts w:ascii="Cambria Math" w:hAnsi="Cambria Math"/>
                          <w:i/>
                          <w:noProof/>
                          <w:sz w:val="24"/>
                          <w:szCs w:val="26"/>
                        </w:rPr>
                      </m:ctrlPr>
                    </m:dPr>
                    <m:e>
                      <m:f>
                        <m:fPr>
                          <m:ctrlPr>
                            <w:rPr>
                              <w:rFonts w:ascii="Cambria Math" w:hAnsi="Cambria Math"/>
                              <w:i/>
                              <w:noProof/>
                              <w:sz w:val="24"/>
                              <w:szCs w:val="26"/>
                            </w:rPr>
                          </m:ctrlPr>
                        </m:fPr>
                        <m:num>
                          <m:r>
                            <w:rPr>
                              <w:rFonts w:ascii="Cambria Math" w:hAnsi="Cambria Math"/>
                              <w:noProof/>
                              <w:sz w:val="24"/>
                              <w:szCs w:val="26"/>
                            </w:rPr>
                            <m:t>L</m:t>
                          </m:r>
                        </m:num>
                        <m:den>
                          <m:r>
                            <w:rPr>
                              <w:rFonts w:ascii="Cambria Math" w:hAnsi="Cambria Math"/>
                              <w:noProof/>
                              <w:sz w:val="24"/>
                              <w:szCs w:val="26"/>
                            </w:rPr>
                            <m:t>∑L</m:t>
                          </m:r>
                        </m:den>
                      </m:f>
                    </m:e>
                  </m:d>
                </m:num>
                <m:den>
                  <m:r>
                    <w:rPr>
                      <w:rFonts w:ascii="Cambria Math" w:hAnsi="Cambria Math"/>
                      <w:noProof/>
                      <w:sz w:val="24"/>
                      <w:szCs w:val="26"/>
                    </w:rPr>
                    <m:t>3</m:t>
                  </m:r>
                </m:den>
              </m:f>
            </m:e>
          </m:d>
        </m:oMath>
      </m:oMathPara>
    </w:p>
    <w:p w14:paraId="12A65B8E" w14:textId="77777777" w:rsidR="00ED16B1" w:rsidRPr="003C0DF0" w:rsidRDefault="00ED16B1" w:rsidP="00DE5551">
      <w:pPr>
        <w:spacing w:after="0" w:line="240" w:lineRule="auto"/>
        <w:ind w:firstLine="709"/>
        <w:jc w:val="both"/>
        <w:rPr>
          <w:rFonts w:ascii="Times New Roman" w:hAnsi="Times New Roman"/>
          <w:noProof/>
          <w:sz w:val="24"/>
          <w:szCs w:val="26"/>
        </w:rPr>
      </w:pPr>
      <w:r w:rsidRPr="003C0DF0">
        <w:rPr>
          <w:rFonts w:ascii="Times New Roman" w:hAnsi="Times New Roman"/>
          <w:noProof/>
          <w:sz w:val="24"/>
        </w:rPr>
        <w:t>where</w:t>
      </w:r>
    </w:p>
    <w:p w14:paraId="13132497" w14:textId="77777777" w:rsidR="00ED16B1" w:rsidRPr="003C0DF0" w:rsidRDefault="00ED16B1" w:rsidP="00DE5551">
      <w:pPr>
        <w:spacing w:after="0" w:line="240" w:lineRule="auto"/>
        <w:ind w:firstLine="709"/>
        <w:jc w:val="both"/>
        <w:rPr>
          <w:rFonts w:ascii="Times New Roman" w:hAnsi="Times New Roman"/>
          <w:noProof/>
          <w:sz w:val="24"/>
          <w:szCs w:val="26"/>
        </w:rPr>
      </w:pPr>
      <w:r w:rsidRPr="003C0DF0">
        <w:rPr>
          <w:rFonts w:ascii="Times New Roman" w:hAnsi="Times New Roman"/>
          <w:noProof/>
          <w:sz w:val="24"/>
        </w:rPr>
        <w:t>F</w:t>
      </w:r>
      <w:r w:rsidRPr="003C0DF0">
        <w:rPr>
          <w:rFonts w:ascii="Times New Roman" w:hAnsi="Times New Roman"/>
          <w:noProof/>
          <w:sz w:val="24"/>
          <w:vertAlign w:val="subscript"/>
        </w:rPr>
        <w:t>2</w:t>
      </w:r>
      <w:r w:rsidRPr="003C0DF0">
        <w:rPr>
          <w:rFonts w:ascii="Times New Roman" w:hAnsi="Times New Roman"/>
          <w:noProof/>
          <w:sz w:val="24"/>
          <w:vertAlign w:val="superscript"/>
        </w:rPr>
        <w:t>z</w:t>
      </w:r>
      <w:r w:rsidRPr="003C0DF0">
        <w:rPr>
          <w:rFonts w:ascii="Times New Roman" w:hAnsi="Times New Roman"/>
          <w:noProof/>
          <w:sz w:val="24"/>
        </w:rPr>
        <w:t> – amount of funds to be allocated to an institution of higher education;</w:t>
      </w:r>
    </w:p>
    <w:p w14:paraId="606F6BB4" w14:textId="07AE728B" w:rsidR="00ED16B1" w:rsidRPr="003C0DF0" w:rsidRDefault="00ED16B1" w:rsidP="00DE5551">
      <w:pPr>
        <w:spacing w:after="0" w:line="240" w:lineRule="auto"/>
        <w:ind w:firstLine="709"/>
        <w:jc w:val="both"/>
        <w:rPr>
          <w:rFonts w:ascii="Times New Roman" w:hAnsi="Times New Roman"/>
          <w:noProof/>
          <w:sz w:val="24"/>
          <w:szCs w:val="26"/>
        </w:rPr>
      </w:pPr>
      <w:r w:rsidRPr="003C0DF0">
        <w:rPr>
          <w:rFonts w:ascii="Times New Roman" w:hAnsi="Times New Roman"/>
          <w:noProof/>
          <w:sz w:val="24"/>
        </w:rPr>
        <w:t>F</w:t>
      </w:r>
      <w:r w:rsidRPr="003C0DF0">
        <w:rPr>
          <w:rFonts w:ascii="Times New Roman" w:hAnsi="Times New Roman"/>
          <w:noProof/>
          <w:sz w:val="24"/>
          <w:vertAlign w:val="subscript"/>
        </w:rPr>
        <w:t>att </w:t>
      </w:r>
      <w:r w:rsidRPr="003C0DF0">
        <w:rPr>
          <w:rFonts w:ascii="Times New Roman" w:hAnsi="Times New Roman"/>
          <w:noProof/>
          <w:sz w:val="24"/>
        </w:rPr>
        <w:t xml:space="preserve">– funding in sub-programme 03.03.00 </w:t>
      </w:r>
      <w:r w:rsidRPr="003C0DF0">
        <w:rPr>
          <w:rFonts w:ascii="Times New Roman" w:hAnsi="Times New Roman"/>
          <w:i/>
          <w:noProof/>
          <w:sz w:val="24"/>
        </w:rPr>
        <w:t xml:space="preserve">Development of Scientific Activity in Institutions of Higher Education and Colleges </w:t>
      </w:r>
      <w:r w:rsidRPr="003C0DF0">
        <w:rPr>
          <w:rFonts w:ascii="Times New Roman" w:hAnsi="Times New Roman"/>
          <w:noProof/>
          <w:sz w:val="24"/>
        </w:rPr>
        <w:t>in the respective calendar year</w:t>
      </w:r>
    </w:p>
    <w:p w14:paraId="2D83B0BC" w14:textId="77777777" w:rsidR="00ED16B1" w:rsidRPr="003C0DF0" w:rsidRDefault="00ED16B1" w:rsidP="00DE5551">
      <w:pPr>
        <w:spacing w:after="0" w:line="240" w:lineRule="auto"/>
        <w:ind w:firstLine="709"/>
        <w:jc w:val="both"/>
        <w:rPr>
          <w:rFonts w:ascii="Times New Roman" w:hAnsi="Times New Roman"/>
          <w:noProof/>
          <w:sz w:val="24"/>
          <w:szCs w:val="26"/>
        </w:rPr>
      </w:pPr>
      <w:r w:rsidRPr="003C0DF0">
        <w:rPr>
          <w:rFonts w:ascii="Times New Roman" w:hAnsi="Times New Roman"/>
          <w:noProof/>
          <w:sz w:val="24"/>
        </w:rPr>
        <w:t>P – master and doctoral students employed as researchers in institutions of higher education, as well as researchers who during the past five years have acquired master or doctoral degree in terms of FTE;</w:t>
      </w:r>
    </w:p>
    <w:p w14:paraId="301FD5B1" w14:textId="77777777" w:rsidR="00ED16B1" w:rsidRPr="003C0DF0" w:rsidRDefault="00ED16B1" w:rsidP="00DE5551">
      <w:pPr>
        <w:spacing w:after="0" w:line="240" w:lineRule="auto"/>
        <w:ind w:firstLine="709"/>
        <w:jc w:val="both"/>
        <w:rPr>
          <w:rFonts w:ascii="Times New Roman" w:hAnsi="Times New Roman"/>
          <w:noProof/>
          <w:sz w:val="24"/>
          <w:szCs w:val="26"/>
        </w:rPr>
      </w:pPr>
      <w:r w:rsidRPr="003C0DF0">
        <w:rPr>
          <w:rFonts w:ascii="Times New Roman" w:hAnsi="Times New Roman"/>
          <w:noProof/>
          <w:sz w:val="24"/>
        </w:rPr>
        <w:lastRenderedPageBreak/>
        <w:t>∑P – total number of master and doctoral students employed as researchers, as well as researchers who during the past five years have acquired master or doctoral degree in terms of FTE;</w:t>
      </w:r>
    </w:p>
    <w:p w14:paraId="5055C662" w14:textId="77777777" w:rsidR="00ED16B1" w:rsidRPr="003C0DF0" w:rsidRDefault="00ED16B1" w:rsidP="00DE5551">
      <w:pPr>
        <w:spacing w:after="0" w:line="240" w:lineRule="auto"/>
        <w:ind w:firstLine="709"/>
        <w:jc w:val="both"/>
        <w:rPr>
          <w:rFonts w:ascii="Times New Roman" w:hAnsi="Times New Roman"/>
          <w:noProof/>
          <w:sz w:val="24"/>
          <w:szCs w:val="26"/>
        </w:rPr>
      </w:pPr>
      <w:r w:rsidRPr="003C0DF0">
        <w:rPr>
          <w:rFonts w:ascii="Times New Roman" w:hAnsi="Times New Roman"/>
          <w:noProof/>
          <w:sz w:val="24"/>
        </w:rPr>
        <w:t>S – funding acquired within the framework of research and development projects implemented by the institution of higher education in the European Union Framework Programme and in other international research project competitions;</w:t>
      </w:r>
    </w:p>
    <w:p w14:paraId="05A88AB3" w14:textId="77777777" w:rsidR="00ED16B1" w:rsidRPr="003C0DF0" w:rsidRDefault="00ED16B1" w:rsidP="00DE5551">
      <w:pPr>
        <w:spacing w:after="0" w:line="240" w:lineRule="auto"/>
        <w:ind w:firstLine="709"/>
        <w:jc w:val="both"/>
        <w:rPr>
          <w:rFonts w:ascii="Times New Roman" w:hAnsi="Times New Roman"/>
          <w:noProof/>
          <w:sz w:val="24"/>
          <w:szCs w:val="26"/>
        </w:rPr>
      </w:pPr>
      <w:r w:rsidRPr="003C0DF0">
        <w:rPr>
          <w:rFonts w:ascii="Times New Roman" w:hAnsi="Times New Roman"/>
          <w:noProof/>
          <w:sz w:val="24"/>
        </w:rPr>
        <w:t>∑S – total funding acquired by institutions of higher education within the framework of research and development projects in the European Union Framework Programme and in other international research project competitions;</w:t>
      </w:r>
    </w:p>
    <w:p w14:paraId="2DDDBA7D" w14:textId="77777777" w:rsidR="00ED16B1" w:rsidRPr="003C0DF0" w:rsidRDefault="00ED16B1" w:rsidP="00DE5551">
      <w:pPr>
        <w:spacing w:after="0" w:line="240" w:lineRule="auto"/>
        <w:ind w:firstLine="709"/>
        <w:jc w:val="both"/>
        <w:rPr>
          <w:rFonts w:ascii="Times New Roman" w:hAnsi="Times New Roman"/>
          <w:noProof/>
          <w:sz w:val="24"/>
          <w:szCs w:val="26"/>
        </w:rPr>
      </w:pPr>
      <w:r w:rsidRPr="003C0DF0">
        <w:rPr>
          <w:rFonts w:ascii="Times New Roman" w:hAnsi="Times New Roman"/>
          <w:noProof/>
          <w:sz w:val="24"/>
        </w:rPr>
        <w:t>L – funding attracted within the scope of research and development projects implemented in the institution of higher education upon an order of the industry, including contract work with merchants;</w:t>
      </w:r>
    </w:p>
    <w:p w14:paraId="2E480F80" w14:textId="77777777" w:rsidR="00ED16B1" w:rsidRPr="003C0DF0" w:rsidRDefault="00ED16B1" w:rsidP="00DE5551">
      <w:pPr>
        <w:spacing w:after="0" w:line="240" w:lineRule="auto"/>
        <w:ind w:firstLine="709"/>
        <w:jc w:val="both"/>
        <w:rPr>
          <w:rFonts w:ascii="Times New Roman" w:hAnsi="Times New Roman"/>
          <w:noProof/>
          <w:sz w:val="24"/>
          <w:szCs w:val="26"/>
        </w:rPr>
      </w:pPr>
      <w:r w:rsidRPr="003C0DF0">
        <w:rPr>
          <w:rFonts w:ascii="Times New Roman" w:hAnsi="Times New Roman"/>
          <w:noProof/>
          <w:sz w:val="24"/>
        </w:rPr>
        <w:t>∑L – total funding attracted by institutions of higher education in research and development projects implemented upon an order of the industry, including contract work with merchants.</w:t>
      </w:r>
    </w:p>
    <w:p w14:paraId="0DC1E736" w14:textId="77777777" w:rsidR="00DE5551" w:rsidRPr="003C0DF0" w:rsidRDefault="00DE5551" w:rsidP="00DE5551">
      <w:pPr>
        <w:spacing w:after="0" w:line="240" w:lineRule="auto"/>
        <w:ind w:firstLine="709"/>
        <w:jc w:val="both"/>
        <w:rPr>
          <w:rFonts w:ascii="Times New Roman" w:hAnsi="Times New Roman"/>
          <w:noProof/>
          <w:sz w:val="24"/>
          <w:szCs w:val="26"/>
        </w:rPr>
      </w:pPr>
    </w:p>
    <w:p w14:paraId="3A6387B3" w14:textId="4F8EBA82" w:rsidR="006E539B" w:rsidRPr="003C0DF0" w:rsidRDefault="00ED16B1" w:rsidP="00DE5551">
      <w:pPr>
        <w:spacing w:after="0" w:line="240" w:lineRule="auto"/>
        <w:ind w:firstLine="709"/>
        <w:jc w:val="both"/>
        <w:rPr>
          <w:rFonts w:ascii="Times New Roman" w:hAnsi="Times New Roman"/>
          <w:noProof/>
          <w:sz w:val="24"/>
          <w:szCs w:val="26"/>
        </w:rPr>
      </w:pPr>
      <w:r w:rsidRPr="003C0DF0">
        <w:rPr>
          <w:rFonts w:ascii="Times New Roman" w:hAnsi="Times New Roman"/>
          <w:noProof/>
          <w:sz w:val="24"/>
        </w:rPr>
        <w:t>As shown by the abovementioned principle, the ministry will determine the funding depending on the relative performance indicators of institutions of higher education, comparing the overall contribution of institutions of higher education in achieving the objectives laid down in the policy. The sum of relative indicators is the development indicator of research-based higher education in institutions of higher education.</w:t>
      </w:r>
    </w:p>
    <w:p w14:paraId="6D047EC8" w14:textId="4466E4C7" w:rsidR="00ED16B1" w:rsidRPr="003C0DF0" w:rsidRDefault="00ED16B1" w:rsidP="00DE5551">
      <w:pPr>
        <w:pStyle w:val="Normal1"/>
        <w:ind w:firstLine="709"/>
        <w:jc w:val="both"/>
        <w:rPr>
          <w:rFonts w:ascii="Times New Roman" w:hAnsi="Times New Roman" w:cs="Times New Roman"/>
          <w:noProof/>
          <w:color w:val="auto"/>
          <w:szCs w:val="26"/>
        </w:rPr>
      </w:pPr>
    </w:p>
    <w:p w14:paraId="68B30886" w14:textId="77777777" w:rsidR="006E539B" w:rsidRPr="003C0DF0" w:rsidRDefault="00ED16B1" w:rsidP="00DE5551">
      <w:pPr>
        <w:spacing w:after="0" w:line="240" w:lineRule="auto"/>
        <w:ind w:firstLine="709"/>
        <w:jc w:val="both"/>
        <w:rPr>
          <w:rFonts w:ascii="Times New Roman" w:eastAsia="Times New Roman" w:hAnsi="Times New Roman"/>
          <w:noProof/>
          <w:sz w:val="24"/>
          <w:szCs w:val="26"/>
        </w:rPr>
      </w:pPr>
      <w:r w:rsidRPr="003C0DF0">
        <w:rPr>
          <w:rFonts w:ascii="Times New Roman" w:hAnsi="Times New Roman"/>
          <w:noProof/>
          <w:sz w:val="24"/>
        </w:rPr>
        <w:t>Taking into account the provisions of Informative Report of the ministry “On Implementation of the Latvian Structural Reforms of Science until 1 July 2015” prescribing that in 2015 the ministry will prepare amendments to Cabinet Regulation No. 1316 and the Law On Scientific Activities, as of 2016 determining the minimum amount of scientific personnel in scientific institutions, which is necessary to receive the base funding in academies of culture and art sector and the National Library of Latvia in the amount of 5 FTE, provided that the load for each member of scientific personnel is at least 10 hours per week (0.25 FTE); specific performance indicators characterising the activity of institutions of higher education of culture and arts sector according to the strategic specialisation of institutions of higher education, their research profile, and quality indicators will be determined for commencing performance funding in development of normative framework.</w:t>
      </w:r>
    </w:p>
    <w:p w14:paraId="43DC6A0D" w14:textId="1759BCF7" w:rsidR="00ED16B1" w:rsidRPr="003C0DF0" w:rsidRDefault="00ED16B1" w:rsidP="00DE5551">
      <w:pPr>
        <w:pStyle w:val="Normal1"/>
        <w:ind w:firstLine="709"/>
        <w:jc w:val="both"/>
        <w:rPr>
          <w:rFonts w:ascii="Times New Roman" w:hAnsi="Times New Roman" w:cs="Times New Roman"/>
          <w:noProof/>
          <w:color w:val="auto"/>
          <w:szCs w:val="26"/>
        </w:rPr>
      </w:pPr>
    </w:p>
    <w:p w14:paraId="36D290BA" w14:textId="6157EB9E" w:rsidR="006E539B" w:rsidRPr="003C0DF0" w:rsidRDefault="00ED16B1" w:rsidP="00DE5551">
      <w:pPr>
        <w:spacing w:after="0" w:line="240" w:lineRule="auto"/>
        <w:ind w:firstLine="709"/>
        <w:jc w:val="both"/>
        <w:rPr>
          <w:rFonts w:ascii="Times New Roman" w:hAnsi="Times New Roman"/>
          <w:noProof/>
          <w:sz w:val="24"/>
          <w:szCs w:val="26"/>
        </w:rPr>
      </w:pPr>
      <w:r w:rsidRPr="003C0DF0">
        <w:rPr>
          <w:rFonts w:ascii="Times New Roman" w:hAnsi="Times New Roman"/>
          <w:noProof/>
          <w:sz w:val="24"/>
        </w:rPr>
        <w:t>Performance funding calculation algorithm will be incorporated in Cabinet Regulation No. 994 by 1 July 2015, ensuring the necessary regulatory framework for launching the financing of research-based higher education in 2015. Funding for research-based higher education support will be granted after adoption of amendments to Cabinet Regulation No. 994 by the Cabinet, and no later than by 1 October 2015. In its calculation performance indicators for 2014 submitted by institutions of higher education and colleges will be taken into account.</w:t>
      </w:r>
    </w:p>
    <w:p w14:paraId="3A97566D" w14:textId="375AF0BF" w:rsidR="00ED16B1" w:rsidRPr="003C0DF0" w:rsidRDefault="00ED16B1" w:rsidP="00DE5551">
      <w:pPr>
        <w:spacing w:after="0" w:line="240" w:lineRule="auto"/>
        <w:ind w:firstLine="709"/>
        <w:jc w:val="both"/>
        <w:rPr>
          <w:rFonts w:ascii="Times New Roman" w:hAnsi="Times New Roman"/>
          <w:b/>
          <w:noProof/>
          <w:sz w:val="24"/>
          <w:szCs w:val="26"/>
        </w:rPr>
      </w:pPr>
      <w:r w:rsidRPr="003C0DF0">
        <w:rPr>
          <w:rFonts w:ascii="Times New Roman" w:hAnsi="Times New Roman"/>
          <w:b/>
          <w:noProof/>
          <w:sz w:val="24"/>
        </w:rPr>
        <w:t>A pre-condition for allocation of performance funding is improvement of remuneration policy of academic personnel implemented by institutions of higher education, and introduction of performance management.</w:t>
      </w:r>
    </w:p>
    <w:p w14:paraId="5ADB554F" w14:textId="77777777" w:rsidR="00ED16B1" w:rsidRPr="003C0DF0" w:rsidRDefault="00ED16B1" w:rsidP="00DE5551">
      <w:pPr>
        <w:spacing w:after="0" w:line="240" w:lineRule="auto"/>
        <w:ind w:firstLine="709"/>
        <w:jc w:val="both"/>
        <w:rPr>
          <w:rFonts w:ascii="Times New Roman" w:hAnsi="Times New Roman"/>
          <w:noProof/>
          <w:sz w:val="24"/>
          <w:szCs w:val="26"/>
        </w:rPr>
      </w:pPr>
      <w:r w:rsidRPr="003C0DF0">
        <w:rPr>
          <w:rFonts w:ascii="Times New Roman" w:hAnsi="Times New Roman"/>
          <w:noProof/>
          <w:sz w:val="24"/>
        </w:rPr>
        <w:t xml:space="preserve">According to the results of the remuneration policy study carried out by the ministry, strategies of institutions of higher education are visibly linked to the objectives (performance indicators) brought forward for academic personnel. In order to improve performance of institutions of higher education, it is necessary to introduce such work performance evaluation system in institutions of higher education, which would enable evaluation of the academic personnel, providing an objective performance measurement, taking into account the performance indicators brought forward. Remuneration and its constituent components (rate, load) in the work performance evaluation system should be linked with the work performance indicators, and should be included in the work performance evaluation as one of the components </w:t>
      </w:r>
      <w:r w:rsidRPr="003C0DF0">
        <w:rPr>
          <w:rFonts w:ascii="Times New Roman" w:hAnsi="Times New Roman"/>
          <w:noProof/>
          <w:sz w:val="24"/>
        </w:rPr>
        <w:lastRenderedPageBreak/>
        <w:t>of the internal laws and regulations with regard to formation of work remuneration (Annex 7). In order to ensure improvement of the academic personnel recruitment and remuneration policy, the ministry will encourage institutions of higher education to update and improve their remuneration policy and ensure its implementation in the academic year 2015/2016.</w:t>
      </w:r>
    </w:p>
    <w:p w14:paraId="2B649D01" w14:textId="77777777" w:rsidR="00ED16B1" w:rsidRPr="003C0DF0" w:rsidRDefault="00ED16B1" w:rsidP="00DE5551">
      <w:pPr>
        <w:spacing w:after="0" w:line="240" w:lineRule="auto"/>
        <w:ind w:firstLine="709"/>
        <w:jc w:val="both"/>
        <w:rPr>
          <w:rFonts w:ascii="Times New Roman" w:hAnsi="Times New Roman"/>
          <w:noProof/>
          <w:sz w:val="24"/>
          <w:szCs w:val="26"/>
        </w:rPr>
      </w:pPr>
      <w:r w:rsidRPr="003C0DF0">
        <w:rPr>
          <w:rFonts w:ascii="Times New Roman" w:hAnsi="Times New Roman"/>
          <w:b/>
          <w:noProof/>
          <w:sz w:val="24"/>
        </w:rPr>
        <w:t>Performance funding will be allocated only to those institutions of higher education and colleges, which by 1 September 2015 will have submitted updated Work Remuneration By-laws to the ministry, approved by the senate of the institution of higher education or council of the college, setting out common principles and criteria for the calculation of remuneration of the elected academic personnel of institutions of higher education and colleges</w:t>
      </w:r>
      <w:r w:rsidRPr="003C0DF0">
        <w:rPr>
          <w:rFonts w:ascii="Times New Roman" w:hAnsi="Times New Roman"/>
          <w:noProof/>
          <w:sz w:val="24"/>
        </w:rPr>
        <w:t>, determining the duties that should be included in the work load of academic personnel and principles for determining remuneration for results both in teaching and research activities, including linking the results of the academic personnel with the performance criteria of research-based higher education determined by the ministry, ensuring mechanisms for promotion of reproduction of academic personnel, for strengthening the international competitiveness of research and linking with the needs of the industry.</w:t>
      </w:r>
    </w:p>
    <w:p w14:paraId="4DE7F904" w14:textId="77777777" w:rsidR="00ED16B1" w:rsidRPr="003C0DF0" w:rsidRDefault="00ED16B1" w:rsidP="00DE5551">
      <w:pPr>
        <w:spacing w:after="0" w:line="240" w:lineRule="auto"/>
        <w:ind w:firstLine="709"/>
        <w:jc w:val="both"/>
        <w:rPr>
          <w:rFonts w:ascii="Times New Roman" w:hAnsi="Times New Roman"/>
          <w:noProof/>
          <w:sz w:val="24"/>
          <w:szCs w:val="26"/>
        </w:rPr>
      </w:pPr>
      <w:r w:rsidRPr="003C0DF0">
        <w:rPr>
          <w:rFonts w:ascii="Times New Roman" w:hAnsi="Times New Roman"/>
          <w:noProof/>
          <w:sz w:val="24"/>
        </w:rPr>
        <w:t xml:space="preserve">The necessary additional funding for implementation of knowledge society model in 2016 is EUR 11.7 million, in 2017 – EUR 15.2 million, and in 2018 – EUR 18.9 million . Summary of the State budget funds necessary for implementation of the new financing model in conjunction with the scenarios for implementation of the financing model put forward by the World Bank is included in Annex 9. It reflects the existing and additionally required State budget funding, which applies to the first and second pillars of the new financing model. It is assumed that the funding allocated to the second pillar in sub-programme 03.03.00 </w:t>
      </w:r>
      <w:r w:rsidRPr="003C0DF0">
        <w:rPr>
          <w:rFonts w:ascii="Times New Roman" w:hAnsi="Times New Roman"/>
          <w:i/>
          <w:noProof/>
          <w:sz w:val="24"/>
        </w:rPr>
        <w:t>Development of Scientific Activity in Institutions of Higher Education and Colleges</w:t>
      </w:r>
      <w:r w:rsidRPr="003C0DF0">
        <w:rPr>
          <w:rFonts w:ascii="Times New Roman" w:hAnsi="Times New Roman"/>
          <w:noProof/>
          <w:sz w:val="24"/>
        </w:rPr>
        <w:t xml:space="preserve"> will remain at the same level as in 2016 and 2017, affecting the amount of additional funding that should be requested within the framework of the New Policy Initiatives. Since for achievement of the objectives set for higher education, it is necessary to ensure an increase of funding also in the first pillar; the ministry will include additional funding requests for subsidised study places and thus – for full implementation of the three pillar model in the budget request in the New Policy Initiatives for 2016.</w:t>
      </w:r>
    </w:p>
    <w:p w14:paraId="2631D252" w14:textId="77777777" w:rsidR="00ED16B1" w:rsidRPr="003C0DF0" w:rsidRDefault="00ED16B1" w:rsidP="00DE5551">
      <w:pPr>
        <w:spacing w:after="0" w:line="240" w:lineRule="auto"/>
        <w:ind w:firstLine="709"/>
        <w:jc w:val="both"/>
        <w:rPr>
          <w:rFonts w:ascii="Times New Roman" w:hAnsi="Times New Roman"/>
          <w:noProof/>
          <w:sz w:val="24"/>
          <w:szCs w:val="26"/>
        </w:rPr>
      </w:pPr>
      <w:r w:rsidRPr="003C0DF0">
        <w:rPr>
          <w:rFonts w:ascii="Times New Roman" w:hAnsi="Times New Roman"/>
          <w:noProof/>
          <w:sz w:val="24"/>
        </w:rPr>
        <w:t>The budget summary included in Annex 9 reflects implementation of the financing model in breakdown by budget sub-programme. In turn, to demonstrate the dynamics of funding growth, taking into account the funding planned in the budget of sectoral ministries, Annex 10 includes a layout of the new necessary funding in division by sub-programme of the State budget, needed for each scenario. Upon making calculations, it is assumed that implementation of the new financing model is not fixed-term, because the Law On Institutions of Higher Education and the Law On Scientific Activity determine an annual increase in funding for the industry, until the minimum volume of investments against the GDP is reached. In the Conceptual Report evaluation of the impact on the State budget is provided until 2025 according to the estimates of the World Bank study. In the longer term it is expected that a gradual increase in funding will be provided also after 2025 to reach the amount of funding laid down in the Law On Institutions of Higher Education and the Law On Scientific Activity. However, these estimates are less accurate due to unavailability of sufficiently precise information. The distribution of the model of the World Bank cannot be unequivocally extrapolated to further future, because the nature of the funding changes is not linear from year to year.</w:t>
      </w:r>
    </w:p>
    <w:p w14:paraId="605E5DD1" w14:textId="77777777" w:rsidR="00ED16B1" w:rsidRPr="003C0DF0" w:rsidRDefault="00ED16B1" w:rsidP="00DE5551">
      <w:pPr>
        <w:spacing w:after="0" w:line="240" w:lineRule="auto"/>
        <w:ind w:firstLine="709"/>
        <w:jc w:val="both"/>
        <w:rPr>
          <w:rFonts w:ascii="Times New Roman" w:hAnsi="Times New Roman"/>
          <w:noProof/>
          <w:sz w:val="24"/>
          <w:szCs w:val="26"/>
        </w:rPr>
      </w:pPr>
      <w:r w:rsidRPr="003C0DF0">
        <w:rPr>
          <w:rFonts w:ascii="Times New Roman" w:hAnsi="Times New Roman"/>
          <w:noProof/>
          <w:sz w:val="24"/>
        </w:rPr>
        <w:t xml:space="preserve">The objective of the calculations included in Annex 10 is to reflect the distribution of funding between State budget programmes and sub-programmes of the Ministry of Education and Science, the Ministry of Health, the Ministry of Agriculture, and the Ministry of Culture in case of different future financing scenarios. For example, the knowledge society model (scenario A) foresees an increase in funding for the first pillar. The objective of the calculations is to show how this necessary increase in funding will be distributed among all State budget </w:t>
      </w:r>
      <w:r w:rsidRPr="003C0DF0">
        <w:rPr>
          <w:rFonts w:ascii="Times New Roman" w:hAnsi="Times New Roman"/>
          <w:noProof/>
          <w:sz w:val="24"/>
        </w:rPr>
        <w:lastRenderedPageBreak/>
        <w:t>programmes and sub-programmes which finance study places of institutions of higher education financed by the State.</w:t>
      </w:r>
    </w:p>
    <w:p w14:paraId="1F420673" w14:textId="77777777" w:rsidR="00ED16B1" w:rsidRPr="003C0DF0" w:rsidRDefault="00ED16B1" w:rsidP="00DE5551">
      <w:pPr>
        <w:spacing w:after="0" w:line="240" w:lineRule="auto"/>
        <w:ind w:firstLine="709"/>
        <w:jc w:val="both"/>
        <w:rPr>
          <w:rFonts w:ascii="Times New Roman" w:hAnsi="Times New Roman"/>
          <w:noProof/>
          <w:sz w:val="24"/>
          <w:szCs w:val="26"/>
        </w:rPr>
      </w:pPr>
      <w:r w:rsidRPr="003C0DF0">
        <w:rPr>
          <w:rFonts w:ascii="Times New Roman" w:hAnsi="Times New Roman"/>
          <w:noProof/>
          <w:sz w:val="24"/>
        </w:rPr>
        <w:t>In the first pillar, which is implemented by five State budget programmes and sub-programmes, in scenario A (which is the only scenario with the planned increase in funding) the funding additionally necessary for all budget programmes and sub-programmes included has been determined based on the mutual ratio between the funding allocated for these programmes in 2015. Thus, the necessary additional funding determined in the calculations is evenly distributed between these State budget programmes and sub-programmes.</w:t>
      </w:r>
    </w:p>
    <w:p w14:paraId="707FFB2A" w14:textId="77777777" w:rsidR="006E539B" w:rsidRPr="003C0DF0" w:rsidRDefault="00ED16B1" w:rsidP="00DE5551">
      <w:pPr>
        <w:spacing w:after="0" w:line="240" w:lineRule="auto"/>
        <w:ind w:firstLine="709"/>
        <w:jc w:val="both"/>
        <w:rPr>
          <w:rFonts w:ascii="Times New Roman" w:hAnsi="Times New Roman"/>
          <w:noProof/>
          <w:sz w:val="24"/>
          <w:szCs w:val="26"/>
        </w:rPr>
      </w:pPr>
      <w:r w:rsidRPr="003C0DF0">
        <w:rPr>
          <w:rFonts w:ascii="Times New Roman" w:hAnsi="Times New Roman"/>
          <w:noProof/>
          <w:sz w:val="24"/>
        </w:rPr>
        <w:t xml:space="preserve">In turn, in the second pillar, the additionally necessary funding should be attributed only to the State budget sub-programme 03.03.00 </w:t>
      </w:r>
      <w:r w:rsidRPr="003C0DF0">
        <w:rPr>
          <w:rFonts w:ascii="Times New Roman" w:hAnsi="Times New Roman"/>
          <w:i/>
          <w:noProof/>
          <w:sz w:val="24"/>
        </w:rPr>
        <w:t>Development of Scientific Activity in Institutions of Higher Education and Colleges</w:t>
      </w:r>
      <w:r w:rsidRPr="003C0DF0">
        <w:rPr>
          <w:rFonts w:ascii="Times New Roman" w:hAnsi="Times New Roman"/>
          <w:noProof/>
          <w:sz w:val="24"/>
        </w:rPr>
        <w:t>, where the funding will be distributed between institutions of higher education under supervision of the Ministry of Education and Science, the Ministry of Health, the Ministry of Agriculture, and the Ministry of Culture. Taking into account that this funding is based on annual performance indicators, changes in its distribution among institutions of higher education under supervision of these ministries cannot be predicted precisely.</w:t>
      </w:r>
    </w:p>
    <w:p w14:paraId="2D780CF6" w14:textId="4706F208" w:rsidR="00ED16B1" w:rsidRPr="003C0DF0" w:rsidRDefault="00ED16B1" w:rsidP="00DE5551">
      <w:pPr>
        <w:spacing w:after="0" w:line="240" w:lineRule="auto"/>
        <w:ind w:firstLine="709"/>
        <w:jc w:val="both"/>
        <w:rPr>
          <w:rFonts w:ascii="Times New Roman" w:hAnsi="Times New Roman"/>
          <w:noProof/>
          <w:sz w:val="24"/>
          <w:szCs w:val="26"/>
          <w:shd w:val="clear" w:color="auto" w:fill="FFFFFF"/>
        </w:rPr>
      </w:pPr>
      <w:r w:rsidRPr="003C0DF0">
        <w:rPr>
          <w:rFonts w:ascii="Times New Roman" w:hAnsi="Times New Roman"/>
          <w:noProof/>
          <w:sz w:val="24"/>
        </w:rPr>
        <w:t>According to the proposal for revision of the conditions for base funding for science, which was put forward by the working group established upon proposal of the Latvian Research and Innovation Strategic Council, to fully integrate research with the study process by 2017, consideration will be given to the option that the base funding of science is allocated based on the number of research and academic personnel employed in the institution of higher education. In co-operation with institutions of higher education the study and scientific activity indicators of institutions of higher education and colleges will be evaluated in detail. Conditions for the financing of the first pillar (</w:t>
      </w:r>
      <w:r w:rsidRPr="003C0DF0">
        <w:rPr>
          <w:rFonts w:ascii="Times New Roman" w:hAnsi="Times New Roman"/>
          <w:b/>
          <w:noProof/>
          <w:sz w:val="24"/>
        </w:rPr>
        <w:t>F</w:t>
      </w:r>
      <w:r w:rsidRPr="003C0DF0">
        <w:rPr>
          <w:rFonts w:ascii="Times New Roman" w:hAnsi="Times New Roman"/>
          <w:b/>
          <w:noProof/>
          <w:sz w:val="24"/>
          <w:vertAlign w:val="subscript"/>
        </w:rPr>
        <w:t>1</w:t>
      </w:r>
      <w:r w:rsidRPr="003C0DF0">
        <w:rPr>
          <w:rFonts w:ascii="Times New Roman" w:hAnsi="Times New Roman"/>
          <w:noProof/>
          <w:sz w:val="24"/>
        </w:rPr>
        <w:t> – base funding of study and scientific activity), which is based on investment indicators – the number of study places, the number of academic and scientific personnel, and the updated cost coefficients of sectors – will be developed in more detail. The conditions for receipt of the second pillar funding (</w:t>
      </w:r>
      <w:r w:rsidRPr="003C0DF0">
        <w:rPr>
          <w:rFonts w:ascii="Times New Roman" w:hAnsi="Times New Roman"/>
          <w:b/>
          <w:noProof/>
          <w:sz w:val="24"/>
        </w:rPr>
        <w:t>F</w:t>
      </w:r>
      <w:r w:rsidRPr="003C0DF0">
        <w:rPr>
          <w:rFonts w:ascii="Times New Roman" w:hAnsi="Times New Roman"/>
          <w:b/>
          <w:noProof/>
          <w:sz w:val="24"/>
          <w:vertAlign w:val="subscript"/>
        </w:rPr>
        <w:t>2</w:t>
      </w:r>
      <w:r w:rsidRPr="003C0DF0">
        <w:rPr>
          <w:rFonts w:ascii="Times New Roman" w:hAnsi="Times New Roman"/>
          <w:noProof/>
          <w:sz w:val="24"/>
        </w:rPr>
        <w:t> – funding for performance in studies and research) will be crystallised and focused. In order to ensure efficiency of implementation of performance funding, new performance criteria will be introduced, with the allocated performance funding in the second pillar reaching at least 20 % of the total State budget funding for the institutions of higher education and colleges. According to the policy priorities, additional performance criteria will be directed to the performance indicators of basic studies, including drop-out prevention, student and teacher mobility, international publicity of research results, employment in research projects, and other performance indicators. Funding for implementation of the additional performance criteria in the second pillar of the financing model will be required in preparation of the medium-term draft budget and the draft State budget for the current year within the framework of the New Policy Initiatives.</w:t>
      </w:r>
    </w:p>
    <w:p w14:paraId="71961347" w14:textId="77777777" w:rsidR="00ED16B1" w:rsidRPr="003C0DF0" w:rsidRDefault="00ED16B1" w:rsidP="00DE5551">
      <w:pPr>
        <w:spacing w:after="0" w:line="240" w:lineRule="auto"/>
        <w:ind w:firstLine="709"/>
        <w:jc w:val="both"/>
        <w:rPr>
          <w:rFonts w:ascii="Times New Roman" w:hAnsi="Times New Roman"/>
          <w:noProof/>
          <w:sz w:val="24"/>
          <w:szCs w:val="26"/>
        </w:rPr>
      </w:pPr>
      <w:r w:rsidRPr="003C0DF0">
        <w:rPr>
          <w:rFonts w:ascii="Times New Roman" w:hAnsi="Times New Roman"/>
          <w:noProof/>
          <w:sz w:val="24"/>
        </w:rPr>
        <w:t>In 2015 the ministry will continue work on improving student support systems in order to promote social justice and accessibility of higher education. In co-operation with the Ministry of Finance, the Treasury and the Study and Science Administration, the ministry will assess the regulatory framework for granting of study and student loans to encourage accessibility to State-guaranteed loans. The conditions for cancellation of study and student loans determined in Cabinet Regulation No. 220 of 29 May 2001, Procedures for the Allocation, Repayment and Cancellation of a Study Loan and Student Loan from the Resources of Credit Institutions with the Government Guarantee, and Cabinet Regulation No. 219 of 29 May 2001, Procedures for the Allocation, Repayment and Cancellation of a Study Loan from the Resources of the State Budget, will be revised, as well as proposals for the specifications with regard to professions, for which study and student loans are cancelled, will be assessed and prepared in collaboration with the responsible sectoral ministries.</w:t>
      </w:r>
    </w:p>
    <w:p w14:paraId="1FD3025C" w14:textId="77777777" w:rsidR="00DE5551" w:rsidRPr="003C0DF0" w:rsidRDefault="00DE5551" w:rsidP="00DE5551">
      <w:pPr>
        <w:spacing w:after="0" w:line="240" w:lineRule="auto"/>
        <w:ind w:firstLine="709"/>
        <w:jc w:val="both"/>
        <w:rPr>
          <w:rFonts w:ascii="Times New Roman" w:hAnsi="Times New Roman"/>
          <w:noProof/>
          <w:sz w:val="24"/>
          <w:szCs w:val="26"/>
        </w:rPr>
      </w:pPr>
    </w:p>
    <w:p w14:paraId="256E89CC" w14:textId="48312130" w:rsidR="00ED16B1" w:rsidRPr="001E4898" w:rsidRDefault="00DE5551" w:rsidP="001E4898">
      <w:pPr>
        <w:pStyle w:val="Heading3"/>
        <w:keepNext/>
      </w:pPr>
      <w:bookmarkStart w:id="53" w:name="_Toc421550743"/>
      <w:bookmarkStart w:id="54" w:name="_Toc453155047"/>
      <w:r w:rsidRPr="001E4898">
        <w:lastRenderedPageBreak/>
        <w:t>2.2.5. Funding of the Third Pillar – Support of the European Union Structural Funds to the Development of Higher Education and Research</w:t>
      </w:r>
      <w:bookmarkEnd w:id="53"/>
      <w:bookmarkEnd w:id="54"/>
    </w:p>
    <w:p w14:paraId="7D0E47AE" w14:textId="77777777" w:rsidR="00DE5551" w:rsidRPr="003C0DF0" w:rsidRDefault="00DE5551" w:rsidP="001E4898">
      <w:pPr>
        <w:keepNext/>
        <w:spacing w:after="0" w:line="240" w:lineRule="auto"/>
        <w:ind w:firstLine="709"/>
        <w:jc w:val="both"/>
        <w:rPr>
          <w:rFonts w:ascii="Times New Roman" w:hAnsi="Times New Roman"/>
          <w:noProof/>
          <w:sz w:val="24"/>
          <w:szCs w:val="26"/>
        </w:rPr>
      </w:pPr>
    </w:p>
    <w:p w14:paraId="6133B376" w14:textId="77777777" w:rsidR="006E539B" w:rsidRPr="003C0DF0" w:rsidRDefault="00ED16B1" w:rsidP="001E4898">
      <w:pPr>
        <w:keepNext/>
        <w:spacing w:after="0" w:line="240" w:lineRule="auto"/>
        <w:ind w:firstLine="709"/>
        <w:jc w:val="both"/>
        <w:rPr>
          <w:rFonts w:ascii="Times New Roman" w:eastAsia="Times New Roman" w:hAnsi="Times New Roman"/>
          <w:noProof/>
          <w:sz w:val="24"/>
          <w:szCs w:val="26"/>
        </w:rPr>
      </w:pPr>
      <w:r w:rsidRPr="003C0DF0">
        <w:rPr>
          <w:rFonts w:ascii="Times New Roman" w:hAnsi="Times New Roman"/>
          <w:noProof/>
          <w:sz w:val="24"/>
        </w:rPr>
        <w:t>In 2015, planning has been started for the funding of </w:t>
      </w:r>
      <w:r w:rsidRPr="003C0DF0">
        <w:rPr>
          <w:rFonts w:ascii="Times New Roman" w:hAnsi="Times New Roman"/>
          <w:b/>
          <w:noProof/>
          <w:sz w:val="24"/>
        </w:rPr>
        <w:t>F</w:t>
      </w:r>
      <w:r w:rsidRPr="003C0DF0">
        <w:rPr>
          <w:rFonts w:ascii="Times New Roman" w:hAnsi="Times New Roman"/>
          <w:b/>
          <w:noProof/>
          <w:sz w:val="24"/>
          <w:vertAlign w:val="subscript"/>
        </w:rPr>
        <w:t>3</w:t>
      </w:r>
      <w:r w:rsidRPr="003C0DF0">
        <w:rPr>
          <w:rFonts w:ascii="Times New Roman" w:hAnsi="Times New Roman"/>
          <w:noProof/>
          <w:sz w:val="24"/>
        </w:rPr>
        <w:t> component from the European Union Structural Funds with co-funding from the State budget. Support tools for development, innovation and strategic specialisation are laid down in the Operational Programme. The ministry plans to implement funding of the third pillar in the following activities of the Operational Programme:</w:t>
      </w:r>
    </w:p>
    <w:p w14:paraId="211B33B6" w14:textId="1301D4C3" w:rsidR="00ED16B1" w:rsidRPr="003C0DF0" w:rsidRDefault="00ED16B1" w:rsidP="00DE5551">
      <w:pPr>
        <w:pStyle w:val="ListParagraph"/>
        <w:numPr>
          <w:ilvl w:val="0"/>
          <w:numId w:val="16"/>
        </w:numPr>
        <w:spacing w:after="0" w:line="240" w:lineRule="auto"/>
        <w:ind w:left="0" w:firstLine="709"/>
        <w:jc w:val="both"/>
        <w:rPr>
          <w:rFonts w:ascii="Times New Roman" w:hAnsi="Times New Roman"/>
          <w:noProof/>
          <w:sz w:val="24"/>
          <w:szCs w:val="26"/>
        </w:rPr>
      </w:pPr>
      <w:r w:rsidRPr="003C0DF0">
        <w:rPr>
          <w:rFonts w:ascii="Times New Roman" w:hAnsi="Times New Roman"/>
          <w:noProof/>
          <w:sz w:val="24"/>
        </w:rPr>
        <w:t xml:space="preserve">SSO 8.1.1 </w:t>
      </w:r>
      <w:r w:rsidRPr="003C0DF0">
        <w:rPr>
          <w:rFonts w:ascii="Times New Roman" w:hAnsi="Times New Roman"/>
          <w:b/>
          <w:noProof/>
          <w:sz w:val="24"/>
        </w:rPr>
        <w:t xml:space="preserve">To increase the number of modernised STEM, including medical and creative industries, study programmes. </w:t>
      </w:r>
      <w:r w:rsidRPr="003C0DF0">
        <w:rPr>
          <w:rFonts w:ascii="Times New Roman" w:hAnsi="Times New Roman"/>
          <w:noProof/>
          <w:sz w:val="24"/>
        </w:rPr>
        <w:t>Support for development of territorially concentrated study and research infrastructure, strengthening of strategic specialisation of institutions of higher education, including reconstruction or renovation of buildings or premises, if necessary, construction of new buildings, purchase of machinery and equipment (including means for distance learning, ICT solutions, software, library resources) in STEM, including medical and creative industries, study directions. Total funding: EUR 44.64 million, including EUR 37.94 million ERDF</w:t>
      </w:r>
    </w:p>
    <w:p w14:paraId="2B9B913B" w14:textId="77777777" w:rsidR="00ED16B1" w:rsidRPr="003C0DF0" w:rsidRDefault="00ED16B1" w:rsidP="00DE5551">
      <w:pPr>
        <w:pStyle w:val="ListParagraph"/>
        <w:spacing w:after="0" w:line="240" w:lineRule="auto"/>
        <w:ind w:left="0" w:firstLine="709"/>
        <w:jc w:val="both"/>
        <w:rPr>
          <w:rFonts w:ascii="Times New Roman" w:hAnsi="Times New Roman"/>
          <w:noProof/>
          <w:sz w:val="24"/>
          <w:szCs w:val="26"/>
        </w:rPr>
      </w:pPr>
    </w:p>
    <w:p w14:paraId="0A1F3C2F" w14:textId="77777777" w:rsidR="00ED16B1" w:rsidRPr="003C0DF0" w:rsidRDefault="00ED16B1" w:rsidP="00DE5551">
      <w:pPr>
        <w:pStyle w:val="ListParagraph"/>
        <w:numPr>
          <w:ilvl w:val="0"/>
          <w:numId w:val="16"/>
        </w:numPr>
        <w:spacing w:after="0" w:line="240" w:lineRule="auto"/>
        <w:ind w:left="0" w:firstLine="709"/>
        <w:jc w:val="both"/>
        <w:rPr>
          <w:rFonts w:ascii="Times New Roman" w:hAnsi="Times New Roman"/>
          <w:noProof/>
          <w:sz w:val="24"/>
          <w:szCs w:val="26"/>
        </w:rPr>
      </w:pPr>
      <w:r w:rsidRPr="003C0DF0">
        <w:rPr>
          <w:rFonts w:ascii="Times New Roman" w:hAnsi="Times New Roman"/>
          <w:noProof/>
          <w:sz w:val="24"/>
        </w:rPr>
        <w:t xml:space="preserve">SSO 8.2.1 </w:t>
      </w:r>
      <w:r w:rsidRPr="003C0DF0">
        <w:rPr>
          <w:rFonts w:ascii="Times New Roman" w:hAnsi="Times New Roman"/>
          <w:b/>
          <w:noProof/>
          <w:sz w:val="24"/>
        </w:rPr>
        <w:t>To reduce fragmentation of study programmes and to strengthen sharing of resources.</w:t>
      </w:r>
      <w:r w:rsidRPr="003C0DF0">
        <w:rPr>
          <w:rFonts w:ascii="Times New Roman" w:hAnsi="Times New Roman"/>
          <w:noProof/>
          <w:sz w:val="24"/>
        </w:rPr>
        <w:t xml:space="preserve"> Development of joint doctoral programmes and study programmes in the European Union languages, approbation and international accreditation, including accreditation costs of international professional organisations; international publicity of study programmes. Total funding: EUR 10.81 million, including EUR 9.19 million ESF;</w:t>
      </w:r>
    </w:p>
    <w:p w14:paraId="6B548FF1" w14:textId="77777777" w:rsidR="00ED16B1" w:rsidRPr="003C0DF0" w:rsidRDefault="00ED16B1" w:rsidP="00DE5551">
      <w:pPr>
        <w:pStyle w:val="ListParagraph"/>
        <w:spacing w:after="0" w:line="240" w:lineRule="auto"/>
        <w:ind w:left="0" w:firstLine="709"/>
        <w:jc w:val="both"/>
        <w:rPr>
          <w:rFonts w:ascii="Times New Roman" w:hAnsi="Times New Roman"/>
          <w:noProof/>
          <w:sz w:val="24"/>
          <w:szCs w:val="26"/>
        </w:rPr>
      </w:pPr>
    </w:p>
    <w:p w14:paraId="26230B96" w14:textId="77777777" w:rsidR="00ED16B1" w:rsidRPr="003C0DF0" w:rsidRDefault="00ED16B1" w:rsidP="00DE5551">
      <w:pPr>
        <w:pStyle w:val="ListParagraph"/>
        <w:numPr>
          <w:ilvl w:val="0"/>
          <w:numId w:val="16"/>
        </w:numPr>
        <w:spacing w:after="0" w:line="240" w:lineRule="auto"/>
        <w:ind w:left="0" w:firstLine="709"/>
        <w:jc w:val="both"/>
        <w:rPr>
          <w:rFonts w:ascii="Times New Roman" w:hAnsi="Times New Roman"/>
          <w:noProof/>
          <w:sz w:val="24"/>
          <w:szCs w:val="26"/>
        </w:rPr>
      </w:pPr>
      <w:r w:rsidRPr="003C0DF0">
        <w:rPr>
          <w:rFonts w:ascii="Times New Roman" w:hAnsi="Times New Roman"/>
          <w:noProof/>
          <w:sz w:val="24"/>
        </w:rPr>
        <w:t xml:space="preserve">SSO 8.2.3 </w:t>
      </w:r>
      <w:r w:rsidRPr="003C0DF0">
        <w:rPr>
          <w:rFonts w:ascii="Times New Roman" w:hAnsi="Times New Roman"/>
          <w:b/>
          <w:noProof/>
          <w:sz w:val="24"/>
        </w:rPr>
        <w:t>To ensure better management in institutions of higher education.</w:t>
      </w:r>
      <w:r w:rsidRPr="003C0DF0">
        <w:rPr>
          <w:rFonts w:ascii="Times New Roman" w:hAnsi="Times New Roman"/>
          <w:noProof/>
          <w:sz w:val="24"/>
        </w:rPr>
        <w:t xml:space="preserve"> Support for institutions of higher education in the development, improvement of development strategies and implementation of recommendations of external evaluation; support for operation of councils of study directions, including support for restructuring of studies and updating of the learning content; support for improvement of efficiency of internal quality assurance systems of institutions of higher education according to the quality assurance standards and guidelines of the European Higher Education Area, support for development of e-solutions, including inter-institutional co-operation solutions. Total funding: EUR 20 million, including EUR 17 million ESF.</w:t>
      </w:r>
    </w:p>
    <w:p w14:paraId="298036DC" w14:textId="77777777" w:rsidR="00ED16B1" w:rsidRPr="003C0DF0" w:rsidRDefault="00ED16B1" w:rsidP="00DE5551">
      <w:pPr>
        <w:pStyle w:val="ListParagraph"/>
        <w:spacing w:after="0" w:line="240" w:lineRule="auto"/>
        <w:ind w:left="0" w:firstLine="709"/>
        <w:jc w:val="both"/>
        <w:rPr>
          <w:rFonts w:ascii="Times New Roman" w:hAnsi="Times New Roman"/>
          <w:noProof/>
          <w:sz w:val="24"/>
          <w:szCs w:val="26"/>
        </w:rPr>
      </w:pPr>
    </w:p>
    <w:p w14:paraId="36C566B2" w14:textId="77777777" w:rsidR="00ED16B1" w:rsidRPr="003C0DF0" w:rsidRDefault="00ED16B1" w:rsidP="00DE5551">
      <w:pPr>
        <w:pStyle w:val="ListParagraph"/>
        <w:numPr>
          <w:ilvl w:val="0"/>
          <w:numId w:val="16"/>
        </w:numPr>
        <w:spacing w:after="0" w:line="240" w:lineRule="auto"/>
        <w:ind w:left="0" w:firstLine="709"/>
        <w:jc w:val="both"/>
        <w:rPr>
          <w:rFonts w:ascii="Times New Roman" w:hAnsi="Times New Roman"/>
          <w:noProof/>
          <w:sz w:val="24"/>
          <w:szCs w:val="26"/>
        </w:rPr>
      </w:pPr>
      <w:r w:rsidRPr="003C0DF0">
        <w:rPr>
          <w:rFonts w:ascii="Times New Roman" w:hAnsi="Times New Roman"/>
          <w:noProof/>
          <w:sz w:val="24"/>
        </w:rPr>
        <w:t xml:space="preserve">SSO 1.1.1. </w:t>
      </w:r>
      <w:r w:rsidRPr="003C0DF0">
        <w:rPr>
          <w:rFonts w:ascii="Times New Roman" w:hAnsi="Times New Roman"/>
          <w:b/>
          <w:noProof/>
          <w:sz w:val="24"/>
        </w:rPr>
        <w:t>To increase research and innovation capacity of Latvian scientific institutions and their ability to attract external funding by investing in human resources and infrastructure</w:t>
      </w:r>
      <w:r w:rsidRPr="003C0DF0">
        <w:rPr>
          <w:rFonts w:ascii="Times New Roman" w:hAnsi="Times New Roman"/>
          <w:noProof/>
          <w:sz w:val="24"/>
        </w:rPr>
        <w:t>, including</w:t>
      </w:r>
    </w:p>
    <w:p w14:paraId="4E018D29" w14:textId="77777777" w:rsidR="00ED16B1" w:rsidRPr="003C0DF0" w:rsidRDefault="00ED16B1" w:rsidP="00DE5551">
      <w:pPr>
        <w:pStyle w:val="ListParagraph"/>
        <w:spacing w:after="0" w:line="240" w:lineRule="auto"/>
        <w:ind w:left="0" w:firstLine="709"/>
        <w:jc w:val="both"/>
        <w:rPr>
          <w:rFonts w:ascii="Times New Roman" w:hAnsi="Times New Roman"/>
          <w:b/>
          <w:noProof/>
          <w:sz w:val="24"/>
          <w:szCs w:val="26"/>
        </w:rPr>
      </w:pPr>
    </w:p>
    <w:p w14:paraId="2D3DD186" w14:textId="77777777" w:rsidR="006E539B" w:rsidRPr="003C0DF0" w:rsidRDefault="00ED16B1" w:rsidP="00DE5551">
      <w:pPr>
        <w:pStyle w:val="ListParagraph"/>
        <w:numPr>
          <w:ilvl w:val="3"/>
          <w:numId w:val="19"/>
        </w:numPr>
        <w:spacing w:after="0" w:line="240" w:lineRule="auto"/>
        <w:ind w:left="0" w:firstLine="709"/>
        <w:jc w:val="both"/>
        <w:rPr>
          <w:rFonts w:ascii="Times New Roman" w:hAnsi="Times New Roman"/>
          <w:noProof/>
          <w:sz w:val="24"/>
          <w:szCs w:val="26"/>
        </w:rPr>
      </w:pPr>
      <w:r w:rsidRPr="003C0DF0">
        <w:rPr>
          <w:rFonts w:ascii="Times New Roman" w:hAnsi="Times New Roman"/>
          <w:b/>
          <w:noProof/>
          <w:sz w:val="24"/>
        </w:rPr>
        <w:t>Post-doctoral research support</w:t>
      </w:r>
      <w:r w:rsidRPr="003C0DF0">
        <w:rPr>
          <w:rFonts w:ascii="Times New Roman" w:hAnsi="Times New Roman"/>
          <w:noProof/>
          <w:sz w:val="24"/>
        </w:rPr>
        <w:t xml:space="preserve"> for young scientists for implementation of post-doctoral research. Total funding: EUR 64.03 million, including ERDF funding EUR 54.42 million.</w:t>
      </w:r>
    </w:p>
    <w:p w14:paraId="59FFD9DF" w14:textId="5D7D5BF6" w:rsidR="00ED16B1" w:rsidRPr="003C0DF0" w:rsidRDefault="00ED16B1" w:rsidP="00DE5551">
      <w:pPr>
        <w:pStyle w:val="ListParagraph"/>
        <w:spacing w:after="0" w:line="240" w:lineRule="auto"/>
        <w:ind w:left="0" w:firstLine="709"/>
        <w:jc w:val="both"/>
        <w:rPr>
          <w:rFonts w:ascii="Times New Roman" w:hAnsi="Times New Roman"/>
          <w:noProof/>
          <w:sz w:val="24"/>
          <w:szCs w:val="26"/>
        </w:rPr>
      </w:pPr>
    </w:p>
    <w:p w14:paraId="47563640" w14:textId="77777777" w:rsidR="00ED16B1" w:rsidRPr="003C0DF0" w:rsidRDefault="00ED16B1" w:rsidP="00DE5551">
      <w:pPr>
        <w:pStyle w:val="ListParagraph"/>
        <w:numPr>
          <w:ilvl w:val="3"/>
          <w:numId w:val="19"/>
        </w:numPr>
        <w:spacing w:after="0" w:line="240" w:lineRule="auto"/>
        <w:ind w:left="0" w:firstLine="709"/>
        <w:jc w:val="both"/>
        <w:rPr>
          <w:rFonts w:ascii="Times New Roman" w:hAnsi="Times New Roman"/>
          <w:noProof/>
          <w:sz w:val="24"/>
          <w:szCs w:val="26"/>
        </w:rPr>
      </w:pPr>
      <w:r w:rsidRPr="003C0DF0">
        <w:rPr>
          <w:rFonts w:ascii="Times New Roman" w:hAnsi="Times New Roman"/>
          <w:b/>
          <w:noProof/>
          <w:sz w:val="24"/>
        </w:rPr>
        <w:t>Innovation grants for students</w:t>
      </w:r>
      <w:r w:rsidRPr="003C0DF0">
        <w:rPr>
          <w:rFonts w:ascii="Times New Roman" w:hAnsi="Times New Roman"/>
          <w:noProof/>
          <w:sz w:val="24"/>
        </w:rPr>
        <w:t xml:space="preserve"> (especially in STEM, including in medicine and creative areas) for development of new products and technologies, co-operation projects with merchants to develop innovative solutions, to address practical problems in the industry. Total funding: EUR 34 million, including ERDF funding EUR 28.90 million.</w:t>
      </w:r>
    </w:p>
    <w:p w14:paraId="516C00DA" w14:textId="77777777" w:rsidR="00ED16B1" w:rsidRPr="003C0DF0" w:rsidRDefault="00ED16B1" w:rsidP="00DE5551">
      <w:pPr>
        <w:spacing w:after="0" w:line="240" w:lineRule="auto"/>
        <w:ind w:firstLine="709"/>
        <w:jc w:val="both"/>
        <w:rPr>
          <w:rFonts w:ascii="Times New Roman" w:hAnsi="Times New Roman"/>
          <w:noProof/>
          <w:sz w:val="24"/>
          <w:szCs w:val="26"/>
        </w:rPr>
      </w:pPr>
      <w:r w:rsidRPr="003C0DF0">
        <w:rPr>
          <w:rFonts w:ascii="Times New Roman" w:hAnsi="Times New Roman"/>
          <w:noProof/>
          <w:sz w:val="24"/>
        </w:rPr>
        <w:t>Also other activities of the Operational Programme will be used for support of study and research capacity of institutions of higher education, as well as from 2020 it is planned to gradually increase the share of State budget funding for financing of the third pillar. The indicative start-up time of support measures of the European Union Structural Funds and the total funding are indicated in Annex 11.</w:t>
      </w:r>
    </w:p>
    <w:p w14:paraId="37698F9A" w14:textId="77777777" w:rsidR="00ED16B1" w:rsidRPr="003C0DF0" w:rsidRDefault="00ED16B1" w:rsidP="006E539B">
      <w:pPr>
        <w:spacing w:after="0" w:line="240" w:lineRule="auto"/>
        <w:jc w:val="both"/>
        <w:rPr>
          <w:rFonts w:ascii="Times New Roman" w:hAnsi="Times New Roman"/>
          <w:noProof/>
          <w:sz w:val="24"/>
          <w:szCs w:val="26"/>
        </w:rPr>
      </w:pPr>
    </w:p>
    <w:p w14:paraId="67B6C9B4" w14:textId="23FC51BE" w:rsidR="00ED16B1" w:rsidRPr="001E4898" w:rsidRDefault="00A2579D" w:rsidP="001E4898">
      <w:pPr>
        <w:pStyle w:val="Heading3"/>
        <w:keepNext/>
      </w:pPr>
      <w:bookmarkStart w:id="55" w:name="_Toc421550744"/>
      <w:bookmarkStart w:id="56" w:name="_Toc453155048"/>
      <w:r w:rsidRPr="001E4898">
        <w:lastRenderedPageBreak/>
        <w:t>2.2.6. New Policy Initiatives of the Ministry of Education and Science for 2016 –</w:t>
      </w:r>
      <w:r w:rsidR="003C0DF0" w:rsidRPr="001E4898">
        <w:t xml:space="preserve"> </w:t>
      </w:r>
      <w:r w:rsidRPr="001E4898">
        <w:t>2018</w:t>
      </w:r>
      <w:bookmarkEnd w:id="55"/>
      <w:bookmarkEnd w:id="56"/>
    </w:p>
    <w:p w14:paraId="65EBDF41" w14:textId="77777777" w:rsidR="00A2579D" w:rsidRPr="003C0DF0" w:rsidRDefault="00ED16B1" w:rsidP="001E4898">
      <w:pPr>
        <w:keepNext/>
        <w:tabs>
          <w:tab w:val="left" w:pos="851"/>
        </w:tabs>
        <w:spacing w:after="0" w:line="240" w:lineRule="auto"/>
        <w:ind w:firstLine="709"/>
        <w:jc w:val="both"/>
        <w:rPr>
          <w:rFonts w:ascii="Times New Roman" w:hAnsi="Times New Roman"/>
          <w:b/>
          <w:noProof/>
          <w:sz w:val="24"/>
          <w:szCs w:val="26"/>
        </w:rPr>
      </w:pPr>
      <w:r w:rsidRPr="003C0DF0">
        <w:rPr>
          <w:rFonts w:ascii="Times New Roman" w:hAnsi="Times New Roman"/>
          <w:noProof/>
          <w:sz w:val="24"/>
        </w:rPr>
        <w:t>In accordance with Cabinet Regulation No. 867 of 11 December 2012, Procedures for Determining the Maximum Permitted Total State Budget Expenditure and the Maximum Permitted Total State Budget Expenditure for Each Ministry and Other Central Government Institutions for Medium Term, and based on Cabinet Order No. 124 of 16 March 2015, On the Schedule for Preparation of Draft Law On Medium-Term Budget Framework for 2016, 2017, and 2018 and Draft Law On State Budget for 2016, as well as in accordance with Paragraph 1, Clause 6 of Minutes No. 19 of extraordinary meeting of the Cabinet of 13 April 2015, Draft Programme “Latvia's Stability Programme 2016 – 2019”, which determines that “in accordance with Section 16.</w:t>
      </w:r>
      <w:r w:rsidRPr="003C0DF0">
        <w:rPr>
          <w:rFonts w:ascii="Times New Roman" w:hAnsi="Times New Roman"/>
          <w:noProof/>
          <w:sz w:val="24"/>
          <w:vertAlign w:val="superscript"/>
        </w:rPr>
        <w:t>1</w:t>
      </w:r>
      <w:r w:rsidRPr="003C0DF0">
        <w:rPr>
          <w:rFonts w:ascii="Times New Roman" w:hAnsi="Times New Roman"/>
          <w:noProof/>
          <w:sz w:val="24"/>
        </w:rPr>
        <w:t xml:space="preserve">, Paragraph two of the Law On Budget and Financial Management, and taking into account the most current macroeconomic development forecasts, ministries and other central government institutions should not draw up and submit proposals for the new policy initiatives for 2016, 2017, and 2018, with the exception of health and education sectors, with regard to structural reforms, as well as internal and external security sector”, the Ministry of Education and Science has submitted the new policy initiatives for implementation of the new higher education financing model. </w:t>
      </w:r>
      <w:r w:rsidRPr="003C0DF0">
        <w:rPr>
          <w:rFonts w:ascii="Times New Roman" w:hAnsi="Times New Roman"/>
          <w:b/>
          <w:noProof/>
          <w:sz w:val="24"/>
        </w:rPr>
        <w:t>New Policy Initiatives of the Ministry of Education and Science for 2016 – 2018 provide for additional funding for implementation of the new higher education financing model, namely, additional base funding for science in the 1st pillar in the amount of EUR 3,279,087 annually in institutions of higher education for ensuring research work of academic personnel (professors, associate professors, and assistant professors), and funding in the 3rd pillar in the amount of EUR 2,900,000 annually, for the development of new, innovative study programmes in institutions of higher education and colleges, primarily in the regions of Latvia.</w:t>
      </w:r>
    </w:p>
    <w:p w14:paraId="57B4A442" w14:textId="77777777" w:rsidR="00A2579D" w:rsidRPr="003C0DF0" w:rsidRDefault="00A2579D" w:rsidP="00A2579D">
      <w:pPr>
        <w:tabs>
          <w:tab w:val="left" w:pos="851"/>
        </w:tabs>
        <w:spacing w:after="0" w:line="240" w:lineRule="auto"/>
        <w:ind w:firstLine="709"/>
        <w:jc w:val="both"/>
        <w:rPr>
          <w:rFonts w:ascii="Times New Roman" w:hAnsi="Times New Roman"/>
          <w:b/>
          <w:noProof/>
          <w:sz w:val="24"/>
          <w:szCs w:val="26"/>
        </w:rPr>
      </w:pPr>
    </w:p>
    <w:p w14:paraId="6A64F885" w14:textId="480E6CA4" w:rsidR="00ED16B1" w:rsidRPr="003C0DF0" w:rsidRDefault="00ED16B1" w:rsidP="00A2579D">
      <w:pPr>
        <w:tabs>
          <w:tab w:val="left" w:pos="851"/>
        </w:tabs>
        <w:spacing w:after="0" w:line="240" w:lineRule="auto"/>
        <w:ind w:firstLine="709"/>
        <w:jc w:val="both"/>
        <w:rPr>
          <w:rFonts w:ascii="Times New Roman" w:hAnsi="Times New Roman"/>
          <w:b/>
          <w:noProof/>
          <w:sz w:val="24"/>
          <w:szCs w:val="26"/>
        </w:rPr>
      </w:pPr>
      <w:r w:rsidRPr="003C0DF0">
        <w:rPr>
          <w:rFonts w:ascii="Times New Roman" w:hAnsi="Times New Roman"/>
        </w:rPr>
        <w:br w:type="page"/>
      </w:r>
    </w:p>
    <w:p w14:paraId="3E9F095E" w14:textId="77777777" w:rsidR="00ED16B1" w:rsidRPr="003C0DF0" w:rsidRDefault="00ED16B1" w:rsidP="006E539B">
      <w:pPr>
        <w:tabs>
          <w:tab w:val="left" w:pos="851"/>
        </w:tabs>
        <w:spacing w:after="0" w:line="240" w:lineRule="auto"/>
        <w:jc w:val="both"/>
        <w:rPr>
          <w:rFonts w:ascii="Times New Roman" w:hAnsi="Times New Roman"/>
          <w:b/>
          <w:noProof/>
          <w:sz w:val="24"/>
          <w:szCs w:val="26"/>
        </w:rPr>
      </w:pPr>
    </w:p>
    <w:p w14:paraId="76372912" w14:textId="6C6AA24C" w:rsidR="00ED16B1" w:rsidRPr="001E4898" w:rsidRDefault="00A2579D" w:rsidP="001E4898">
      <w:pPr>
        <w:pStyle w:val="Heading1"/>
      </w:pPr>
      <w:bookmarkStart w:id="57" w:name="_Toc453155049"/>
      <w:r w:rsidRPr="001E4898">
        <w:t xml:space="preserve">3. </w:t>
      </w:r>
      <w:bookmarkStart w:id="58" w:name="_Toc421550745"/>
      <w:r w:rsidRPr="001E4898">
        <w:t>Need for Introduction of the New Financing Model and the Possible Risks if the Situation does not Change</w:t>
      </w:r>
      <w:bookmarkEnd w:id="58"/>
      <w:bookmarkEnd w:id="57"/>
    </w:p>
    <w:p w14:paraId="710929E3" w14:textId="77777777" w:rsidR="00A2579D" w:rsidRPr="003C0DF0" w:rsidRDefault="00A2579D" w:rsidP="006E539B">
      <w:pPr>
        <w:spacing w:after="0" w:line="240" w:lineRule="auto"/>
        <w:jc w:val="both"/>
        <w:rPr>
          <w:rFonts w:ascii="Times New Roman" w:hAnsi="Times New Roman"/>
          <w:noProof/>
          <w:sz w:val="24"/>
          <w:szCs w:val="26"/>
        </w:rPr>
      </w:pPr>
    </w:p>
    <w:p w14:paraId="6DBDC195" w14:textId="77777777" w:rsidR="006E539B" w:rsidRPr="003C0DF0" w:rsidRDefault="00ED16B1" w:rsidP="00A2579D">
      <w:pPr>
        <w:spacing w:after="0" w:line="240" w:lineRule="auto"/>
        <w:ind w:firstLine="709"/>
        <w:jc w:val="both"/>
        <w:rPr>
          <w:rFonts w:ascii="Times New Roman" w:hAnsi="Times New Roman"/>
          <w:noProof/>
          <w:sz w:val="24"/>
          <w:szCs w:val="26"/>
        </w:rPr>
      </w:pPr>
      <w:r w:rsidRPr="003C0DF0">
        <w:rPr>
          <w:rFonts w:ascii="Times New Roman" w:hAnsi="Times New Roman"/>
          <w:noProof/>
          <w:sz w:val="24"/>
        </w:rPr>
        <w:t>According to the conclusions of the World Bank study, the current level of funding and the incomplete financing model significantly hinder achievement of the objectives of higher education and limit the development of the sector as a competitive sector of national economy. With institutions of higher education working in the mode of insufficient funding and wrong incentive for an extended period of time, there is no opportunity or motivation to invest in development, to restore the academic personnel, raise work quality and to focus on results, to take measures to prevent structural fragmentation and ensure efficient utilisation of the State budget funds.</w:t>
      </w:r>
    </w:p>
    <w:p w14:paraId="65532BFA" w14:textId="52FDCD67" w:rsidR="00ED16B1" w:rsidRPr="003C0DF0" w:rsidRDefault="00ED16B1" w:rsidP="00A2579D">
      <w:pPr>
        <w:spacing w:after="0" w:line="240" w:lineRule="auto"/>
        <w:ind w:firstLine="709"/>
        <w:jc w:val="both"/>
        <w:rPr>
          <w:rFonts w:ascii="Times New Roman" w:hAnsi="Times New Roman"/>
          <w:noProof/>
          <w:sz w:val="24"/>
          <w:szCs w:val="26"/>
        </w:rPr>
      </w:pPr>
      <w:r w:rsidRPr="003C0DF0">
        <w:rPr>
          <w:rFonts w:ascii="Times New Roman" w:hAnsi="Times New Roman"/>
          <w:noProof/>
          <w:sz w:val="24"/>
        </w:rPr>
        <w:t>By introducing the new three-pillar model in which the State budget funds are allocated both for ensuring stability and achieving strategic objectives, and the European Union Structural Funds are directed to capacity-building of institutions of higher education, the higher education sector will be given an opportunity to provide modern, research-based higher education that meets the needs of the Latvian society and development of national economy.</w:t>
      </w:r>
    </w:p>
    <w:p w14:paraId="710113C0" w14:textId="77777777" w:rsidR="006E539B" w:rsidRPr="003C0DF0" w:rsidRDefault="00ED16B1" w:rsidP="00A2579D">
      <w:pPr>
        <w:spacing w:after="0" w:line="240" w:lineRule="auto"/>
        <w:ind w:firstLine="709"/>
        <w:jc w:val="both"/>
        <w:rPr>
          <w:rFonts w:ascii="Times New Roman" w:hAnsi="Times New Roman"/>
          <w:noProof/>
          <w:sz w:val="24"/>
          <w:szCs w:val="26"/>
        </w:rPr>
      </w:pPr>
      <w:r w:rsidRPr="003C0DF0">
        <w:rPr>
          <w:rFonts w:ascii="Times New Roman" w:hAnsi="Times New Roman"/>
          <w:noProof/>
          <w:sz w:val="24"/>
        </w:rPr>
        <w:t>Without introducing the new financing procedures and without developing stricter requirements for receipt of State funding, without determining clear, measurable results to be achieved both in studies and research, it will not be possible to ensure increase in the quality and competitiveness of the sector. Depletion of academic and research human capital and historical traditions of higher education and research funding will continue, contributing to the stagnation of the system. Funds of taxpayers will be wasted, because the State will not receive the necessary specialists and products of scientific activity. Such financing of the higher education sector will be a negative signal to entrepreneurs who will not be interested in co-operation and investment in higher education. From the European point of view, the State will have failed to fulfil its commitment, and thus the higher education and research sector of Latvia will not be considered as a sector worth investments in the next planning period of the Structural Funds. Latvia will lose the opportunity to attract international funding and participate in European higher education and research area as a competitive player.</w:t>
      </w:r>
    </w:p>
    <w:p w14:paraId="00390279" w14:textId="23B850D0" w:rsidR="00ED16B1" w:rsidRPr="003C0DF0" w:rsidRDefault="00ED16B1" w:rsidP="006E539B">
      <w:pPr>
        <w:spacing w:after="0" w:line="240" w:lineRule="auto"/>
        <w:jc w:val="both"/>
        <w:rPr>
          <w:rFonts w:ascii="Times New Roman" w:hAnsi="Times New Roman"/>
          <w:noProof/>
          <w:sz w:val="24"/>
          <w:szCs w:val="26"/>
        </w:rPr>
      </w:pPr>
    </w:p>
    <w:p w14:paraId="2620914F" w14:textId="77777777" w:rsidR="00ED16B1" w:rsidRPr="003C0DF0" w:rsidRDefault="00ED16B1" w:rsidP="006E539B">
      <w:pPr>
        <w:spacing w:after="0" w:line="240" w:lineRule="auto"/>
        <w:jc w:val="both"/>
        <w:rPr>
          <w:rFonts w:ascii="Times New Roman" w:hAnsi="Times New Roman"/>
          <w:noProof/>
          <w:sz w:val="24"/>
          <w:szCs w:val="26"/>
        </w:rPr>
      </w:pPr>
      <w:r w:rsidRPr="003C0DF0">
        <w:rPr>
          <w:rFonts w:ascii="Times New Roman" w:hAnsi="Times New Roman"/>
        </w:rPr>
        <w:br w:type="page"/>
      </w:r>
    </w:p>
    <w:p w14:paraId="4A7343C4" w14:textId="6F46E826" w:rsidR="00ED16B1" w:rsidRPr="001E4898" w:rsidRDefault="00A2579D" w:rsidP="001E4898">
      <w:pPr>
        <w:pStyle w:val="Heading1"/>
      </w:pPr>
      <w:bookmarkStart w:id="59" w:name="_Toc421550746"/>
      <w:bookmarkStart w:id="60" w:name="_Toc453155050"/>
      <w:r w:rsidRPr="001E4898">
        <w:lastRenderedPageBreak/>
        <w:t>4. Action Plan for Implementation of a New Financing Model</w:t>
      </w:r>
      <w:bookmarkEnd w:id="59"/>
      <w:bookmarkEnd w:id="60"/>
    </w:p>
    <w:p w14:paraId="0E44F1EB" w14:textId="77777777" w:rsidR="00A2579D" w:rsidRPr="003C0DF0" w:rsidRDefault="00A2579D" w:rsidP="00A2579D">
      <w:pPr>
        <w:rPr>
          <w:rFonts w:ascii="Times New Roman" w:hAnsi="Times New Roman"/>
        </w:rPr>
      </w:pPr>
    </w:p>
    <w:tbl>
      <w:tblPr>
        <w:tblW w:w="5000" w:type="pct"/>
        <w:tblLook w:val="04A0" w:firstRow="1" w:lastRow="0" w:firstColumn="1" w:lastColumn="0" w:noHBand="0" w:noVBand="1"/>
      </w:tblPr>
      <w:tblGrid>
        <w:gridCol w:w="850"/>
        <w:gridCol w:w="5069"/>
        <w:gridCol w:w="1671"/>
        <w:gridCol w:w="1461"/>
      </w:tblGrid>
      <w:tr w:rsidR="00ED16B1" w:rsidRPr="003C0DF0" w14:paraId="4FDE84CB" w14:textId="77777777" w:rsidTr="001E4898">
        <w:tc>
          <w:tcPr>
            <w:tcW w:w="470" w:type="pct"/>
            <w:tcBorders>
              <w:top w:val="single" w:sz="8" w:space="0" w:color="000000"/>
              <w:left w:val="single" w:sz="8" w:space="0" w:color="000000"/>
              <w:bottom w:val="single" w:sz="8" w:space="0" w:color="000000"/>
              <w:right w:val="single" w:sz="8" w:space="0" w:color="000000"/>
            </w:tcBorders>
            <w:shd w:val="clear" w:color="auto" w:fill="DBE5F1" w:themeFill="accent1" w:themeFillTint="33"/>
            <w:hideMark/>
          </w:tcPr>
          <w:p w14:paraId="42FB83AE" w14:textId="77777777" w:rsidR="00ED16B1" w:rsidRPr="003C0DF0" w:rsidRDefault="00ED16B1" w:rsidP="006E539B">
            <w:pPr>
              <w:spacing w:after="0" w:line="240" w:lineRule="auto"/>
              <w:jc w:val="both"/>
              <w:rPr>
                <w:rFonts w:ascii="Times New Roman" w:eastAsia="Times New Roman" w:hAnsi="Times New Roman"/>
                <w:b/>
                <w:bCs/>
                <w:noProof/>
                <w:sz w:val="24"/>
                <w:szCs w:val="26"/>
              </w:rPr>
            </w:pPr>
            <w:r w:rsidRPr="003C0DF0">
              <w:rPr>
                <w:rFonts w:ascii="Times New Roman" w:hAnsi="Times New Roman"/>
                <w:b/>
                <w:noProof/>
                <w:sz w:val="24"/>
              </w:rPr>
              <w:t>No.</w:t>
            </w:r>
          </w:p>
        </w:tc>
        <w:tc>
          <w:tcPr>
            <w:tcW w:w="2800" w:type="pct"/>
            <w:tcBorders>
              <w:top w:val="single" w:sz="8" w:space="0" w:color="000000"/>
              <w:left w:val="nil"/>
              <w:bottom w:val="single" w:sz="8" w:space="0" w:color="000000"/>
              <w:right w:val="single" w:sz="8" w:space="0" w:color="000000"/>
            </w:tcBorders>
            <w:shd w:val="clear" w:color="auto" w:fill="DBE5F1" w:themeFill="accent1" w:themeFillTint="33"/>
            <w:hideMark/>
          </w:tcPr>
          <w:p w14:paraId="45F77D02" w14:textId="77777777" w:rsidR="00ED16B1" w:rsidRPr="003C0DF0" w:rsidRDefault="00ED16B1" w:rsidP="006E539B">
            <w:pPr>
              <w:spacing w:after="0" w:line="240" w:lineRule="auto"/>
              <w:jc w:val="both"/>
              <w:rPr>
                <w:rFonts w:ascii="Times New Roman" w:eastAsia="Times New Roman" w:hAnsi="Times New Roman"/>
                <w:b/>
                <w:bCs/>
                <w:noProof/>
                <w:sz w:val="24"/>
                <w:szCs w:val="26"/>
              </w:rPr>
            </w:pPr>
            <w:r w:rsidRPr="003C0DF0">
              <w:rPr>
                <w:rFonts w:ascii="Times New Roman" w:hAnsi="Times New Roman"/>
                <w:b/>
                <w:noProof/>
                <w:sz w:val="24"/>
              </w:rPr>
              <w:t>Action</w:t>
            </w:r>
          </w:p>
        </w:tc>
        <w:tc>
          <w:tcPr>
            <w:tcW w:w="923" w:type="pct"/>
            <w:tcBorders>
              <w:top w:val="single" w:sz="8" w:space="0" w:color="000000"/>
              <w:left w:val="nil"/>
              <w:bottom w:val="single" w:sz="8" w:space="0" w:color="000000"/>
              <w:right w:val="single" w:sz="8" w:space="0" w:color="000000"/>
            </w:tcBorders>
            <w:shd w:val="clear" w:color="auto" w:fill="DBE5F1" w:themeFill="accent1" w:themeFillTint="33"/>
            <w:hideMark/>
          </w:tcPr>
          <w:p w14:paraId="4283848D" w14:textId="77777777" w:rsidR="00ED16B1" w:rsidRPr="003C0DF0" w:rsidRDefault="00ED16B1" w:rsidP="00A2579D">
            <w:pPr>
              <w:spacing w:after="0" w:line="240" w:lineRule="auto"/>
              <w:jc w:val="center"/>
              <w:rPr>
                <w:rFonts w:ascii="Times New Roman" w:eastAsia="Times New Roman" w:hAnsi="Times New Roman"/>
                <w:b/>
                <w:bCs/>
                <w:noProof/>
                <w:sz w:val="24"/>
                <w:szCs w:val="26"/>
              </w:rPr>
            </w:pPr>
            <w:r w:rsidRPr="003C0DF0">
              <w:rPr>
                <w:rFonts w:ascii="Times New Roman" w:hAnsi="Times New Roman"/>
                <w:b/>
                <w:noProof/>
                <w:sz w:val="24"/>
              </w:rPr>
              <w:t>Executor</w:t>
            </w:r>
          </w:p>
        </w:tc>
        <w:tc>
          <w:tcPr>
            <w:tcW w:w="808" w:type="pct"/>
            <w:tcBorders>
              <w:top w:val="single" w:sz="8" w:space="0" w:color="000000"/>
              <w:left w:val="nil"/>
              <w:bottom w:val="single" w:sz="8" w:space="0" w:color="000000"/>
              <w:right w:val="single" w:sz="8" w:space="0" w:color="000000"/>
            </w:tcBorders>
            <w:shd w:val="clear" w:color="auto" w:fill="DBE5F1" w:themeFill="accent1" w:themeFillTint="33"/>
            <w:hideMark/>
          </w:tcPr>
          <w:p w14:paraId="4A80F25C" w14:textId="77777777" w:rsidR="00ED16B1" w:rsidRPr="003C0DF0" w:rsidRDefault="00ED16B1" w:rsidP="001E4898">
            <w:pPr>
              <w:spacing w:after="0" w:line="240" w:lineRule="auto"/>
              <w:rPr>
                <w:rFonts w:ascii="Times New Roman" w:eastAsia="Times New Roman" w:hAnsi="Times New Roman"/>
                <w:b/>
                <w:bCs/>
                <w:noProof/>
                <w:sz w:val="24"/>
                <w:szCs w:val="26"/>
              </w:rPr>
            </w:pPr>
            <w:r w:rsidRPr="003C0DF0">
              <w:rPr>
                <w:rFonts w:ascii="Times New Roman" w:hAnsi="Times New Roman"/>
                <w:b/>
                <w:noProof/>
                <w:sz w:val="24"/>
              </w:rPr>
              <w:t>Time period, deadline</w:t>
            </w:r>
          </w:p>
        </w:tc>
      </w:tr>
      <w:tr w:rsidR="00ED16B1" w:rsidRPr="003C0DF0" w14:paraId="4F88679B" w14:textId="77777777" w:rsidTr="001E4898">
        <w:tc>
          <w:tcPr>
            <w:tcW w:w="470" w:type="pct"/>
            <w:tcBorders>
              <w:top w:val="single" w:sz="8" w:space="0" w:color="000000"/>
              <w:left w:val="single" w:sz="8" w:space="0" w:color="000000"/>
              <w:bottom w:val="single" w:sz="8" w:space="0" w:color="000000"/>
              <w:right w:val="single" w:sz="8" w:space="0" w:color="000000"/>
            </w:tcBorders>
            <w:shd w:val="clear" w:color="auto" w:fill="auto"/>
          </w:tcPr>
          <w:p w14:paraId="269943A1" w14:textId="77777777" w:rsidR="00ED16B1" w:rsidRPr="003C0DF0" w:rsidRDefault="00ED16B1" w:rsidP="006E539B">
            <w:pPr>
              <w:spacing w:after="0" w:line="240" w:lineRule="auto"/>
              <w:jc w:val="both"/>
              <w:rPr>
                <w:rFonts w:ascii="Times New Roman" w:eastAsia="Times New Roman" w:hAnsi="Times New Roman"/>
                <w:bCs/>
                <w:noProof/>
                <w:sz w:val="24"/>
                <w:szCs w:val="26"/>
              </w:rPr>
            </w:pPr>
            <w:r w:rsidRPr="003C0DF0">
              <w:rPr>
                <w:rFonts w:ascii="Times New Roman" w:hAnsi="Times New Roman"/>
                <w:noProof/>
                <w:sz w:val="24"/>
              </w:rPr>
              <w:t>1.</w:t>
            </w:r>
          </w:p>
        </w:tc>
        <w:tc>
          <w:tcPr>
            <w:tcW w:w="2800" w:type="pct"/>
            <w:tcBorders>
              <w:top w:val="single" w:sz="8" w:space="0" w:color="000000"/>
              <w:left w:val="nil"/>
              <w:bottom w:val="single" w:sz="8" w:space="0" w:color="000000"/>
              <w:right w:val="single" w:sz="8" w:space="0" w:color="000000"/>
            </w:tcBorders>
            <w:shd w:val="clear" w:color="auto" w:fill="auto"/>
          </w:tcPr>
          <w:p w14:paraId="60C42FD5" w14:textId="77777777" w:rsidR="00ED16B1" w:rsidRPr="003C0DF0" w:rsidRDefault="00ED16B1" w:rsidP="006E539B">
            <w:pPr>
              <w:spacing w:after="0" w:line="240" w:lineRule="auto"/>
              <w:jc w:val="both"/>
              <w:rPr>
                <w:rFonts w:ascii="Times New Roman" w:hAnsi="Times New Roman"/>
                <w:noProof/>
                <w:sz w:val="24"/>
                <w:szCs w:val="26"/>
              </w:rPr>
            </w:pPr>
            <w:r w:rsidRPr="003C0DF0">
              <w:rPr>
                <w:rFonts w:ascii="Times New Roman" w:hAnsi="Times New Roman"/>
                <w:noProof/>
                <w:sz w:val="24"/>
              </w:rPr>
              <w:t>Amendments to Cabinet Regulation No. 994, Procedures for the Financing of Institutions of Higher Education and Colleges from the Funds of the State Budget, have been prepared and submitted to the Cabinet for revision, determining the procedures for the allocation of funds to sub-programme 03.03.00 “Development of Scientific Activity in Institutions of Higher Education and Colleges”, for performance in the provision of research-based higher education in institutions of higher education, which have introduced performance management.</w:t>
            </w:r>
          </w:p>
        </w:tc>
        <w:tc>
          <w:tcPr>
            <w:tcW w:w="923" w:type="pct"/>
            <w:tcBorders>
              <w:top w:val="single" w:sz="8" w:space="0" w:color="000000"/>
              <w:left w:val="nil"/>
              <w:bottom w:val="single" w:sz="8" w:space="0" w:color="000000"/>
              <w:right w:val="single" w:sz="8" w:space="0" w:color="000000"/>
            </w:tcBorders>
            <w:shd w:val="clear" w:color="auto" w:fill="auto"/>
          </w:tcPr>
          <w:p w14:paraId="616BEEFF" w14:textId="77777777" w:rsidR="00ED16B1" w:rsidRPr="003C0DF0" w:rsidRDefault="00ED16B1" w:rsidP="006E539B">
            <w:pPr>
              <w:spacing w:after="0" w:line="240" w:lineRule="auto"/>
              <w:jc w:val="both"/>
              <w:rPr>
                <w:rFonts w:ascii="Times New Roman" w:eastAsia="Times New Roman" w:hAnsi="Times New Roman"/>
                <w:bCs/>
                <w:noProof/>
                <w:sz w:val="24"/>
                <w:szCs w:val="26"/>
              </w:rPr>
            </w:pPr>
            <w:r w:rsidRPr="003C0DF0">
              <w:rPr>
                <w:rFonts w:ascii="Times New Roman" w:hAnsi="Times New Roman"/>
                <w:noProof/>
                <w:sz w:val="24"/>
              </w:rPr>
              <w:t>MoES</w:t>
            </w:r>
          </w:p>
        </w:tc>
        <w:tc>
          <w:tcPr>
            <w:tcW w:w="808" w:type="pct"/>
            <w:tcBorders>
              <w:top w:val="single" w:sz="8" w:space="0" w:color="000000"/>
              <w:left w:val="nil"/>
              <w:bottom w:val="single" w:sz="8" w:space="0" w:color="000000"/>
              <w:right w:val="single" w:sz="8" w:space="0" w:color="000000"/>
            </w:tcBorders>
            <w:shd w:val="clear" w:color="auto" w:fill="auto"/>
          </w:tcPr>
          <w:p w14:paraId="04BC86B4" w14:textId="77777777" w:rsidR="00ED16B1" w:rsidRPr="003C0DF0" w:rsidRDefault="00ED16B1" w:rsidP="001E4898">
            <w:pPr>
              <w:spacing w:after="0" w:line="240" w:lineRule="auto"/>
              <w:rPr>
                <w:rFonts w:ascii="Times New Roman" w:eastAsia="Times New Roman" w:hAnsi="Times New Roman"/>
                <w:bCs/>
                <w:noProof/>
                <w:sz w:val="24"/>
                <w:szCs w:val="26"/>
              </w:rPr>
            </w:pPr>
            <w:r w:rsidRPr="003C0DF0">
              <w:rPr>
                <w:rFonts w:ascii="Times New Roman" w:hAnsi="Times New Roman"/>
                <w:noProof/>
                <w:sz w:val="24"/>
              </w:rPr>
              <w:t>1 July 2015</w:t>
            </w:r>
          </w:p>
        </w:tc>
      </w:tr>
      <w:tr w:rsidR="00ED16B1" w:rsidRPr="003C0DF0" w14:paraId="561F8A9F" w14:textId="77777777" w:rsidTr="001E4898">
        <w:tc>
          <w:tcPr>
            <w:tcW w:w="470" w:type="pct"/>
            <w:tcBorders>
              <w:top w:val="single" w:sz="8" w:space="0" w:color="000000"/>
              <w:left w:val="single" w:sz="8" w:space="0" w:color="000000"/>
              <w:bottom w:val="single" w:sz="8" w:space="0" w:color="000000"/>
              <w:right w:val="single" w:sz="8" w:space="0" w:color="000000"/>
            </w:tcBorders>
            <w:shd w:val="clear" w:color="auto" w:fill="auto"/>
          </w:tcPr>
          <w:p w14:paraId="3EFB7256" w14:textId="77777777" w:rsidR="00ED16B1" w:rsidRPr="003C0DF0" w:rsidRDefault="00ED16B1" w:rsidP="006E539B">
            <w:pPr>
              <w:spacing w:after="0" w:line="240" w:lineRule="auto"/>
              <w:jc w:val="both"/>
              <w:rPr>
                <w:rFonts w:ascii="Times New Roman" w:eastAsia="Times New Roman" w:hAnsi="Times New Roman"/>
                <w:bCs/>
                <w:noProof/>
                <w:sz w:val="24"/>
                <w:szCs w:val="26"/>
              </w:rPr>
            </w:pPr>
            <w:r w:rsidRPr="003C0DF0">
              <w:rPr>
                <w:rFonts w:ascii="Times New Roman" w:hAnsi="Times New Roman"/>
                <w:noProof/>
                <w:sz w:val="24"/>
              </w:rPr>
              <w:t>2.</w:t>
            </w:r>
          </w:p>
        </w:tc>
        <w:tc>
          <w:tcPr>
            <w:tcW w:w="2800" w:type="pct"/>
            <w:tcBorders>
              <w:top w:val="single" w:sz="8" w:space="0" w:color="000000"/>
              <w:left w:val="nil"/>
              <w:bottom w:val="single" w:sz="8" w:space="0" w:color="000000"/>
              <w:right w:val="single" w:sz="8" w:space="0" w:color="000000"/>
            </w:tcBorders>
            <w:shd w:val="clear" w:color="auto" w:fill="auto"/>
          </w:tcPr>
          <w:p w14:paraId="4F5E1C97" w14:textId="77777777" w:rsidR="00ED16B1" w:rsidRPr="003C0DF0" w:rsidRDefault="00ED16B1" w:rsidP="006E539B">
            <w:pPr>
              <w:pStyle w:val="naisc"/>
              <w:spacing w:before="0" w:after="0"/>
              <w:jc w:val="both"/>
              <w:rPr>
                <w:noProof/>
                <w:szCs w:val="26"/>
              </w:rPr>
            </w:pPr>
            <w:r w:rsidRPr="003C0DF0">
              <w:t>Amendments to Cabinet Regulation No. 1316 of 12 November 2013, Procedures for the Calculation and Allocation of Financial Reference Amount to Scientific Institutions, have been prepared and submitted to the Cabinet for revision, determining that in 2016 upon allocating the base funding of science, the number of academic personnel in full time equivalent is taken into account.</w:t>
            </w:r>
          </w:p>
        </w:tc>
        <w:tc>
          <w:tcPr>
            <w:tcW w:w="923" w:type="pct"/>
            <w:tcBorders>
              <w:top w:val="single" w:sz="8" w:space="0" w:color="000000"/>
              <w:left w:val="nil"/>
              <w:bottom w:val="single" w:sz="8" w:space="0" w:color="000000"/>
              <w:right w:val="single" w:sz="8" w:space="0" w:color="000000"/>
            </w:tcBorders>
            <w:shd w:val="clear" w:color="auto" w:fill="auto"/>
          </w:tcPr>
          <w:p w14:paraId="687BB467" w14:textId="77777777" w:rsidR="00ED16B1" w:rsidRPr="003C0DF0" w:rsidRDefault="00ED16B1" w:rsidP="006E539B">
            <w:pPr>
              <w:spacing w:after="0" w:line="240" w:lineRule="auto"/>
              <w:jc w:val="both"/>
              <w:rPr>
                <w:rFonts w:ascii="Times New Roman" w:eastAsia="Times New Roman" w:hAnsi="Times New Roman"/>
                <w:bCs/>
                <w:noProof/>
                <w:sz w:val="24"/>
                <w:szCs w:val="26"/>
              </w:rPr>
            </w:pPr>
            <w:r w:rsidRPr="003C0DF0">
              <w:rPr>
                <w:rFonts w:ascii="Times New Roman" w:hAnsi="Times New Roman"/>
                <w:noProof/>
                <w:sz w:val="24"/>
              </w:rPr>
              <w:t>MoES</w:t>
            </w:r>
          </w:p>
        </w:tc>
        <w:tc>
          <w:tcPr>
            <w:tcW w:w="808" w:type="pct"/>
            <w:tcBorders>
              <w:top w:val="single" w:sz="8" w:space="0" w:color="000000"/>
              <w:left w:val="nil"/>
              <w:bottom w:val="single" w:sz="8" w:space="0" w:color="000000"/>
              <w:right w:val="single" w:sz="8" w:space="0" w:color="000000"/>
            </w:tcBorders>
            <w:shd w:val="clear" w:color="auto" w:fill="auto"/>
          </w:tcPr>
          <w:p w14:paraId="6CC4D4AB" w14:textId="77777777" w:rsidR="00ED16B1" w:rsidRPr="003C0DF0" w:rsidRDefault="00ED16B1" w:rsidP="001E4898">
            <w:pPr>
              <w:spacing w:after="0" w:line="240" w:lineRule="auto"/>
              <w:rPr>
                <w:rFonts w:ascii="Times New Roman" w:eastAsia="Times New Roman" w:hAnsi="Times New Roman"/>
                <w:bCs/>
                <w:noProof/>
                <w:sz w:val="24"/>
                <w:szCs w:val="26"/>
              </w:rPr>
            </w:pPr>
            <w:r w:rsidRPr="003C0DF0">
              <w:rPr>
                <w:rFonts w:ascii="Times New Roman" w:hAnsi="Times New Roman"/>
                <w:noProof/>
                <w:sz w:val="24"/>
              </w:rPr>
              <w:t>1 August 2015</w:t>
            </w:r>
          </w:p>
        </w:tc>
      </w:tr>
      <w:tr w:rsidR="00ED16B1" w:rsidRPr="003C0DF0" w14:paraId="53FA3FF8" w14:textId="77777777" w:rsidTr="001E4898">
        <w:tc>
          <w:tcPr>
            <w:tcW w:w="470" w:type="pct"/>
            <w:tcBorders>
              <w:top w:val="single" w:sz="8" w:space="0" w:color="000000"/>
              <w:left w:val="single" w:sz="8" w:space="0" w:color="000000"/>
              <w:bottom w:val="single" w:sz="8" w:space="0" w:color="000000"/>
              <w:right w:val="single" w:sz="8" w:space="0" w:color="000000"/>
            </w:tcBorders>
            <w:shd w:val="clear" w:color="auto" w:fill="auto"/>
          </w:tcPr>
          <w:p w14:paraId="45A64BE5" w14:textId="329241A2" w:rsidR="00ED16B1" w:rsidRPr="003C0DF0" w:rsidRDefault="00ED16B1" w:rsidP="00A2579D">
            <w:pPr>
              <w:spacing w:after="0" w:line="240" w:lineRule="auto"/>
              <w:jc w:val="both"/>
              <w:rPr>
                <w:rFonts w:ascii="Times New Roman" w:eastAsia="Times New Roman" w:hAnsi="Times New Roman"/>
                <w:bCs/>
                <w:noProof/>
                <w:sz w:val="24"/>
                <w:szCs w:val="26"/>
              </w:rPr>
            </w:pPr>
            <w:r w:rsidRPr="003C0DF0">
              <w:rPr>
                <w:rFonts w:ascii="Times New Roman" w:hAnsi="Times New Roman"/>
                <w:noProof/>
                <w:sz w:val="24"/>
              </w:rPr>
              <w:t>3.</w:t>
            </w:r>
          </w:p>
        </w:tc>
        <w:tc>
          <w:tcPr>
            <w:tcW w:w="2800" w:type="pct"/>
            <w:tcBorders>
              <w:top w:val="single" w:sz="8" w:space="0" w:color="000000"/>
              <w:left w:val="nil"/>
              <w:bottom w:val="single" w:sz="8" w:space="0" w:color="000000"/>
              <w:right w:val="single" w:sz="8" w:space="0" w:color="000000"/>
            </w:tcBorders>
            <w:shd w:val="clear" w:color="auto" w:fill="auto"/>
          </w:tcPr>
          <w:p w14:paraId="17BA64F0" w14:textId="77777777" w:rsidR="00ED16B1" w:rsidRPr="003C0DF0" w:rsidRDefault="00ED16B1" w:rsidP="006E539B">
            <w:pPr>
              <w:pStyle w:val="ColorfulList-Accent11"/>
              <w:ind w:left="0"/>
              <w:jc w:val="both"/>
              <w:rPr>
                <w:noProof/>
                <w:szCs w:val="26"/>
              </w:rPr>
            </w:pPr>
            <w:r w:rsidRPr="003C0DF0">
              <w:t>Amendments to Cabinet Regulation No. 994 of 12 December 2006, Procedures for the Financing of Institutions of Higher Education and Colleges from the Funds of the State Budget, have been prepared and submitted to the Cabinet for revision, determining the procedures by which the methodology for the calculation of base costs of a study place is updated and study cost coefficients are consolidated, by incorporating as a criterion a coefficient which supports accessibility of higher education in the regions and drawing up of programmes that meet the needs of the labour market, as well as by updating the legal framework for performance agreements.</w:t>
            </w:r>
          </w:p>
        </w:tc>
        <w:tc>
          <w:tcPr>
            <w:tcW w:w="923" w:type="pct"/>
            <w:tcBorders>
              <w:top w:val="single" w:sz="8" w:space="0" w:color="000000"/>
              <w:left w:val="nil"/>
              <w:bottom w:val="single" w:sz="8" w:space="0" w:color="000000"/>
              <w:right w:val="single" w:sz="8" w:space="0" w:color="000000"/>
            </w:tcBorders>
            <w:shd w:val="clear" w:color="auto" w:fill="auto"/>
          </w:tcPr>
          <w:p w14:paraId="64BF0F5F" w14:textId="77777777" w:rsidR="00ED16B1" w:rsidRPr="003C0DF0" w:rsidRDefault="00ED16B1" w:rsidP="006E539B">
            <w:pPr>
              <w:spacing w:after="0" w:line="240" w:lineRule="auto"/>
              <w:jc w:val="both"/>
              <w:rPr>
                <w:rFonts w:ascii="Times New Roman" w:eastAsia="Times New Roman" w:hAnsi="Times New Roman"/>
                <w:bCs/>
                <w:noProof/>
                <w:sz w:val="24"/>
                <w:szCs w:val="26"/>
              </w:rPr>
            </w:pPr>
            <w:r w:rsidRPr="003C0DF0">
              <w:rPr>
                <w:rFonts w:ascii="Times New Roman" w:hAnsi="Times New Roman"/>
                <w:noProof/>
                <w:sz w:val="24"/>
              </w:rPr>
              <w:t>MoES</w:t>
            </w:r>
          </w:p>
        </w:tc>
        <w:tc>
          <w:tcPr>
            <w:tcW w:w="808" w:type="pct"/>
            <w:tcBorders>
              <w:top w:val="single" w:sz="8" w:space="0" w:color="000000"/>
              <w:left w:val="nil"/>
              <w:bottom w:val="single" w:sz="8" w:space="0" w:color="000000"/>
              <w:right w:val="single" w:sz="8" w:space="0" w:color="000000"/>
            </w:tcBorders>
            <w:shd w:val="clear" w:color="auto" w:fill="auto"/>
          </w:tcPr>
          <w:p w14:paraId="10BD9498" w14:textId="77777777" w:rsidR="00ED16B1" w:rsidRPr="003C0DF0" w:rsidRDefault="00ED16B1" w:rsidP="001E4898">
            <w:pPr>
              <w:spacing w:after="0" w:line="240" w:lineRule="auto"/>
              <w:rPr>
                <w:rFonts w:ascii="Times New Roman" w:eastAsia="Times New Roman" w:hAnsi="Times New Roman"/>
                <w:bCs/>
                <w:noProof/>
                <w:sz w:val="24"/>
                <w:szCs w:val="26"/>
              </w:rPr>
            </w:pPr>
            <w:r w:rsidRPr="003C0DF0">
              <w:rPr>
                <w:rFonts w:ascii="Times New Roman" w:hAnsi="Times New Roman"/>
                <w:noProof/>
                <w:sz w:val="24"/>
              </w:rPr>
              <w:t>1 August 2015</w:t>
            </w:r>
          </w:p>
        </w:tc>
      </w:tr>
      <w:tr w:rsidR="00ED16B1" w:rsidRPr="003C0DF0" w14:paraId="7FD92933" w14:textId="77777777" w:rsidTr="001E4898">
        <w:tc>
          <w:tcPr>
            <w:tcW w:w="470" w:type="pct"/>
            <w:tcBorders>
              <w:top w:val="single" w:sz="8" w:space="0" w:color="000000"/>
              <w:left w:val="single" w:sz="8" w:space="0" w:color="000000"/>
              <w:bottom w:val="single" w:sz="8" w:space="0" w:color="000000"/>
              <w:right w:val="single" w:sz="8" w:space="0" w:color="000000"/>
            </w:tcBorders>
            <w:shd w:val="clear" w:color="auto" w:fill="auto"/>
          </w:tcPr>
          <w:p w14:paraId="4274E223" w14:textId="77777777" w:rsidR="00ED16B1" w:rsidRPr="003C0DF0" w:rsidRDefault="00ED16B1" w:rsidP="006E539B">
            <w:pPr>
              <w:spacing w:after="0" w:line="240" w:lineRule="auto"/>
              <w:jc w:val="both"/>
              <w:rPr>
                <w:rFonts w:ascii="Times New Roman" w:eastAsia="Times New Roman" w:hAnsi="Times New Roman"/>
                <w:bCs/>
                <w:noProof/>
                <w:sz w:val="24"/>
                <w:szCs w:val="26"/>
              </w:rPr>
            </w:pPr>
            <w:r w:rsidRPr="003C0DF0">
              <w:rPr>
                <w:rFonts w:ascii="Times New Roman" w:hAnsi="Times New Roman"/>
                <w:noProof/>
                <w:sz w:val="24"/>
              </w:rPr>
              <w:t>4.</w:t>
            </w:r>
          </w:p>
        </w:tc>
        <w:tc>
          <w:tcPr>
            <w:tcW w:w="2800" w:type="pct"/>
            <w:tcBorders>
              <w:top w:val="single" w:sz="8" w:space="0" w:color="000000"/>
              <w:left w:val="nil"/>
              <w:bottom w:val="single" w:sz="8" w:space="0" w:color="000000"/>
              <w:right w:val="single" w:sz="8" w:space="0" w:color="000000"/>
            </w:tcBorders>
            <w:shd w:val="clear" w:color="auto" w:fill="auto"/>
          </w:tcPr>
          <w:p w14:paraId="191438C7" w14:textId="77777777" w:rsidR="00ED16B1" w:rsidRPr="003C0DF0" w:rsidRDefault="00ED16B1" w:rsidP="006E539B">
            <w:pPr>
              <w:spacing w:after="0" w:line="240" w:lineRule="auto"/>
              <w:jc w:val="both"/>
              <w:rPr>
                <w:rFonts w:ascii="Times New Roman" w:hAnsi="Times New Roman"/>
                <w:noProof/>
                <w:sz w:val="24"/>
                <w:szCs w:val="26"/>
              </w:rPr>
            </w:pPr>
            <w:r w:rsidRPr="003C0DF0">
              <w:rPr>
                <w:rFonts w:ascii="Times New Roman" w:hAnsi="Times New Roman"/>
                <w:noProof/>
                <w:sz w:val="24"/>
              </w:rPr>
              <w:t>Updated Work Remuneration By-laws, approved by the decision-making bodies of institutions of higher education and colleges, laying down the common principles and criteria for the calculation of remuneration of the elected academic personnel of institutions of higher education and colleges, introducing performance management in the remuneration policy, have been submitted to the ministry.</w:t>
            </w:r>
          </w:p>
        </w:tc>
        <w:tc>
          <w:tcPr>
            <w:tcW w:w="923" w:type="pct"/>
            <w:tcBorders>
              <w:top w:val="single" w:sz="8" w:space="0" w:color="000000"/>
              <w:left w:val="nil"/>
              <w:bottom w:val="single" w:sz="8" w:space="0" w:color="000000"/>
              <w:right w:val="single" w:sz="8" w:space="0" w:color="000000"/>
            </w:tcBorders>
            <w:shd w:val="clear" w:color="auto" w:fill="auto"/>
          </w:tcPr>
          <w:p w14:paraId="37D2D886" w14:textId="77777777" w:rsidR="00ED16B1" w:rsidRPr="003C0DF0" w:rsidRDefault="00ED16B1" w:rsidP="006E539B">
            <w:pPr>
              <w:spacing w:after="0" w:line="240" w:lineRule="auto"/>
              <w:jc w:val="both"/>
              <w:rPr>
                <w:rFonts w:ascii="Times New Roman" w:eastAsia="Times New Roman" w:hAnsi="Times New Roman"/>
                <w:bCs/>
                <w:noProof/>
                <w:sz w:val="24"/>
                <w:szCs w:val="26"/>
              </w:rPr>
            </w:pPr>
            <w:r w:rsidRPr="003C0DF0">
              <w:rPr>
                <w:rFonts w:ascii="Times New Roman" w:hAnsi="Times New Roman"/>
                <w:noProof/>
                <w:sz w:val="24"/>
              </w:rPr>
              <w:t>IHE</w:t>
            </w:r>
          </w:p>
        </w:tc>
        <w:tc>
          <w:tcPr>
            <w:tcW w:w="808" w:type="pct"/>
            <w:tcBorders>
              <w:top w:val="single" w:sz="8" w:space="0" w:color="000000"/>
              <w:left w:val="nil"/>
              <w:bottom w:val="single" w:sz="8" w:space="0" w:color="000000"/>
              <w:right w:val="single" w:sz="8" w:space="0" w:color="000000"/>
            </w:tcBorders>
            <w:shd w:val="clear" w:color="auto" w:fill="auto"/>
          </w:tcPr>
          <w:p w14:paraId="2EC9694B" w14:textId="77777777" w:rsidR="00ED16B1" w:rsidRPr="003C0DF0" w:rsidRDefault="00ED16B1" w:rsidP="001E4898">
            <w:pPr>
              <w:spacing w:after="0" w:line="240" w:lineRule="auto"/>
              <w:rPr>
                <w:rFonts w:ascii="Times New Roman" w:eastAsia="Times New Roman" w:hAnsi="Times New Roman"/>
                <w:bCs/>
                <w:noProof/>
                <w:sz w:val="24"/>
                <w:szCs w:val="26"/>
              </w:rPr>
            </w:pPr>
            <w:r w:rsidRPr="003C0DF0">
              <w:rPr>
                <w:rFonts w:ascii="Times New Roman" w:hAnsi="Times New Roman"/>
                <w:noProof/>
                <w:sz w:val="24"/>
              </w:rPr>
              <w:t>1 September 2015</w:t>
            </w:r>
          </w:p>
        </w:tc>
      </w:tr>
      <w:tr w:rsidR="00ED16B1" w:rsidRPr="003C0DF0" w14:paraId="707B815A" w14:textId="77777777" w:rsidTr="001E4898">
        <w:tc>
          <w:tcPr>
            <w:tcW w:w="470" w:type="pct"/>
            <w:tcBorders>
              <w:top w:val="single" w:sz="8" w:space="0" w:color="000000"/>
              <w:left w:val="single" w:sz="8" w:space="0" w:color="000000"/>
              <w:bottom w:val="single" w:sz="8" w:space="0" w:color="000000"/>
              <w:right w:val="single" w:sz="8" w:space="0" w:color="000000"/>
            </w:tcBorders>
            <w:shd w:val="clear" w:color="auto" w:fill="auto"/>
          </w:tcPr>
          <w:p w14:paraId="490E8A41" w14:textId="77777777" w:rsidR="00ED16B1" w:rsidRPr="003C0DF0" w:rsidRDefault="00ED16B1" w:rsidP="006E539B">
            <w:pPr>
              <w:spacing w:after="0" w:line="240" w:lineRule="auto"/>
              <w:jc w:val="both"/>
              <w:rPr>
                <w:rFonts w:ascii="Times New Roman" w:eastAsia="Times New Roman" w:hAnsi="Times New Roman"/>
                <w:bCs/>
                <w:noProof/>
                <w:sz w:val="24"/>
                <w:szCs w:val="26"/>
              </w:rPr>
            </w:pPr>
            <w:r w:rsidRPr="003C0DF0">
              <w:rPr>
                <w:rFonts w:ascii="Times New Roman" w:hAnsi="Times New Roman"/>
                <w:noProof/>
                <w:sz w:val="24"/>
              </w:rPr>
              <w:t>5.</w:t>
            </w:r>
          </w:p>
        </w:tc>
        <w:tc>
          <w:tcPr>
            <w:tcW w:w="2800" w:type="pct"/>
            <w:tcBorders>
              <w:top w:val="single" w:sz="8" w:space="0" w:color="000000"/>
              <w:left w:val="nil"/>
              <w:bottom w:val="single" w:sz="8" w:space="0" w:color="000000"/>
              <w:right w:val="single" w:sz="8" w:space="0" w:color="000000"/>
            </w:tcBorders>
            <w:shd w:val="clear" w:color="auto" w:fill="auto"/>
          </w:tcPr>
          <w:p w14:paraId="4DDABBD9" w14:textId="77777777" w:rsidR="00ED16B1" w:rsidRPr="003C0DF0" w:rsidRDefault="00ED16B1" w:rsidP="006E539B">
            <w:pPr>
              <w:spacing w:after="0" w:line="240" w:lineRule="auto"/>
              <w:jc w:val="both"/>
              <w:rPr>
                <w:rFonts w:ascii="Times New Roman" w:eastAsia="Times New Roman" w:hAnsi="Times New Roman"/>
                <w:bCs/>
                <w:noProof/>
                <w:sz w:val="24"/>
                <w:szCs w:val="26"/>
              </w:rPr>
            </w:pPr>
            <w:r w:rsidRPr="003C0DF0">
              <w:rPr>
                <w:rFonts w:ascii="Times New Roman" w:hAnsi="Times New Roman"/>
                <w:noProof/>
                <w:sz w:val="24"/>
              </w:rPr>
              <w:t xml:space="preserve">Drawing up of performance agreements for a 3 – 5 year period, in co-operation and consultation with the sectoral ministries and institutions of </w:t>
            </w:r>
            <w:r w:rsidRPr="003C0DF0">
              <w:rPr>
                <w:rFonts w:ascii="Times New Roman" w:hAnsi="Times New Roman"/>
                <w:noProof/>
                <w:sz w:val="24"/>
              </w:rPr>
              <w:lastRenderedPageBreak/>
              <w:t>higher education under their supervision, determining the criteria for the allocation of funding for study and research results, including through consultations with institutions of higher education of art sector and the responsible ministry on the criteria for the formation of the funding necessary for artistic activity of institutions of higher education of art sector.</w:t>
            </w:r>
          </w:p>
        </w:tc>
        <w:tc>
          <w:tcPr>
            <w:tcW w:w="923" w:type="pct"/>
            <w:tcBorders>
              <w:top w:val="single" w:sz="8" w:space="0" w:color="000000"/>
              <w:left w:val="nil"/>
              <w:bottom w:val="single" w:sz="8" w:space="0" w:color="000000"/>
              <w:right w:val="single" w:sz="8" w:space="0" w:color="000000"/>
            </w:tcBorders>
            <w:shd w:val="clear" w:color="auto" w:fill="auto"/>
          </w:tcPr>
          <w:p w14:paraId="5B6564AC" w14:textId="77777777" w:rsidR="00ED16B1" w:rsidRPr="003C0DF0" w:rsidRDefault="00ED16B1" w:rsidP="006E539B">
            <w:pPr>
              <w:spacing w:after="0" w:line="240" w:lineRule="auto"/>
              <w:jc w:val="both"/>
              <w:rPr>
                <w:rFonts w:ascii="Times New Roman" w:eastAsia="Times New Roman" w:hAnsi="Times New Roman"/>
                <w:bCs/>
                <w:noProof/>
                <w:sz w:val="24"/>
                <w:szCs w:val="26"/>
              </w:rPr>
            </w:pPr>
            <w:r w:rsidRPr="003C0DF0">
              <w:rPr>
                <w:rFonts w:ascii="Times New Roman" w:hAnsi="Times New Roman"/>
                <w:noProof/>
                <w:sz w:val="24"/>
              </w:rPr>
              <w:lastRenderedPageBreak/>
              <w:t xml:space="preserve">MoES, MoC, MoH, MoA, institutions of </w:t>
            </w:r>
            <w:r w:rsidRPr="003C0DF0">
              <w:rPr>
                <w:rFonts w:ascii="Times New Roman" w:hAnsi="Times New Roman"/>
                <w:noProof/>
                <w:sz w:val="24"/>
              </w:rPr>
              <w:lastRenderedPageBreak/>
              <w:t>higher education, colleges</w:t>
            </w:r>
          </w:p>
        </w:tc>
        <w:tc>
          <w:tcPr>
            <w:tcW w:w="808" w:type="pct"/>
            <w:tcBorders>
              <w:top w:val="single" w:sz="8" w:space="0" w:color="000000"/>
              <w:left w:val="nil"/>
              <w:bottom w:val="single" w:sz="8" w:space="0" w:color="000000"/>
              <w:right w:val="single" w:sz="8" w:space="0" w:color="000000"/>
            </w:tcBorders>
            <w:shd w:val="clear" w:color="auto" w:fill="auto"/>
          </w:tcPr>
          <w:p w14:paraId="5BD40974" w14:textId="77777777" w:rsidR="00ED16B1" w:rsidRPr="003C0DF0" w:rsidRDefault="00ED16B1" w:rsidP="001E4898">
            <w:pPr>
              <w:spacing w:after="0" w:line="240" w:lineRule="auto"/>
              <w:rPr>
                <w:rFonts w:ascii="Times New Roman" w:eastAsia="Times New Roman" w:hAnsi="Times New Roman"/>
                <w:bCs/>
                <w:noProof/>
                <w:sz w:val="24"/>
                <w:szCs w:val="26"/>
              </w:rPr>
            </w:pPr>
            <w:r w:rsidRPr="003C0DF0">
              <w:rPr>
                <w:rFonts w:ascii="Times New Roman" w:hAnsi="Times New Roman"/>
                <w:noProof/>
                <w:sz w:val="24"/>
              </w:rPr>
              <w:lastRenderedPageBreak/>
              <w:t>1 November 2015</w:t>
            </w:r>
          </w:p>
        </w:tc>
      </w:tr>
      <w:tr w:rsidR="00ED16B1" w:rsidRPr="003C0DF0" w14:paraId="0550501D" w14:textId="77777777" w:rsidTr="001E4898">
        <w:tc>
          <w:tcPr>
            <w:tcW w:w="470" w:type="pct"/>
            <w:tcBorders>
              <w:top w:val="single" w:sz="8" w:space="0" w:color="000000"/>
              <w:left w:val="single" w:sz="8" w:space="0" w:color="000000"/>
              <w:bottom w:val="single" w:sz="8" w:space="0" w:color="000000"/>
              <w:right w:val="single" w:sz="8" w:space="0" w:color="000000"/>
            </w:tcBorders>
            <w:shd w:val="clear" w:color="auto" w:fill="auto"/>
          </w:tcPr>
          <w:p w14:paraId="4D1E4E35" w14:textId="77777777" w:rsidR="00ED16B1" w:rsidRPr="003C0DF0" w:rsidRDefault="00ED16B1" w:rsidP="006E539B">
            <w:pPr>
              <w:spacing w:after="0" w:line="240" w:lineRule="auto"/>
              <w:jc w:val="both"/>
              <w:rPr>
                <w:rFonts w:ascii="Times New Roman" w:eastAsia="Times New Roman" w:hAnsi="Times New Roman"/>
                <w:bCs/>
                <w:noProof/>
                <w:sz w:val="24"/>
                <w:szCs w:val="26"/>
              </w:rPr>
            </w:pPr>
            <w:r w:rsidRPr="003C0DF0">
              <w:rPr>
                <w:rFonts w:ascii="Times New Roman" w:hAnsi="Times New Roman"/>
                <w:noProof/>
                <w:sz w:val="24"/>
              </w:rPr>
              <w:lastRenderedPageBreak/>
              <w:t>6.</w:t>
            </w:r>
          </w:p>
        </w:tc>
        <w:tc>
          <w:tcPr>
            <w:tcW w:w="2800" w:type="pct"/>
            <w:tcBorders>
              <w:top w:val="single" w:sz="8" w:space="0" w:color="000000"/>
              <w:left w:val="nil"/>
              <w:bottom w:val="single" w:sz="8" w:space="0" w:color="000000"/>
              <w:right w:val="single" w:sz="8" w:space="0" w:color="000000"/>
            </w:tcBorders>
            <w:shd w:val="clear" w:color="auto" w:fill="auto"/>
          </w:tcPr>
          <w:p w14:paraId="1EAB327B" w14:textId="77777777" w:rsidR="00ED16B1" w:rsidRPr="003C0DF0" w:rsidRDefault="00ED16B1" w:rsidP="006E539B">
            <w:pPr>
              <w:spacing w:after="0" w:line="240" w:lineRule="auto"/>
              <w:jc w:val="both"/>
              <w:rPr>
                <w:rFonts w:ascii="Times New Roman" w:eastAsia="Times New Roman" w:hAnsi="Times New Roman"/>
                <w:bCs/>
                <w:noProof/>
                <w:sz w:val="24"/>
                <w:szCs w:val="26"/>
              </w:rPr>
            </w:pPr>
            <w:r w:rsidRPr="003C0DF0">
              <w:rPr>
                <w:rFonts w:ascii="Times New Roman" w:hAnsi="Times New Roman"/>
                <w:noProof/>
                <w:sz w:val="24"/>
              </w:rPr>
              <w:t>Projects have been drawn up for the promotion of development, excellence and innovation of institutions of higher education.</w:t>
            </w:r>
          </w:p>
        </w:tc>
        <w:tc>
          <w:tcPr>
            <w:tcW w:w="923" w:type="pct"/>
            <w:tcBorders>
              <w:top w:val="single" w:sz="8" w:space="0" w:color="000000"/>
              <w:left w:val="nil"/>
              <w:bottom w:val="single" w:sz="8" w:space="0" w:color="000000"/>
              <w:right w:val="single" w:sz="8" w:space="0" w:color="000000"/>
            </w:tcBorders>
            <w:shd w:val="clear" w:color="auto" w:fill="auto"/>
          </w:tcPr>
          <w:p w14:paraId="28BC4964" w14:textId="77777777" w:rsidR="00ED16B1" w:rsidRPr="003C0DF0" w:rsidRDefault="00ED16B1" w:rsidP="006E539B">
            <w:pPr>
              <w:spacing w:after="0" w:line="240" w:lineRule="auto"/>
              <w:jc w:val="both"/>
              <w:rPr>
                <w:rFonts w:ascii="Times New Roman" w:eastAsia="Times New Roman" w:hAnsi="Times New Roman"/>
                <w:bCs/>
                <w:noProof/>
                <w:sz w:val="24"/>
                <w:szCs w:val="26"/>
              </w:rPr>
            </w:pPr>
            <w:r w:rsidRPr="003C0DF0">
              <w:rPr>
                <w:rFonts w:ascii="Times New Roman" w:hAnsi="Times New Roman"/>
                <w:noProof/>
                <w:sz w:val="24"/>
              </w:rPr>
              <w:t>Institutions of higher education, colleges</w:t>
            </w:r>
          </w:p>
        </w:tc>
        <w:tc>
          <w:tcPr>
            <w:tcW w:w="808" w:type="pct"/>
            <w:tcBorders>
              <w:top w:val="single" w:sz="8" w:space="0" w:color="000000"/>
              <w:left w:val="nil"/>
              <w:bottom w:val="single" w:sz="8" w:space="0" w:color="000000"/>
              <w:right w:val="single" w:sz="8" w:space="0" w:color="000000"/>
            </w:tcBorders>
            <w:shd w:val="clear" w:color="auto" w:fill="auto"/>
          </w:tcPr>
          <w:p w14:paraId="5A58375A" w14:textId="77777777" w:rsidR="00ED16B1" w:rsidRPr="003C0DF0" w:rsidRDefault="00ED16B1" w:rsidP="001E4898">
            <w:pPr>
              <w:spacing w:after="0" w:line="240" w:lineRule="auto"/>
              <w:rPr>
                <w:rFonts w:ascii="Times New Roman" w:eastAsia="Times New Roman" w:hAnsi="Times New Roman"/>
                <w:bCs/>
                <w:noProof/>
                <w:sz w:val="24"/>
                <w:szCs w:val="26"/>
              </w:rPr>
            </w:pPr>
            <w:r w:rsidRPr="003C0DF0">
              <w:rPr>
                <w:rFonts w:ascii="Times New Roman" w:hAnsi="Times New Roman"/>
                <w:noProof/>
                <w:sz w:val="24"/>
              </w:rPr>
              <w:t>1 November 2015</w:t>
            </w:r>
          </w:p>
        </w:tc>
      </w:tr>
      <w:tr w:rsidR="00ED16B1" w:rsidRPr="003C0DF0" w14:paraId="75ABE965" w14:textId="77777777" w:rsidTr="001E4898">
        <w:tc>
          <w:tcPr>
            <w:tcW w:w="470" w:type="pct"/>
            <w:tcBorders>
              <w:top w:val="single" w:sz="8" w:space="0" w:color="000000"/>
              <w:left w:val="single" w:sz="8" w:space="0" w:color="000000"/>
              <w:bottom w:val="single" w:sz="8" w:space="0" w:color="000000"/>
              <w:right w:val="single" w:sz="8" w:space="0" w:color="000000"/>
            </w:tcBorders>
            <w:shd w:val="clear" w:color="auto" w:fill="auto"/>
          </w:tcPr>
          <w:p w14:paraId="751E28E5" w14:textId="77777777" w:rsidR="00ED16B1" w:rsidRPr="003C0DF0" w:rsidRDefault="00ED16B1" w:rsidP="006E539B">
            <w:pPr>
              <w:spacing w:after="0" w:line="240" w:lineRule="auto"/>
              <w:jc w:val="both"/>
              <w:rPr>
                <w:rFonts w:ascii="Times New Roman" w:eastAsia="Times New Roman" w:hAnsi="Times New Roman"/>
                <w:bCs/>
                <w:noProof/>
                <w:sz w:val="24"/>
                <w:szCs w:val="26"/>
              </w:rPr>
            </w:pPr>
            <w:r w:rsidRPr="003C0DF0">
              <w:rPr>
                <w:rFonts w:ascii="Times New Roman" w:hAnsi="Times New Roman"/>
                <w:noProof/>
                <w:sz w:val="24"/>
              </w:rPr>
              <w:t>7.</w:t>
            </w:r>
          </w:p>
        </w:tc>
        <w:tc>
          <w:tcPr>
            <w:tcW w:w="2800" w:type="pct"/>
            <w:tcBorders>
              <w:top w:val="single" w:sz="8" w:space="0" w:color="000000"/>
              <w:left w:val="nil"/>
              <w:bottom w:val="single" w:sz="8" w:space="0" w:color="000000"/>
              <w:right w:val="single" w:sz="8" w:space="0" w:color="000000"/>
            </w:tcBorders>
            <w:shd w:val="clear" w:color="auto" w:fill="auto"/>
          </w:tcPr>
          <w:p w14:paraId="2113DA85" w14:textId="77777777" w:rsidR="00ED16B1" w:rsidRPr="003C0DF0" w:rsidRDefault="00ED16B1" w:rsidP="006E539B">
            <w:pPr>
              <w:spacing w:after="0" w:line="240" w:lineRule="auto"/>
              <w:jc w:val="both"/>
              <w:rPr>
                <w:rFonts w:ascii="Times New Roman" w:hAnsi="Times New Roman"/>
                <w:noProof/>
                <w:sz w:val="24"/>
                <w:szCs w:val="26"/>
              </w:rPr>
            </w:pPr>
            <w:r w:rsidRPr="003C0DF0">
              <w:rPr>
                <w:rFonts w:ascii="Times New Roman" w:hAnsi="Times New Roman"/>
                <w:noProof/>
                <w:sz w:val="24"/>
              </w:rPr>
              <w:t>Regulation of the submission of financial statements has been improved by introducing changes in Cabinet Regulation No. 348 of 2 May 2006, Procedures for the Submission of Information Regarding Activity by Institutions of Higher Education and Colleges to the Ministry of Education and Science, specifying the information to be submitted annually on the performance and financial indicators, including with regard to the employment of graduates.</w:t>
            </w:r>
          </w:p>
        </w:tc>
        <w:tc>
          <w:tcPr>
            <w:tcW w:w="923" w:type="pct"/>
            <w:tcBorders>
              <w:top w:val="single" w:sz="8" w:space="0" w:color="000000"/>
              <w:left w:val="nil"/>
              <w:bottom w:val="single" w:sz="8" w:space="0" w:color="000000"/>
              <w:right w:val="single" w:sz="8" w:space="0" w:color="000000"/>
            </w:tcBorders>
            <w:shd w:val="clear" w:color="auto" w:fill="auto"/>
          </w:tcPr>
          <w:p w14:paraId="11B2E794" w14:textId="77777777" w:rsidR="00ED16B1" w:rsidRPr="003C0DF0" w:rsidRDefault="00ED16B1" w:rsidP="006E539B">
            <w:pPr>
              <w:spacing w:after="0" w:line="240" w:lineRule="auto"/>
              <w:jc w:val="both"/>
              <w:rPr>
                <w:rFonts w:ascii="Times New Roman" w:eastAsia="Times New Roman" w:hAnsi="Times New Roman"/>
                <w:bCs/>
                <w:noProof/>
                <w:sz w:val="24"/>
                <w:szCs w:val="26"/>
              </w:rPr>
            </w:pPr>
            <w:r w:rsidRPr="003C0DF0">
              <w:rPr>
                <w:rFonts w:ascii="Times New Roman" w:hAnsi="Times New Roman"/>
                <w:noProof/>
                <w:sz w:val="24"/>
              </w:rPr>
              <w:t>MoES, MoF</w:t>
            </w:r>
          </w:p>
        </w:tc>
        <w:tc>
          <w:tcPr>
            <w:tcW w:w="808" w:type="pct"/>
            <w:tcBorders>
              <w:top w:val="single" w:sz="8" w:space="0" w:color="000000"/>
              <w:left w:val="nil"/>
              <w:bottom w:val="single" w:sz="8" w:space="0" w:color="000000"/>
              <w:right w:val="single" w:sz="8" w:space="0" w:color="000000"/>
            </w:tcBorders>
            <w:shd w:val="clear" w:color="auto" w:fill="auto"/>
          </w:tcPr>
          <w:p w14:paraId="176AC247" w14:textId="77777777" w:rsidR="00ED16B1" w:rsidRPr="003C0DF0" w:rsidRDefault="00ED16B1" w:rsidP="001E4898">
            <w:pPr>
              <w:spacing w:after="0" w:line="240" w:lineRule="auto"/>
              <w:rPr>
                <w:rFonts w:ascii="Times New Roman" w:eastAsia="Times New Roman" w:hAnsi="Times New Roman"/>
                <w:bCs/>
                <w:noProof/>
                <w:sz w:val="24"/>
                <w:szCs w:val="26"/>
              </w:rPr>
            </w:pPr>
            <w:r w:rsidRPr="003C0DF0">
              <w:rPr>
                <w:rFonts w:ascii="Times New Roman" w:hAnsi="Times New Roman"/>
                <w:noProof/>
                <w:sz w:val="24"/>
              </w:rPr>
              <w:t>1 June 2016</w:t>
            </w:r>
          </w:p>
        </w:tc>
      </w:tr>
      <w:tr w:rsidR="00ED16B1" w:rsidRPr="003C0DF0" w14:paraId="4DA185C2" w14:textId="77777777" w:rsidTr="001E4898">
        <w:tc>
          <w:tcPr>
            <w:tcW w:w="470" w:type="pct"/>
            <w:tcBorders>
              <w:top w:val="single" w:sz="8" w:space="0" w:color="000000"/>
              <w:left w:val="single" w:sz="8" w:space="0" w:color="000000"/>
              <w:bottom w:val="single" w:sz="8" w:space="0" w:color="000000"/>
              <w:right w:val="single" w:sz="8" w:space="0" w:color="000000"/>
            </w:tcBorders>
            <w:shd w:val="clear" w:color="auto" w:fill="auto"/>
          </w:tcPr>
          <w:p w14:paraId="5F25AC18" w14:textId="77777777" w:rsidR="00ED16B1" w:rsidRPr="003C0DF0" w:rsidRDefault="00ED16B1" w:rsidP="006E539B">
            <w:pPr>
              <w:spacing w:after="0" w:line="240" w:lineRule="auto"/>
              <w:jc w:val="both"/>
              <w:rPr>
                <w:rFonts w:ascii="Times New Roman" w:eastAsia="Times New Roman" w:hAnsi="Times New Roman"/>
                <w:bCs/>
                <w:noProof/>
                <w:sz w:val="24"/>
                <w:szCs w:val="26"/>
              </w:rPr>
            </w:pPr>
            <w:r w:rsidRPr="003C0DF0">
              <w:rPr>
                <w:rFonts w:ascii="Times New Roman" w:hAnsi="Times New Roman"/>
                <w:noProof/>
                <w:sz w:val="24"/>
              </w:rPr>
              <w:t>8.</w:t>
            </w:r>
          </w:p>
        </w:tc>
        <w:tc>
          <w:tcPr>
            <w:tcW w:w="2800" w:type="pct"/>
            <w:tcBorders>
              <w:top w:val="single" w:sz="8" w:space="0" w:color="000000"/>
              <w:left w:val="nil"/>
              <w:bottom w:val="single" w:sz="8" w:space="0" w:color="000000"/>
              <w:right w:val="single" w:sz="8" w:space="0" w:color="000000"/>
            </w:tcBorders>
            <w:shd w:val="clear" w:color="auto" w:fill="auto"/>
          </w:tcPr>
          <w:p w14:paraId="4347FDD8" w14:textId="77777777" w:rsidR="00ED16B1" w:rsidRPr="003C0DF0" w:rsidRDefault="00ED16B1" w:rsidP="006E539B">
            <w:pPr>
              <w:spacing w:after="0" w:line="240" w:lineRule="auto"/>
              <w:jc w:val="both"/>
              <w:rPr>
                <w:rFonts w:ascii="Times New Roman" w:eastAsia="Times New Roman" w:hAnsi="Times New Roman"/>
                <w:bCs/>
                <w:noProof/>
                <w:sz w:val="24"/>
                <w:szCs w:val="26"/>
              </w:rPr>
            </w:pPr>
            <w:r w:rsidRPr="003C0DF0">
              <w:rPr>
                <w:rFonts w:ascii="Times New Roman" w:hAnsi="Times New Roman"/>
                <w:noProof/>
                <w:sz w:val="24"/>
              </w:rPr>
              <w:t xml:space="preserve">Updated development strategies of institutions of higher education for 2015 – 2020 have been submitted to the Ministry of Education and Science, which provide for the development of research-based higher education offer that is related to the research programmes implemented in an institution of higher education and conforms to the strategic specialisation, as well as implementation of innovation and development projects. </w:t>
            </w:r>
          </w:p>
        </w:tc>
        <w:tc>
          <w:tcPr>
            <w:tcW w:w="923" w:type="pct"/>
            <w:tcBorders>
              <w:top w:val="single" w:sz="8" w:space="0" w:color="000000"/>
              <w:left w:val="nil"/>
              <w:bottom w:val="single" w:sz="8" w:space="0" w:color="000000"/>
              <w:right w:val="single" w:sz="8" w:space="0" w:color="000000"/>
            </w:tcBorders>
            <w:shd w:val="clear" w:color="auto" w:fill="auto"/>
          </w:tcPr>
          <w:p w14:paraId="3BE21B3D" w14:textId="77777777" w:rsidR="00ED16B1" w:rsidRPr="003C0DF0" w:rsidRDefault="00ED16B1" w:rsidP="006E539B">
            <w:pPr>
              <w:spacing w:after="0" w:line="240" w:lineRule="auto"/>
              <w:jc w:val="both"/>
              <w:rPr>
                <w:rFonts w:ascii="Times New Roman" w:eastAsia="Times New Roman" w:hAnsi="Times New Roman"/>
                <w:bCs/>
                <w:noProof/>
                <w:sz w:val="24"/>
                <w:szCs w:val="26"/>
              </w:rPr>
            </w:pPr>
            <w:r w:rsidRPr="003C0DF0">
              <w:rPr>
                <w:rFonts w:ascii="Times New Roman" w:hAnsi="Times New Roman"/>
                <w:noProof/>
                <w:sz w:val="24"/>
              </w:rPr>
              <w:t>MoES, institutions of higher education, colleges</w:t>
            </w:r>
          </w:p>
        </w:tc>
        <w:tc>
          <w:tcPr>
            <w:tcW w:w="808" w:type="pct"/>
            <w:tcBorders>
              <w:top w:val="single" w:sz="8" w:space="0" w:color="000000"/>
              <w:left w:val="nil"/>
              <w:bottom w:val="single" w:sz="8" w:space="0" w:color="000000"/>
              <w:right w:val="single" w:sz="8" w:space="0" w:color="000000"/>
            </w:tcBorders>
            <w:shd w:val="clear" w:color="auto" w:fill="auto"/>
          </w:tcPr>
          <w:p w14:paraId="6C3BCFD8" w14:textId="77777777" w:rsidR="00ED16B1" w:rsidRPr="003C0DF0" w:rsidRDefault="00ED16B1" w:rsidP="001E4898">
            <w:pPr>
              <w:spacing w:after="0" w:line="240" w:lineRule="auto"/>
              <w:rPr>
                <w:rFonts w:ascii="Times New Roman" w:eastAsia="Times New Roman" w:hAnsi="Times New Roman"/>
                <w:bCs/>
                <w:noProof/>
                <w:sz w:val="24"/>
                <w:szCs w:val="26"/>
              </w:rPr>
            </w:pPr>
            <w:r w:rsidRPr="003C0DF0">
              <w:rPr>
                <w:rFonts w:ascii="Times New Roman" w:hAnsi="Times New Roman"/>
                <w:noProof/>
                <w:sz w:val="24"/>
              </w:rPr>
              <w:t>1 September 2016</w:t>
            </w:r>
          </w:p>
        </w:tc>
      </w:tr>
      <w:tr w:rsidR="00ED16B1" w:rsidRPr="003C0DF0" w14:paraId="1A4E931E" w14:textId="77777777" w:rsidTr="001E4898">
        <w:tc>
          <w:tcPr>
            <w:tcW w:w="470" w:type="pct"/>
            <w:tcBorders>
              <w:top w:val="single" w:sz="8" w:space="0" w:color="000000"/>
              <w:left w:val="single" w:sz="8" w:space="0" w:color="000000"/>
              <w:bottom w:val="single" w:sz="8" w:space="0" w:color="000000"/>
              <w:right w:val="single" w:sz="8" w:space="0" w:color="000000"/>
            </w:tcBorders>
            <w:shd w:val="clear" w:color="auto" w:fill="auto"/>
          </w:tcPr>
          <w:p w14:paraId="489539B8" w14:textId="77777777" w:rsidR="00ED16B1" w:rsidRPr="003C0DF0" w:rsidRDefault="00ED16B1" w:rsidP="006E539B">
            <w:pPr>
              <w:spacing w:after="0" w:line="240" w:lineRule="auto"/>
              <w:jc w:val="both"/>
              <w:rPr>
                <w:rFonts w:ascii="Times New Roman" w:eastAsia="Times New Roman" w:hAnsi="Times New Roman"/>
                <w:bCs/>
                <w:noProof/>
                <w:sz w:val="24"/>
                <w:szCs w:val="26"/>
              </w:rPr>
            </w:pPr>
            <w:r w:rsidRPr="003C0DF0">
              <w:rPr>
                <w:rFonts w:ascii="Times New Roman" w:hAnsi="Times New Roman"/>
                <w:noProof/>
                <w:sz w:val="24"/>
              </w:rPr>
              <w:t>9.</w:t>
            </w:r>
          </w:p>
        </w:tc>
        <w:tc>
          <w:tcPr>
            <w:tcW w:w="2800" w:type="pct"/>
            <w:tcBorders>
              <w:top w:val="single" w:sz="8" w:space="0" w:color="000000"/>
              <w:left w:val="nil"/>
              <w:bottom w:val="single" w:sz="8" w:space="0" w:color="000000"/>
              <w:right w:val="single" w:sz="8" w:space="0" w:color="000000"/>
            </w:tcBorders>
            <w:shd w:val="clear" w:color="auto" w:fill="auto"/>
          </w:tcPr>
          <w:p w14:paraId="1FD4244F" w14:textId="77777777" w:rsidR="00ED16B1" w:rsidRPr="003C0DF0" w:rsidRDefault="00ED16B1" w:rsidP="006E539B">
            <w:pPr>
              <w:spacing w:after="0" w:line="240" w:lineRule="auto"/>
              <w:jc w:val="both"/>
              <w:rPr>
                <w:rFonts w:ascii="Times New Roman" w:eastAsia="Times New Roman" w:hAnsi="Times New Roman"/>
                <w:bCs/>
                <w:noProof/>
                <w:sz w:val="24"/>
                <w:szCs w:val="26"/>
              </w:rPr>
            </w:pPr>
            <w:r w:rsidRPr="003C0DF0">
              <w:rPr>
                <w:rFonts w:ascii="Times New Roman" w:hAnsi="Times New Roman"/>
                <w:noProof/>
                <w:sz w:val="24"/>
              </w:rPr>
              <w:t>Evaluation of the student support system has been carried out and proposals for implementation of a system that is more socially fair have been developed, including options to promote accessibility of State guaranteed study and student loans have been evaluated, conditions for cancellation of loans have been revised.</w:t>
            </w:r>
          </w:p>
        </w:tc>
        <w:tc>
          <w:tcPr>
            <w:tcW w:w="923" w:type="pct"/>
            <w:tcBorders>
              <w:top w:val="single" w:sz="8" w:space="0" w:color="000000"/>
              <w:left w:val="nil"/>
              <w:bottom w:val="single" w:sz="8" w:space="0" w:color="000000"/>
              <w:right w:val="single" w:sz="8" w:space="0" w:color="000000"/>
            </w:tcBorders>
            <w:shd w:val="clear" w:color="auto" w:fill="auto"/>
          </w:tcPr>
          <w:p w14:paraId="2881A3B9" w14:textId="77777777" w:rsidR="00ED16B1" w:rsidRPr="003C0DF0" w:rsidRDefault="00ED16B1" w:rsidP="006E539B">
            <w:pPr>
              <w:spacing w:after="0" w:line="240" w:lineRule="auto"/>
              <w:jc w:val="both"/>
              <w:rPr>
                <w:rFonts w:ascii="Times New Roman" w:eastAsia="Times New Roman" w:hAnsi="Times New Roman"/>
                <w:bCs/>
                <w:noProof/>
                <w:sz w:val="24"/>
                <w:szCs w:val="26"/>
              </w:rPr>
            </w:pPr>
            <w:r w:rsidRPr="003C0DF0">
              <w:rPr>
                <w:rFonts w:ascii="Times New Roman" w:hAnsi="Times New Roman"/>
                <w:noProof/>
                <w:sz w:val="24"/>
              </w:rPr>
              <w:t>MoES, MoF, Treasury, Administration of Studies and Research, institutions of higher education, colleges, Latvian Student Association</w:t>
            </w:r>
          </w:p>
        </w:tc>
        <w:tc>
          <w:tcPr>
            <w:tcW w:w="808" w:type="pct"/>
            <w:tcBorders>
              <w:top w:val="single" w:sz="8" w:space="0" w:color="000000"/>
              <w:left w:val="nil"/>
              <w:bottom w:val="single" w:sz="8" w:space="0" w:color="000000"/>
              <w:right w:val="single" w:sz="8" w:space="0" w:color="000000"/>
            </w:tcBorders>
            <w:shd w:val="clear" w:color="auto" w:fill="auto"/>
          </w:tcPr>
          <w:p w14:paraId="1072AC74" w14:textId="77777777" w:rsidR="00ED16B1" w:rsidRPr="003C0DF0" w:rsidRDefault="00ED16B1" w:rsidP="001E4898">
            <w:pPr>
              <w:spacing w:after="0" w:line="240" w:lineRule="auto"/>
              <w:rPr>
                <w:rFonts w:ascii="Times New Roman" w:eastAsia="Times New Roman" w:hAnsi="Times New Roman"/>
                <w:bCs/>
                <w:noProof/>
                <w:sz w:val="24"/>
                <w:szCs w:val="26"/>
              </w:rPr>
            </w:pPr>
            <w:r w:rsidRPr="003C0DF0">
              <w:rPr>
                <w:rFonts w:ascii="Times New Roman" w:hAnsi="Times New Roman"/>
                <w:noProof/>
                <w:sz w:val="24"/>
              </w:rPr>
              <w:t>1 December 2016</w:t>
            </w:r>
          </w:p>
        </w:tc>
      </w:tr>
    </w:tbl>
    <w:p w14:paraId="536EA97C" w14:textId="77777777" w:rsidR="00ED16B1" w:rsidRPr="003C0DF0" w:rsidRDefault="00ED16B1" w:rsidP="006E539B">
      <w:pPr>
        <w:spacing w:after="0" w:line="240" w:lineRule="auto"/>
        <w:jc w:val="both"/>
        <w:rPr>
          <w:rFonts w:ascii="Times New Roman" w:hAnsi="Times New Roman"/>
          <w:noProof/>
          <w:sz w:val="24"/>
          <w:szCs w:val="26"/>
        </w:rPr>
      </w:pPr>
    </w:p>
    <w:p w14:paraId="5768CDBE" w14:textId="25A99556" w:rsidR="00ED16B1" w:rsidRPr="003C0DF0" w:rsidRDefault="00A2579D" w:rsidP="00A2579D">
      <w:pPr>
        <w:spacing w:after="0" w:line="240" w:lineRule="auto"/>
        <w:ind w:firstLine="709"/>
        <w:jc w:val="both"/>
        <w:rPr>
          <w:rFonts w:ascii="Times New Roman" w:hAnsi="Times New Roman"/>
          <w:noProof/>
          <w:sz w:val="24"/>
          <w:szCs w:val="26"/>
        </w:rPr>
      </w:pPr>
      <w:r w:rsidRPr="003C0DF0">
        <w:rPr>
          <w:rFonts w:ascii="Times New Roman" w:hAnsi="Times New Roman"/>
          <w:noProof/>
          <w:sz w:val="24"/>
        </w:rPr>
        <w:t>Annexed:</w:t>
      </w:r>
    </w:p>
    <w:p w14:paraId="6AA9C7BD" w14:textId="77777777" w:rsidR="00ED16B1" w:rsidRPr="003C0DF0" w:rsidRDefault="00ED16B1" w:rsidP="00A2579D">
      <w:pPr>
        <w:spacing w:after="0" w:line="240" w:lineRule="auto"/>
        <w:ind w:firstLine="709"/>
        <w:jc w:val="both"/>
        <w:rPr>
          <w:rFonts w:ascii="Times New Roman" w:hAnsi="Times New Roman"/>
          <w:noProof/>
          <w:sz w:val="24"/>
          <w:szCs w:val="26"/>
        </w:rPr>
      </w:pPr>
    </w:p>
    <w:p w14:paraId="0E609613" w14:textId="23A86C9A" w:rsidR="00ED16B1" w:rsidRPr="003C0DF0" w:rsidRDefault="00ED16B1" w:rsidP="00A2579D">
      <w:pPr>
        <w:spacing w:after="0" w:line="240" w:lineRule="auto"/>
        <w:ind w:firstLine="709"/>
        <w:jc w:val="both"/>
        <w:rPr>
          <w:rFonts w:ascii="Times New Roman" w:hAnsi="Times New Roman"/>
          <w:noProof/>
          <w:sz w:val="24"/>
          <w:szCs w:val="26"/>
        </w:rPr>
      </w:pPr>
      <w:r w:rsidRPr="003C0DF0">
        <w:rPr>
          <w:rFonts w:ascii="Times New Roman" w:hAnsi="Times New Roman"/>
          <w:noProof/>
          <w:sz w:val="24"/>
        </w:rPr>
        <w:t>1) Study of the World Bank, Report 1 “Higher Education Financing in Latvia: Analysis of Strengths and Weaknesses”;</w:t>
      </w:r>
    </w:p>
    <w:p w14:paraId="2A6A0669" w14:textId="77777777" w:rsidR="00ED16B1" w:rsidRPr="003C0DF0" w:rsidRDefault="00ED16B1" w:rsidP="00A2579D">
      <w:pPr>
        <w:spacing w:after="0" w:line="240" w:lineRule="auto"/>
        <w:ind w:firstLine="709"/>
        <w:jc w:val="both"/>
        <w:rPr>
          <w:rFonts w:ascii="Times New Roman" w:hAnsi="Times New Roman"/>
          <w:noProof/>
          <w:sz w:val="24"/>
          <w:szCs w:val="26"/>
        </w:rPr>
      </w:pPr>
      <w:r w:rsidRPr="003C0DF0">
        <w:rPr>
          <w:rFonts w:ascii="Times New Roman" w:hAnsi="Times New Roman"/>
          <w:noProof/>
          <w:sz w:val="24"/>
        </w:rPr>
        <w:t>2) Study of the World Bank, Report 2 “Evaluation of Current Funding Model’s Strategic Fit with Higher Education Policy Objectives”;</w:t>
      </w:r>
    </w:p>
    <w:p w14:paraId="4084A3C4" w14:textId="77777777" w:rsidR="00ED16B1" w:rsidRPr="003C0DF0" w:rsidRDefault="00ED16B1" w:rsidP="00A2579D">
      <w:pPr>
        <w:spacing w:after="0" w:line="240" w:lineRule="auto"/>
        <w:ind w:firstLine="709"/>
        <w:jc w:val="both"/>
        <w:rPr>
          <w:rFonts w:ascii="Times New Roman" w:hAnsi="Times New Roman"/>
          <w:noProof/>
          <w:sz w:val="24"/>
          <w:szCs w:val="26"/>
        </w:rPr>
      </w:pPr>
      <w:r w:rsidRPr="003C0DF0">
        <w:rPr>
          <w:rFonts w:ascii="Times New Roman" w:hAnsi="Times New Roman"/>
          <w:noProof/>
          <w:sz w:val="24"/>
        </w:rPr>
        <w:lastRenderedPageBreak/>
        <w:t>3) Study of the World Bank, Interim Report “Conceptual Proposal for Financing of Higher Education”;</w:t>
      </w:r>
    </w:p>
    <w:p w14:paraId="3B8B63D4" w14:textId="77777777" w:rsidR="00ED16B1" w:rsidRPr="003C0DF0" w:rsidRDefault="00ED16B1" w:rsidP="00A2579D">
      <w:pPr>
        <w:spacing w:after="0" w:line="240" w:lineRule="auto"/>
        <w:ind w:firstLine="709"/>
        <w:jc w:val="both"/>
        <w:rPr>
          <w:rFonts w:ascii="Times New Roman" w:hAnsi="Times New Roman"/>
          <w:noProof/>
          <w:sz w:val="24"/>
          <w:szCs w:val="26"/>
        </w:rPr>
      </w:pPr>
      <w:r w:rsidRPr="003C0DF0">
        <w:rPr>
          <w:rFonts w:ascii="Times New Roman" w:hAnsi="Times New Roman"/>
          <w:noProof/>
          <w:sz w:val="24"/>
        </w:rPr>
        <w:t>4) Study of the World Bank, Final Report “Proposal for Financing of Higher Education in the Medium-term”;</w:t>
      </w:r>
    </w:p>
    <w:p w14:paraId="6D819CBF" w14:textId="77777777" w:rsidR="00ED16B1" w:rsidRPr="003C0DF0" w:rsidRDefault="00ED16B1" w:rsidP="00A2579D">
      <w:pPr>
        <w:spacing w:after="0" w:line="240" w:lineRule="auto"/>
        <w:ind w:firstLine="709"/>
        <w:jc w:val="both"/>
        <w:rPr>
          <w:rFonts w:ascii="Times New Roman" w:hAnsi="Times New Roman"/>
          <w:noProof/>
          <w:sz w:val="24"/>
          <w:szCs w:val="26"/>
        </w:rPr>
      </w:pPr>
      <w:r w:rsidRPr="003C0DF0">
        <w:rPr>
          <w:rFonts w:ascii="Times New Roman" w:hAnsi="Times New Roman"/>
          <w:noProof/>
          <w:sz w:val="24"/>
        </w:rPr>
        <w:t>5) Final Report on the study carried out by Riga Technical University and the University of Latvia upon an order of the Ministry of Education and Science on updating of study cost coefficients and preparing proposals for the consolidation thereof;</w:t>
      </w:r>
    </w:p>
    <w:p w14:paraId="20673856" w14:textId="77777777" w:rsidR="00ED16B1" w:rsidRPr="003C0DF0" w:rsidRDefault="00ED16B1" w:rsidP="00A2579D">
      <w:pPr>
        <w:spacing w:after="0" w:line="240" w:lineRule="auto"/>
        <w:ind w:firstLine="709"/>
        <w:jc w:val="both"/>
        <w:rPr>
          <w:rFonts w:ascii="Times New Roman" w:hAnsi="Times New Roman"/>
          <w:noProof/>
          <w:sz w:val="24"/>
          <w:szCs w:val="26"/>
        </w:rPr>
      </w:pPr>
      <w:r w:rsidRPr="003C0DF0">
        <w:rPr>
          <w:rFonts w:ascii="Times New Roman" w:hAnsi="Times New Roman"/>
          <w:noProof/>
          <w:sz w:val="24"/>
        </w:rPr>
        <w:t>6) CIVITTA study carried out upon an order of the Ministry of Education and Science “Evaluation of Financial – Economic Operations of Institutions of Higher Education and the Consolidation of Public Reports”, final deliverable;</w:t>
      </w:r>
    </w:p>
    <w:p w14:paraId="32E8F2EA" w14:textId="77777777" w:rsidR="00ED16B1" w:rsidRPr="003C0DF0" w:rsidRDefault="00ED16B1" w:rsidP="00A2579D">
      <w:pPr>
        <w:spacing w:after="0" w:line="240" w:lineRule="auto"/>
        <w:ind w:firstLine="709"/>
        <w:jc w:val="both"/>
        <w:rPr>
          <w:rFonts w:ascii="Times New Roman" w:hAnsi="Times New Roman"/>
          <w:noProof/>
          <w:sz w:val="24"/>
          <w:szCs w:val="26"/>
        </w:rPr>
      </w:pPr>
      <w:r w:rsidRPr="003C0DF0">
        <w:rPr>
          <w:rFonts w:ascii="Times New Roman" w:hAnsi="Times New Roman"/>
          <w:noProof/>
          <w:sz w:val="24"/>
        </w:rPr>
        <w:t>7) executive summary of the study “Study on the Academic Personnel Recruitment and Remuneration Policy System in Institutions of Higher Education” carried out KPMG Baltics Ltd. upon an order of the Ministry of Education and Science;</w:t>
      </w:r>
    </w:p>
    <w:p w14:paraId="2DBBD346" w14:textId="77777777" w:rsidR="00ED16B1" w:rsidRPr="003C0DF0" w:rsidRDefault="00ED16B1" w:rsidP="00A2579D">
      <w:pPr>
        <w:spacing w:after="0" w:line="240" w:lineRule="auto"/>
        <w:ind w:firstLine="709"/>
        <w:jc w:val="both"/>
        <w:rPr>
          <w:rFonts w:ascii="Times New Roman" w:hAnsi="Times New Roman"/>
          <w:noProof/>
          <w:sz w:val="24"/>
          <w:szCs w:val="26"/>
        </w:rPr>
      </w:pPr>
      <w:r w:rsidRPr="003C0DF0">
        <w:rPr>
          <w:rFonts w:ascii="Times New Roman" w:hAnsi="Times New Roman"/>
          <w:noProof/>
          <w:sz w:val="24"/>
        </w:rPr>
        <w:t>8) the new higher education financing model, and the planned funding of the State budget and European Union Structural Funds for its implementation as of 2015;</w:t>
      </w:r>
    </w:p>
    <w:p w14:paraId="19A4FD39" w14:textId="77777777" w:rsidR="00ED16B1" w:rsidRPr="003C0DF0" w:rsidRDefault="00ED16B1" w:rsidP="00A2579D">
      <w:pPr>
        <w:spacing w:after="0" w:line="240" w:lineRule="auto"/>
        <w:ind w:firstLine="709"/>
        <w:jc w:val="both"/>
        <w:rPr>
          <w:rFonts w:ascii="Times New Roman" w:hAnsi="Times New Roman"/>
          <w:noProof/>
          <w:sz w:val="24"/>
          <w:szCs w:val="26"/>
        </w:rPr>
      </w:pPr>
      <w:r w:rsidRPr="003C0DF0">
        <w:rPr>
          <w:rFonts w:ascii="Times New Roman" w:hAnsi="Times New Roman"/>
          <w:noProof/>
          <w:sz w:val="24"/>
        </w:rPr>
        <w:t>9) summary regarding the State and local government funding necessary for the implementation of solutions (solution options) included in the Conceptual Report;</w:t>
      </w:r>
    </w:p>
    <w:p w14:paraId="6993308C" w14:textId="77777777" w:rsidR="00ED16B1" w:rsidRPr="003C0DF0" w:rsidRDefault="00ED16B1" w:rsidP="00A2579D">
      <w:pPr>
        <w:spacing w:after="0" w:line="240" w:lineRule="auto"/>
        <w:ind w:firstLine="709"/>
        <w:jc w:val="both"/>
        <w:rPr>
          <w:rFonts w:ascii="Times New Roman" w:hAnsi="Times New Roman"/>
          <w:noProof/>
          <w:sz w:val="24"/>
          <w:szCs w:val="26"/>
        </w:rPr>
      </w:pPr>
      <w:r w:rsidRPr="003C0DF0">
        <w:rPr>
          <w:rFonts w:ascii="Times New Roman" w:hAnsi="Times New Roman"/>
          <w:noProof/>
          <w:sz w:val="24"/>
        </w:rPr>
        <w:t>10) the required funding layout broken down by sub-programme of the State budget, needed for each scenario;</w:t>
      </w:r>
    </w:p>
    <w:p w14:paraId="4EBA5794" w14:textId="367A871E" w:rsidR="00ED16B1" w:rsidRPr="003C0DF0" w:rsidRDefault="00ED16B1" w:rsidP="00A2579D">
      <w:pPr>
        <w:spacing w:after="0" w:line="240" w:lineRule="auto"/>
        <w:ind w:firstLine="709"/>
        <w:jc w:val="both"/>
        <w:rPr>
          <w:rFonts w:ascii="Times New Roman" w:hAnsi="Times New Roman"/>
          <w:noProof/>
          <w:sz w:val="24"/>
          <w:szCs w:val="26"/>
        </w:rPr>
      </w:pPr>
      <w:r w:rsidRPr="003C0DF0">
        <w:rPr>
          <w:rFonts w:ascii="Times New Roman" w:hAnsi="Times New Roman"/>
          <w:noProof/>
          <w:sz w:val="24"/>
        </w:rPr>
        <w:t>11) support of the European Union Structural Funds to the development of higher education and research for the planning period 2014 –</w:t>
      </w:r>
      <w:r w:rsidR="003C0DF0" w:rsidRPr="003C0DF0">
        <w:rPr>
          <w:rFonts w:ascii="Times New Roman" w:hAnsi="Times New Roman"/>
          <w:noProof/>
          <w:sz w:val="24"/>
        </w:rPr>
        <w:t xml:space="preserve"> </w:t>
      </w:r>
      <w:r w:rsidRPr="003C0DF0">
        <w:rPr>
          <w:rFonts w:ascii="Times New Roman" w:hAnsi="Times New Roman"/>
          <w:noProof/>
          <w:sz w:val="24"/>
        </w:rPr>
        <w:t>2020;</w:t>
      </w:r>
    </w:p>
    <w:p w14:paraId="5DBEB81C" w14:textId="77777777" w:rsidR="00ED16B1" w:rsidRPr="003C0DF0" w:rsidRDefault="00ED16B1" w:rsidP="00A2579D">
      <w:pPr>
        <w:spacing w:after="0" w:line="240" w:lineRule="auto"/>
        <w:ind w:firstLine="709"/>
        <w:jc w:val="both"/>
        <w:rPr>
          <w:rFonts w:ascii="Times New Roman" w:hAnsi="Times New Roman"/>
          <w:noProof/>
          <w:sz w:val="24"/>
          <w:szCs w:val="26"/>
        </w:rPr>
      </w:pPr>
      <w:r w:rsidRPr="003C0DF0">
        <w:rPr>
          <w:rFonts w:ascii="Times New Roman" w:hAnsi="Times New Roman"/>
          <w:noProof/>
          <w:sz w:val="24"/>
        </w:rPr>
        <w:t>12) new policy initiatives of the Ministry of Education and Science for 2016 – 2018 for implementation of the new higher education financing model.</w:t>
      </w:r>
    </w:p>
    <w:p w14:paraId="78A9E0DC" w14:textId="77777777" w:rsidR="00ED16B1" w:rsidRPr="003C0DF0" w:rsidRDefault="00ED16B1" w:rsidP="006E539B">
      <w:pPr>
        <w:tabs>
          <w:tab w:val="left" w:pos="6804"/>
        </w:tabs>
        <w:spacing w:after="0" w:line="240" w:lineRule="auto"/>
        <w:jc w:val="both"/>
        <w:rPr>
          <w:rFonts w:ascii="Times New Roman" w:hAnsi="Times New Roman"/>
          <w:noProof/>
          <w:sz w:val="24"/>
          <w:szCs w:val="26"/>
        </w:rPr>
      </w:pPr>
    </w:p>
    <w:p w14:paraId="445A181D" w14:textId="77777777" w:rsidR="00A2579D" w:rsidRPr="003C0DF0" w:rsidRDefault="00A2579D" w:rsidP="006E539B">
      <w:pPr>
        <w:tabs>
          <w:tab w:val="left" w:pos="6804"/>
        </w:tabs>
        <w:spacing w:after="0" w:line="240" w:lineRule="auto"/>
        <w:jc w:val="both"/>
        <w:rPr>
          <w:rFonts w:ascii="Times New Roman" w:hAnsi="Times New Roman"/>
          <w:noProof/>
          <w:sz w:val="24"/>
          <w:szCs w:val="26"/>
        </w:rPr>
      </w:pPr>
    </w:p>
    <w:p w14:paraId="28245E32" w14:textId="77777777" w:rsidR="00ED16B1" w:rsidRDefault="00ED16B1" w:rsidP="006E539B">
      <w:pPr>
        <w:tabs>
          <w:tab w:val="left" w:pos="6804"/>
        </w:tabs>
        <w:spacing w:after="0" w:line="240" w:lineRule="auto"/>
        <w:jc w:val="both"/>
        <w:rPr>
          <w:rFonts w:ascii="Times New Roman" w:hAnsi="Times New Roman"/>
          <w:noProof/>
          <w:sz w:val="24"/>
        </w:rPr>
      </w:pPr>
      <w:r w:rsidRPr="003C0DF0">
        <w:rPr>
          <w:rFonts w:ascii="Times New Roman" w:hAnsi="Times New Roman"/>
          <w:noProof/>
          <w:sz w:val="24"/>
        </w:rPr>
        <w:t>Submitter:</w:t>
      </w:r>
    </w:p>
    <w:p w14:paraId="50E4AE11" w14:textId="77777777" w:rsidR="001E4898" w:rsidRPr="003C0DF0" w:rsidRDefault="001E4898" w:rsidP="006E539B">
      <w:pPr>
        <w:tabs>
          <w:tab w:val="left" w:pos="6804"/>
        </w:tabs>
        <w:spacing w:after="0" w:line="240" w:lineRule="auto"/>
        <w:jc w:val="both"/>
        <w:rPr>
          <w:rFonts w:ascii="Times New Roman" w:hAnsi="Times New Roman"/>
          <w:noProof/>
          <w:sz w:val="24"/>
          <w:szCs w:val="26"/>
        </w:rPr>
      </w:pPr>
    </w:p>
    <w:p w14:paraId="4F5BE92D" w14:textId="634A916F" w:rsidR="00A2579D" w:rsidRPr="003C0DF0" w:rsidRDefault="00ED16B1" w:rsidP="006E539B">
      <w:pPr>
        <w:tabs>
          <w:tab w:val="left" w:pos="6804"/>
        </w:tabs>
        <w:spacing w:after="0" w:line="240" w:lineRule="auto"/>
        <w:jc w:val="both"/>
        <w:rPr>
          <w:rFonts w:ascii="Times New Roman" w:hAnsi="Times New Roman"/>
          <w:noProof/>
          <w:sz w:val="24"/>
          <w:szCs w:val="26"/>
        </w:rPr>
      </w:pPr>
      <w:r w:rsidRPr="003C0DF0">
        <w:rPr>
          <w:rFonts w:ascii="Times New Roman" w:hAnsi="Times New Roman"/>
          <w:noProof/>
          <w:sz w:val="24"/>
        </w:rPr>
        <w:t>Minist</w:t>
      </w:r>
      <w:r w:rsidR="001E4898">
        <w:rPr>
          <w:rFonts w:ascii="Times New Roman" w:hAnsi="Times New Roman"/>
          <w:noProof/>
          <w:sz w:val="24"/>
        </w:rPr>
        <w:t>er for Education and Science</w:t>
      </w:r>
      <w:r w:rsidR="001E4898">
        <w:rPr>
          <w:rFonts w:ascii="Times New Roman" w:hAnsi="Times New Roman"/>
          <w:noProof/>
          <w:sz w:val="24"/>
        </w:rPr>
        <w:tab/>
      </w:r>
      <w:r w:rsidR="001E4898">
        <w:rPr>
          <w:rFonts w:ascii="Times New Roman" w:hAnsi="Times New Roman"/>
          <w:noProof/>
          <w:sz w:val="24"/>
        </w:rPr>
        <w:tab/>
      </w:r>
      <w:r w:rsidRPr="003C0DF0">
        <w:rPr>
          <w:rFonts w:ascii="Times New Roman" w:hAnsi="Times New Roman"/>
          <w:noProof/>
          <w:sz w:val="24"/>
        </w:rPr>
        <w:t>M. Seile</w:t>
      </w:r>
    </w:p>
    <w:p w14:paraId="5A41D3FF" w14:textId="77777777" w:rsidR="00A2579D" w:rsidRPr="003C0DF0" w:rsidRDefault="00A2579D" w:rsidP="006E539B">
      <w:pPr>
        <w:tabs>
          <w:tab w:val="left" w:pos="6804"/>
        </w:tabs>
        <w:spacing w:after="0" w:line="240" w:lineRule="auto"/>
        <w:jc w:val="both"/>
        <w:rPr>
          <w:rFonts w:ascii="Times New Roman" w:hAnsi="Times New Roman"/>
          <w:noProof/>
          <w:sz w:val="24"/>
          <w:szCs w:val="26"/>
        </w:rPr>
      </w:pPr>
    </w:p>
    <w:p w14:paraId="2A6ECC3C" w14:textId="77777777" w:rsidR="00A2579D" w:rsidRPr="003C0DF0" w:rsidRDefault="00A2579D" w:rsidP="006E539B">
      <w:pPr>
        <w:tabs>
          <w:tab w:val="left" w:pos="6804"/>
        </w:tabs>
        <w:spacing w:after="0" w:line="240" w:lineRule="auto"/>
        <w:jc w:val="both"/>
        <w:rPr>
          <w:rFonts w:ascii="Times New Roman" w:hAnsi="Times New Roman"/>
          <w:noProof/>
          <w:sz w:val="24"/>
          <w:szCs w:val="26"/>
        </w:rPr>
      </w:pPr>
    </w:p>
    <w:p w14:paraId="325945CA" w14:textId="77777777" w:rsidR="00ED16B1" w:rsidRPr="003C0DF0" w:rsidRDefault="00ED16B1" w:rsidP="006E539B">
      <w:pPr>
        <w:tabs>
          <w:tab w:val="left" w:pos="6804"/>
        </w:tabs>
        <w:spacing w:after="0" w:line="240" w:lineRule="auto"/>
        <w:jc w:val="both"/>
        <w:rPr>
          <w:rFonts w:ascii="Times New Roman" w:hAnsi="Times New Roman"/>
          <w:noProof/>
          <w:sz w:val="24"/>
          <w:szCs w:val="26"/>
        </w:rPr>
      </w:pPr>
      <w:r w:rsidRPr="003C0DF0">
        <w:rPr>
          <w:rFonts w:ascii="Times New Roman" w:hAnsi="Times New Roman"/>
          <w:noProof/>
          <w:sz w:val="24"/>
        </w:rPr>
        <w:t>Approved by:</w:t>
      </w:r>
    </w:p>
    <w:p w14:paraId="779DD12A" w14:textId="77777777" w:rsidR="00A2579D" w:rsidRPr="003C0DF0" w:rsidRDefault="00A2579D" w:rsidP="006E539B">
      <w:pPr>
        <w:tabs>
          <w:tab w:val="left" w:pos="6804"/>
        </w:tabs>
        <w:spacing w:after="0" w:line="240" w:lineRule="auto"/>
        <w:jc w:val="both"/>
        <w:rPr>
          <w:rFonts w:ascii="Times New Roman" w:hAnsi="Times New Roman"/>
          <w:noProof/>
          <w:sz w:val="24"/>
          <w:szCs w:val="26"/>
        </w:rPr>
      </w:pPr>
    </w:p>
    <w:p w14:paraId="2CCEE94D" w14:textId="726B083D" w:rsidR="00A2579D" w:rsidRPr="003C0DF0" w:rsidRDefault="00ED16B1" w:rsidP="006E539B">
      <w:pPr>
        <w:spacing w:after="0" w:line="240" w:lineRule="auto"/>
        <w:jc w:val="both"/>
        <w:rPr>
          <w:rFonts w:ascii="Times New Roman" w:hAnsi="Times New Roman"/>
          <w:noProof/>
          <w:sz w:val="24"/>
          <w:szCs w:val="26"/>
        </w:rPr>
      </w:pPr>
      <w:r w:rsidRPr="003C0DF0">
        <w:rPr>
          <w:rFonts w:ascii="Times New Roman" w:hAnsi="Times New Roman"/>
          <w:noProof/>
          <w:sz w:val="24"/>
        </w:rPr>
        <w:t>Acting Secretary of State –</w:t>
      </w:r>
    </w:p>
    <w:p w14:paraId="0BD71B56" w14:textId="77777777" w:rsidR="00A2579D" w:rsidRPr="003C0DF0" w:rsidRDefault="00ED16B1" w:rsidP="006E539B">
      <w:pPr>
        <w:spacing w:after="0" w:line="240" w:lineRule="auto"/>
        <w:jc w:val="both"/>
        <w:rPr>
          <w:rFonts w:ascii="Times New Roman" w:hAnsi="Times New Roman"/>
          <w:noProof/>
          <w:sz w:val="24"/>
          <w:szCs w:val="26"/>
        </w:rPr>
      </w:pPr>
      <w:r w:rsidRPr="003C0DF0">
        <w:rPr>
          <w:rFonts w:ascii="Times New Roman" w:hAnsi="Times New Roman"/>
          <w:noProof/>
          <w:sz w:val="24"/>
        </w:rPr>
        <w:t>Deputy State Secretary –</w:t>
      </w:r>
    </w:p>
    <w:p w14:paraId="25D715ED" w14:textId="4B4B4281" w:rsidR="00ED16B1" w:rsidRPr="003C0DF0" w:rsidRDefault="00ED16B1" w:rsidP="006E539B">
      <w:pPr>
        <w:spacing w:after="0" w:line="240" w:lineRule="auto"/>
        <w:jc w:val="both"/>
        <w:rPr>
          <w:rFonts w:ascii="Times New Roman" w:hAnsi="Times New Roman"/>
          <w:noProof/>
          <w:sz w:val="24"/>
          <w:szCs w:val="26"/>
        </w:rPr>
      </w:pPr>
      <w:r w:rsidRPr="003C0DF0">
        <w:rPr>
          <w:rFonts w:ascii="Times New Roman" w:hAnsi="Times New Roman"/>
          <w:noProof/>
          <w:sz w:val="24"/>
        </w:rPr>
        <w:t>Director of Education Department</w:t>
      </w:r>
      <w:r w:rsidR="001E4898">
        <w:rPr>
          <w:rFonts w:ascii="Times New Roman" w:hAnsi="Times New Roman"/>
          <w:noProof/>
          <w:sz w:val="24"/>
        </w:rPr>
        <w:tab/>
      </w:r>
      <w:r w:rsidR="001E4898">
        <w:rPr>
          <w:rFonts w:ascii="Times New Roman" w:hAnsi="Times New Roman"/>
          <w:noProof/>
          <w:sz w:val="24"/>
        </w:rPr>
        <w:tab/>
      </w:r>
      <w:r w:rsidR="001E4898">
        <w:rPr>
          <w:rFonts w:ascii="Times New Roman" w:hAnsi="Times New Roman"/>
          <w:noProof/>
          <w:sz w:val="24"/>
        </w:rPr>
        <w:tab/>
      </w:r>
      <w:r w:rsidR="001E4898">
        <w:rPr>
          <w:rFonts w:ascii="Times New Roman" w:hAnsi="Times New Roman"/>
          <w:noProof/>
          <w:sz w:val="24"/>
        </w:rPr>
        <w:tab/>
      </w:r>
      <w:r w:rsidR="001E4898">
        <w:rPr>
          <w:rFonts w:ascii="Times New Roman" w:hAnsi="Times New Roman"/>
          <w:noProof/>
          <w:sz w:val="24"/>
        </w:rPr>
        <w:tab/>
      </w:r>
      <w:r w:rsidR="001E4898">
        <w:rPr>
          <w:rFonts w:ascii="Times New Roman" w:hAnsi="Times New Roman"/>
          <w:noProof/>
          <w:sz w:val="24"/>
        </w:rPr>
        <w:tab/>
      </w:r>
      <w:r w:rsidRPr="003C0DF0">
        <w:rPr>
          <w:rFonts w:ascii="Times New Roman" w:hAnsi="Times New Roman"/>
          <w:noProof/>
          <w:sz w:val="24"/>
        </w:rPr>
        <w:t>E. Papule</w:t>
      </w:r>
    </w:p>
    <w:p w14:paraId="7E7353B6" w14:textId="77777777" w:rsidR="00A2579D" w:rsidRDefault="00A2579D" w:rsidP="006E539B">
      <w:pPr>
        <w:spacing w:after="0" w:line="240" w:lineRule="auto"/>
        <w:jc w:val="both"/>
        <w:rPr>
          <w:rFonts w:ascii="Times New Roman" w:hAnsi="Times New Roman"/>
          <w:noProof/>
          <w:sz w:val="24"/>
          <w:szCs w:val="26"/>
        </w:rPr>
      </w:pPr>
    </w:p>
    <w:p w14:paraId="21432123" w14:textId="77777777" w:rsidR="001E4898" w:rsidRPr="003C0DF0" w:rsidRDefault="001E4898" w:rsidP="006E539B">
      <w:pPr>
        <w:spacing w:after="0" w:line="240" w:lineRule="auto"/>
        <w:jc w:val="both"/>
        <w:rPr>
          <w:rFonts w:ascii="Times New Roman" w:hAnsi="Times New Roman"/>
          <w:noProof/>
          <w:sz w:val="24"/>
          <w:szCs w:val="26"/>
        </w:rPr>
      </w:pPr>
    </w:p>
    <w:p w14:paraId="4C64DAF3" w14:textId="77777777" w:rsidR="00A2579D" w:rsidRPr="003C0DF0" w:rsidRDefault="00A2579D" w:rsidP="006E539B">
      <w:pPr>
        <w:spacing w:after="0" w:line="240" w:lineRule="auto"/>
        <w:jc w:val="both"/>
        <w:rPr>
          <w:rFonts w:ascii="Times New Roman" w:hAnsi="Times New Roman"/>
          <w:noProof/>
          <w:sz w:val="24"/>
          <w:szCs w:val="26"/>
        </w:rPr>
      </w:pPr>
    </w:p>
    <w:p w14:paraId="1666BD8C" w14:textId="5430675B" w:rsidR="00ED16B1" w:rsidRPr="003C0DF0" w:rsidRDefault="00ED16B1" w:rsidP="00A2579D">
      <w:pPr>
        <w:pStyle w:val="naisf"/>
        <w:spacing w:before="0" w:after="0"/>
        <w:ind w:firstLine="1985"/>
        <w:jc w:val="left"/>
        <w:rPr>
          <w:noProof/>
        </w:rPr>
      </w:pPr>
      <w:r w:rsidRPr="003C0DF0">
        <w:t>Agrita Kiopa</w:t>
      </w:r>
    </w:p>
    <w:tbl>
      <w:tblPr>
        <w:tblW w:w="0" w:type="auto"/>
        <w:tblLook w:val="00A0" w:firstRow="1" w:lastRow="0" w:firstColumn="1" w:lastColumn="0" w:noHBand="0" w:noVBand="0"/>
      </w:tblPr>
      <w:tblGrid>
        <w:gridCol w:w="5262"/>
      </w:tblGrid>
      <w:tr w:rsidR="00ED16B1" w:rsidRPr="003C0DF0" w14:paraId="6885B99C" w14:textId="77777777" w:rsidTr="00A2579D">
        <w:tc>
          <w:tcPr>
            <w:tcW w:w="5262" w:type="dxa"/>
            <w:tcBorders>
              <w:top w:val="single" w:sz="4" w:space="0" w:color="000000"/>
              <w:left w:val="nil"/>
              <w:bottom w:val="nil"/>
              <w:right w:val="nil"/>
            </w:tcBorders>
            <w:hideMark/>
          </w:tcPr>
          <w:p w14:paraId="42BDA9CB" w14:textId="77777777" w:rsidR="00ED16B1" w:rsidRPr="003C0DF0" w:rsidRDefault="00ED16B1" w:rsidP="00A2579D">
            <w:pPr>
              <w:spacing w:after="0" w:line="240" w:lineRule="auto"/>
              <w:jc w:val="center"/>
              <w:rPr>
                <w:rFonts w:ascii="Times New Roman" w:hAnsi="Times New Roman"/>
                <w:noProof/>
                <w:sz w:val="20"/>
                <w:szCs w:val="20"/>
              </w:rPr>
            </w:pPr>
            <w:r w:rsidRPr="003C0DF0">
              <w:rPr>
                <w:rFonts w:ascii="Times New Roman" w:hAnsi="Times New Roman"/>
                <w:noProof/>
                <w:sz w:val="20"/>
              </w:rPr>
              <w:t>(given name and surname of the official responsible for the project)</w:t>
            </w:r>
          </w:p>
          <w:p w14:paraId="7E8251B6" w14:textId="77777777" w:rsidR="00A2579D" w:rsidRPr="003C0DF0" w:rsidRDefault="00A2579D" w:rsidP="00A2579D">
            <w:pPr>
              <w:spacing w:after="0" w:line="240" w:lineRule="auto"/>
              <w:jc w:val="center"/>
              <w:rPr>
                <w:rFonts w:ascii="Times New Roman" w:hAnsi="Times New Roman"/>
                <w:noProof/>
                <w:sz w:val="20"/>
                <w:szCs w:val="20"/>
              </w:rPr>
            </w:pPr>
          </w:p>
        </w:tc>
      </w:tr>
      <w:tr w:rsidR="00ED16B1" w:rsidRPr="003C0DF0" w14:paraId="2F7D80F2" w14:textId="77777777" w:rsidTr="00A2579D">
        <w:tc>
          <w:tcPr>
            <w:tcW w:w="5262" w:type="dxa"/>
            <w:tcBorders>
              <w:top w:val="nil"/>
              <w:left w:val="nil"/>
              <w:bottom w:val="single" w:sz="4" w:space="0" w:color="000000"/>
              <w:right w:val="nil"/>
            </w:tcBorders>
            <w:hideMark/>
          </w:tcPr>
          <w:p w14:paraId="63736F59" w14:textId="77777777" w:rsidR="00ED16B1" w:rsidRPr="003C0DF0" w:rsidRDefault="00ED16B1" w:rsidP="006E539B">
            <w:pPr>
              <w:spacing w:after="0" w:line="240" w:lineRule="auto"/>
              <w:jc w:val="both"/>
              <w:rPr>
                <w:rFonts w:ascii="Times New Roman" w:hAnsi="Times New Roman"/>
                <w:noProof/>
                <w:sz w:val="20"/>
                <w:szCs w:val="20"/>
              </w:rPr>
            </w:pPr>
            <w:r w:rsidRPr="003C0DF0">
              <w:rPr>
                <w:rFonts w:ascii="Times New Roman" w:hAnsi="Times New Roman"/>
                <w:noProof/>
                <w:sz w:val="20"/>
              </w:rPr>
              <w:t>Director of the Department of Higher Education, Science and Innovation of the Ministry of Education and Science</w:t>
            </w:r>
          </w:p>
          <w:p w14:paraId="6D2E97AC" w14:textId="77777777" w:rsidR="00A2579D" w:rsidRPr="003C0DF0" w:rsidRDefault="00A2579D" w:rsidP="006E539B">
            <w:pPr>
              <w:spacing w:after="0" w:line="240" w:lineRule="auto"/>
              <w:jc w:val="both"/>
              <w:rPr>
                <w:rFonts w:ascii="Times New Roman" w:hAnsi="Times New Roman"/>
                <w:noProof/>
                <w:sz w:val="20"/>
                <w:szCs w:val="20"/>
              </w:rPr>
            </w:pPr>
          </w:p>
        </w:tc>
      </w:tr>
      <w:tr w:rsidR="00ED16B1" w:rsidRPr="003C0DF0" w14:paraId="33FA6D95" w14:textId="77777777" w:rsidTr="00A2579D">
        <w:tc>
          <w:tcPr>
            <w:tcW w:w="5262" w:type="dxa"/>
            <w:tcBorders>
              <w:top w:val="single" w:sz="4" w:space="0" w:color="000000"/>
              <w:left w:val="nil"/>
              <w:bottom w:val="nil"/>
              <w:right w:val="nil"/>
            </w:tcBorders>
            <w:hideMark/>
          </w:tcPr>
          <w:p w14:paraId="01EFD0A9" w14:textId="77777777" w:rsidR="00ED16B1" w:rsidRPr="003C0DF0" w:rsidRDefault="00ED16B1" w:rsidP="00A2579D">
            <w:pPr>
              <w:spacing w:after="0" w:line="240" w:lineRule="auto"/>
              <w:jc w:val="center"/>
              <w:rPr>
                <w:rFonts w:ascii="Times New Roman" w:hAnsi="Times New Roman"/>
                <w:noProof/>
                <w:sz w:val="20"/>
                <w:szCs w:val="20"/>
              </w:rPr>
            </w:pPr>
            <w:r w:rsidRPr="003C0DF0">
              <w:rPr>
                <w:rFonts w:ascii="Times New Roman" w:hAnsi="Times New Roman"/>
                <w:noProof/>
                <w:sz w:val="20"/>
              </w:rPr>
              <w:t>(position)</w:t>
            </w:r>
          </w:p>
          <w:p w14:paraId="7CC88745" w14:textId="77777777" w:rsidR="00A2579D" w:rsidRPr="003C0DF0" w:rsidRDefault="00A2579D" w:rsidP="00A2579D">
            <w:pPr>
              <w:spacing w:after="0" w:line="240" w:lineRule="auto"/>
              <w:jc w:val="center"/>
              <w:rPr>
                <w:rFonts w:ascii="Times New Roman" w:hAnsi="Times New Roman"/>
                <w:noProof/>
                <w:sz w:val="20"/>
                <w:szCs w:val="20"/>
              </w:rPr>
            </w:pPr>
          </w:p>
        </w:tc>
      </w:tr>
      <w:tr w:rsidR="00ED16B1" w:rsidRPr="003C0DF0" w14:paraId="3601DB48" w14:textId="77777777" w:rsidTr="00A2579D">
        <w:tc>
          <w:tcPr>
            <w:tcW w:w="5262" w:type="dxa"/>
            <w:tcBorders>
              <w:top w:val="nil"/>
              <w:left w:val="nil"/>
              <w:bottom w:val="single" w:sz="4" w:space="0" w:color="000000"/>
              <w:right w:val="nil"/>
            </w:tcBorders>
            <w:hideMark/>
          </w:tcPr>
          <w:p w14:paraId="31ADC137" w14:textId="77777777" w:rsidR="00ED16B1" w:rsidRPr="003C0DF0" w:rsidRDefault="00ED16B1" w:rsidP="00A2579D">
            <w:pPr>
              <w:spacing w:after="0" w:line="240" w:lineRule="auto"/>
              <w:jc w:val="center"/>
              <w:rPr>
                <w:rFonts w:ascii="Times New Roman" w:hAnsi="Times New Roman"/>
                <w:noProof/>
                <w:sz w:val="20"/>
                <w:szCs w:val="20"/>
              </w:rPr>
            </w:pPr>
            <w:r w:rsidRPr="003C0DF0">
              <w:rPr>
                <w:rFonts w:ascii="Times New Roman" w:hAnsi="Times New Roman"/>
                <w:noProof/>
                <w:sz w:val="20"/>
              </w:rPr>
              <w:t>67047996; fax: 67047996</w:t>
            </w:r>
          </w:p>
          <w:p w14:paraId="294ACF5D" w14:textId="77777777" w:rsidR="00A2579D" w:rsidRPr="003C0DF0" w:rsidRDefault="00A2579D" w:rsidP="00A2579D">
            <w:pPr>
              <w:spacing w:after="0" w:line="240" w:lineRule="auto"/>
              <w:jc w:val="center"/>
              <w:rPr>
                <w:rFonts w:ascii="Times New Roman" w:hAnsi="Times New Roman"/>
                <w:noProof/>
                <w:sz w:val="20"/>
                <w:szCs w:val="20"/>
              </w:rPr>
            </w:pPr>
          </w:p>
        </w:tc>
      </w:tr>
      <w:tr w:rsidR="00ED16B1" w:rsidRPr="003C0DF0" w14:paraId="1FDFF528" w14:textId="77777777" w:rsidTr="00A2579D">
        <w:tc>
          <w:tcPr>
            <w:tcW w:w="5262" w:type="dxa"/>
            <w:tcBorders>
              <w:top w:val="single" w:sz="4" w:space="0" w:color="000000"/>
              <w:left w:val="nil"/>
              <w:bottom w:val="nil"/>
              <w:right w:val="nil"/>
            </w:tcBorders>
            <w:hideMark/>
          </w:tcPr>
          <w:p w14:paraId="71DA2648" w14:textId="77777777" w:rsidR="00ED16B1" w:rsidRPr="003C0DF0" w:rsidRDefault="00ED16B1" w:rsidP="00A2579D">
            <w:pPr>
              <w:spacing w:after="0" w:line="240" w:lineRule="auto"/>
              <w:jc w:val="center"/>
              <w:rPr>
                <w:rFonts w:ascii="Times New Roman" w:hAnsi="Times New Roman"/>
                <w:noProof/>
                <w:sz w:val="20"/>
                <w:szCs w:val="20"/>
              </w:rPr>
            </w:pPr>
            <w:r w:rsidRPr="003C0DF0">
              <w:rPr>
                <w:rFonts w:ascii="Times New Roman" w:hAnsi="Times New Roman"/>
                <w:noProof/>
                <w:sz w:val="20"/>
              </w:rPr>
              <w:t>(telephone and fax number)</w:t>
            </w:r>
          </w:p>
          <w:p w14:paraId="0046315A" w14:textId="77777777" w:rsidR="00A2579D" w:rsidRPr="003C0DF0" w:rsidRDefault="00A2579D" w:rsidP="00A2579D">
            <w:pPr>
              <w:spacing w:after="0" w:line="240" w:lineRule="auto"/>
              <w:jc w:val="center"/>
              <w:rPr>
                <w:rFonts w:ascii="Times New Roman" w:hAnsi="Times New Roman"/>
                <w:noProof/>
                <w:sz w:val="20"/>
                <w:szCs w:val="20"/>
              </w:rPr>
            </w:pPr>
          </w:p>
        </w:tc>
      </w:tr>
      <w:tr w:rsidR="00ED16B1" w:rsidRPr="003C0DF0" w14:paraId="63019C81" w14:textId="77777777" w:rsidTr="00A2579D">
        <w:tc>
          <w:tcPr>
            <w:tcW w:w="5262" w:type="dxa"/>
            <w:tcBorders>
              <w:top w:val="nil"/>
              <w:left w:val="nil"/>
              <w:bottom w:val="single" w:sz="4" w:space="0" w:color="000000"/>
              <w:right w:val="nil"/>
            </w:tcBorders>
            <w:hideMark/>
          </w:tcPr>
          <w:p w14:paraId="58FB870D" w14:textId="0B5878F5" w:rsidR="00ED16B1" w:rsidRPr="003C0DF0" w:rsidRDefault="00A2579D" w:rsidP="00A2579D">
            <w:pPr>
              <w:spacing w:after="0" w:line="240" w:lineRule="auto"/>
              <w:jc w:val="center"/>
              <w:rPr>
                <w:rFonts w:ascii="Times New Roman" w:hAnsi="Times New Roman"/>
                <w:noProof/>
                <w:sz w:val="20"/>
                <w:szCs w:val="20"/>
              </w:rPr>
            </w:pPr>
            <w:r w:rsidRPr="003C0DF0">
              <w:rPr>
                <w:rFonts w:ascii="Times New Roman" w:hAnsi="Times New Roman"/>
                <w:noProof/>
                <w:sz w:val="20"/>
              </w:rPr>
              <w:t>Agrita.Kiopa@izm.gov.lv</w:t>
            </w:r>
          </w:p>
          <w:p w14:paraId="6DCCC07E" w14:textId="5E2E4F86" w:rsidR="00A2579D" w:rsidRPr="003C0DF0" w:rsidRDefault="00A2579D" w:rsidP="00A2579D">
            <w:pPr>
              <w:spacing w:after="0" w:line="240" w:lineRule="auto"/>
              <w:jc w:val="center"/>
              <w:rPr>
                <w:rFonts w:ascii="Times New Roman" w:hAnsi="Times New Roman"/>
                <w:noProof/>
                <w:sz w:val="20"/>
                <w:szCs w:val="20"/>
              </w:rPr>
            </w:pPr>
          </w:p>
        </w:tc>
      </w:tr>
      <w:tr w:rsidR="00ED16B1" w:rsidRPr="003C0DF0" w14:paraId="1029D9E4" w14:textId="77777777" w:rsidTr="00A2579D">
        <w:tc>
          <w:tcPr>
            <w:tcW w:w="5262" w:type="dxa"/>
            <w:tcBorders>
              <w:top w:val="single" w:sz="4" w:space="0" w:color="000000"/>
              <w:left w:val="nil"/>
              <w:bottom w:val="nil"/>
              <w:right w:val="nil"/>
            </w:tcBorders>
            <w:hideMark/>
          </w:tcPr>
          <w:p w14:paraId="4FDDEF15" w14:textId="77777777" w:rsidR="00ED16B1" w:rsidRPr="003C0DF0" w:rsidRDefault="00ED16B1" w:rsidP="00A2579D">
            <w:pPr>
              <w:spacing w:after="0" w:line="240" w:lineRule="auto"/>
              <w:jc w:val="center"/>
              <w:rPr>
                <w:rFonts w:ascii="Times New Roman" w:hAnsi="Times New Roman"/>
                <w:noProof/>
                <w:sz w:val="20"/>
                <w:szCs w:val="20"/>
              </w:rPr>
            </w:pPr>
            <w:r w:rsidRPr="003C0DF0">
              <w:rPr>
                <w:rFonts w:ascii="Times New Roman" w:hAnsi="Times New Roman"/>
                <w:noProof/>
                <w:sz w:val="20"/>
              </w:rPr>
              <w:t>(e-mail address)</w:t>
            </w:r>
          </w:p>
        </w:tc>
      </w:tr>
    </w:tbl>
    <w:p w14:paraId="5C24F896" w14:textId="77777777" w:rsidR="00A2579D" w:rsidRPr="003C0DF0" w:rsidRDefault="00A2579D" w:rsidP="006E539B">
      <w:pPr>
        <w:spacing w:after="0" w:line="240" w:lineRule="auto"/>
        <w:jc w:val="both"/>
        <w:rPr>
          <w:rFonts w:ascii="Times New Roman" w:hAnsi="Times New Roman"/>
          <w:noProof/>
          <w:sz w:val="20"/>
          <w:szCs w:val="20"/>
        </w:rPr>
      </w:pPr>
    </w:p>
    <w:p w14:paraId="662EB4E1" w14:textId="77777777" w:rsidR="00A2579D" w:rsidRPr="003C0DF0" w:rsidRDefault="00ED16B1" w:rsidP="006E539B">
      <w:pPr>
        <w:spacing w:after="0" w:line="240" w:lineRule="auto"/>
        <w:jc w:val="both"/>
        <w:rPr>
          <w:rFonts w:ascii="Times New Roman" w:hAnsi="Times New Roman"/>
          <w:noProof/>
          <w:sz w:val="20"/>
          <w:szCs w:val="20"/>
        </w:rPr>
      </w:pPr>
      <w:r w:rsidRPr="003C0DF0">
        <w:rPr>
          <w:rFonts w:ascii="Times New Roman" w:hAnsi="Times New Roman"/>
          <w:noProof/>
          <w:sz w:val="20"/>
        </w:rPr>
        <w:lastRenderedPageBreak/>
        <w:t>08.06.2015</w:t>
      </w:r>
    </w:p>
    <w:p w14:paraId="6F511539" w14:textId="4D487E56" w:rsidR="00A2579D" w:rsidRPr="003C0DF0" w:rsidRDefault="00ED16B1" w:rsidP="006E539B">
      <w:pPr>
        <w:spacing w:after="0" w:line="240" w:lineRule="auto"/>
        <w:jc w:val="both"/>
        <w:rPr>
          <w:rFonts w:ascii="Times New Roman" w:hAnsi="Times New Roman"/>
          <w:noProof/>
          <w:sz w:val="20"/>
          <w:szCs w:val="20"/>
        </w:rPr>
      </w:pPr>
      <w:r w:rsidRPr="003C0DF0">
        <w:rPr>
          <w:rFonts w:ascii="Times New Roman" w:hAnsi="Times New Roman"/>
          <w:noProof/>
          <w:sz w:val="20"/>
        </w:rPr>
        <w:t>15,055</w:t>
      </w:r>
    </w:p>
    <w:p w14:paraId="7C067BAD" w14:textId="77777777" w:rsidR="00A2579D" w:rsidRPr="003C0DF0" w:rsidRDefault="00ED16B1" w:rsidP="006E539B">
      <w:pPr>
        <w:spacing w:after="0" w:line="240" w:lineRule="auto"/>
        <w:jc w:val="both"/>
        <w:rPr>
          <w:rFonts w:ascii="Times New Roman" w:hAnsi="Times New Roman"/>
          <w:noProof/>
          <w:sz w:val="20"/>
          <w:szCs w:val="20"/>
        </w:rPr>
      </w:pPr>
      <w:r w:rsidRPr="003C0DF0">
        <w:rPr>
          <w:rFonts w:ascii="Times New Roman" w:hAnsi="Times New Roman"/>
          <w:noProof/>
          <w:sz w:val="20"/>
        </w:rPr>
        <w:t>L. Treimane, 67047879</w:t>
      </w:r>
    </w:p>
    <w:p w14:paraId="44389EA1" w14:textId="5833E4B9" w:rsidR="00A2579D" w:rsidRPr="003C0DF0" w:rsidRDefault="00A2579D" w:rsidP="006E539B">
      <w:pPr>
        <w:spacing w:after="0" w:line="240" w:lineRule="auto"/>
        <w:jc w:val="both"/>
        <w:rPr>
          <w:rFonts w:ascii="Times New Roman" w:hAnsi="Times New Roman"/>
          <w:noProof/>
          <w:sz w:val="20"/>
          <w:szCs w:val="20"/>
        </w:rPr>
      </w:pPr>
      <w:r w:rsidRPr="003C0DF0">
        <w:rPr>
          <w:rFonts w:ascii="Times New Roman" w:hAnsi="Times New Roman"/>
          <w:noProof/>
          <w:sz w:val="20"/>
        </w:rPr>
        <w:t>Laura.Treimane@izm.gov.lv</w:t>
      </w:r>
    </w:p>
    <w:p w14:paraId="0C360091" w14:textId="77777777" w:rsidR="00A2579D" w:rsidRPr="003C0DF0" w:rsidRDefault="00ED16B1" w:rsidP="006E539B">
      <w:pPr>
        <w:spacing w:after="0" w:line="240" w:lineRule="auto"/>
        <w:jc w:val="both"/>
        <w:rPr>
          <w:rFonts w:ascii="Times New Roman" w:hAnsi="Times New Roman"/>
          <w:noProof/>
          <w:sz w:val="20"/>
          <w:szCs w:val="20"/>
        </w:rPr>
      </w:pPr>
      <w:r w:rsidRPr="003C0DF0">
        <w:rPr>
          <w:rFonts w:ascii="Times New Roman" w:hAnsi="Times New Roman"/>
          <w:noProof/>
          <w:sz w:val="20"/>
        </w:rPr>
        <w:t>J. Paiders, 67047936</w:t>
      </w:r>
    </w:p>
    <w:p w14:paraId="729DE2B3" w14:textId="19772516" w:rsidR="006E539B" w:rsidRPr="003C0DF0" w:rsidRDefault="00A2579D" w:rsidP="006E539B">
      <w:pPr>
        <w:spacing w:after="0" w:line="240" w:lineRule="auto"/>
        <w:jc w:val="both"/>
        <w:rPr>
          <w:rFonts w:ascii="Times New Roman" w:hAnsi="Times New Roman"/>
          <w:noProof/>
          <w:sz w:val="20"/>
          <w:szCs w:val="20"/>
        </w:rPr>
      </w:pPr>
      <w:r w:rsidRPr="003C0DF0">
        <w:rPr>
          <w:rFonts w:ascii="Times New Roman" w:hAnsi="Times New Roman"/>
          <w:noProof/>
          <w:sz w:val="20"/>
        </w:rPr>
        <w:t>Janis.Paiders@izm.gov.lv</w:t>
      </w:r>
    </w:p>
    <w:p w14:paraId="0AD67C3C" w14:textId="77777777" w:rsidR="00A2579D" w:rsidRPr="003C0DF0" w:rsidRDefault="00A2579D" w:rsidP="006E539B">
      <w:pPr>
        <w:spacing w:after="0" w:line="240" w:lineRule="auto"/>
        <w:jc w:val="both"/>
        <w:rPr>
          <w:rFonts w:ascii="Times New Roman" w:hAnsi="Times New Roman"/>
          <w:noProof/>
          <w:sz w:val="24"/>
          <w:szCs w:val="20"/>
        </w:rPr>
      </w:pPr>
    </w:p>
    <w:sectPr w:rsidR="00A2579D" w:rsidRPr="003C0DF0" w:rsidSect="006E539B">
      <w:footerReference w:type="default" r:id="rId15"/>
      <w:headerReference w:type="first" r:id="rId16"/>
      <w:footerReference w:type="first" r:id="rId1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4595A9" w14:textId="77777777" w:rsidR="003C0DF0" w:rsidRPr="00ED16B1" w:rsidRDefault="003C0DF0" w:rsidP="00B11EDF">
      <w:pPr>
        <w:spacing w:after="0" w:line="240" w:lineRule="auto"/>
        <w:rPr>
          <w:noProof/>
          <w:lang w:val="en-US"/>
        </w:rPr>
      </w:pPr>
      <w:r w:rsidRPr="00ED16B1">
        <w:rPr>
          <w:noProof/>
          <w:lang w:val="en-US"/>
        </w:rPr>
        <w:separator/>
      </w:r>
    </w:p>
    <w:p w14:paraId="278B362F" w14:textId="77777777" w:rsidR="003C0DF0" w:rsidRPr="00ED16B1" w:rsidRDefault="003C0DF0">
      <w:pPr>
        <w:rPr>
          <w:noProof/>
          <w:lang w:val="en-US"/>
        </w:rPr>
      </w:pPr>
    </w:p>
  </w:endnote>
  <w:endnote w:type="continuationSeparator" w:id="0">
    <w:p w14:paraId="7F707F14" w14:textId="77777777" w:rsidR="003C0DF0" w:rsidRPr="00ED16B1" w:rsidRDefault="003C0DF0" w:rsidP="00B11EDF">
      <w:pPr>
        <w:spacing w:after="0" w:line="240" w:lineRule="auto"/>
        <w:rPr>
          <w:noProof/>
          <w:lang w:val="en-US"/>
        </w:rPr>
      </w:pPr>
      <w:r w:rsidRPr="00ED16B1">
        <w:rPr>
          <w:noProof/>
          <w:lang w:val="en-US"/>
        </w:rPr>
        <w:continuationSeparator/>
      </w:r>
    </w:p>
    <w:p w14:paraId="19C811B0" w14:textId="77777777" w:rsidR="003C0DF0" w:rsidRPr="00ED16B1" w:rsidRDefault="003C0DF0">
      <w:pPr>
        <w:rPr>
          <w:noProof/>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E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ヒラギノ角ゴ Pro W3">
    <w:altName w:val="Arial Unicode MS"/>
    <w:charset w:val="80"/>
    <w:family w:val="auto"/>
    <w:pitch w:val="variable"/>
    <w:sig w:usb0="00000000" w:usb1="08070000" w:usb2="00000010" w:usb3="00000000" w:csb0="00020000" w:csb1="00000000"/>
  </w:font>
  <w:font w:name="Cambria Math">
    <w:panose1 w:val="02040503050406030204"/>
    <w:charset w:val="BA"/>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032C84" w14:textId="77777777" w:rsidR="003C0DF0" w:rsidRPr="00750961" w:rsidRDefault="003C0DF0" w:rsidP="003C0DF0">
    <w:pPr>
      <w:pStyle w:val="Footer"/>
      <w:tabs>
        <w:tab w:val="clear" w:pos="4153"/>
        <w:tab w:val="clear" w:pos="8306"/>
        <w:tab w:val="right" w:pos="9072"/>
      </w:tabs>
      <w:rPr>
        <w:rFonts w:ascii="Times New Roman" w:hAnsi="Times New Roman"/>
        <w:sz w:val="20"/>
      </w:rPr>
    </w:pPr>
  </w:p>
  <w:p w14:paraId="19CF9A20" w14:textId="77777777" w:rsidR="003C0DF0" w:rsidRPr="000523BF" w:rsidRDefault="003C0DF0" w:rsidP="003C0DF0">
    <w:pPr>
      <w:pStyle w:val="Footer"/>
      <w:tabs>
        <w:tab w:val="clear" w:pos="4153"/>
        <w:tab w:val="clear" w:pos="8306"/>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201</w:t>
    </w:r>
    <w:r>
      <w:rPr>
        <w:rFonts w:ascii="Times New Roman" w:hAnsi="Times New Roman"/>
        <w:sz w:val="20"/>
      </w:rPr>
      <w:t>6</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PageNumber"/>
        <w:rFonts w:ascii="Times New Roman" w:hAnsi="Times New Roman"/>
      </w:rPr>
      <w:fldChar w:fldCharType="begin"/>
    </w:r>
    <w:r w:rsidRPr="00750961">
      <w:rPr>
        <w:rStyle w:val="PageNumber"/>
        <w:rFonts w:ascii="Times New Roman" w:hAnsi="Times New Roman"/>
      </w:rPr>
      <w:instrText xml:space="preserve"> PAGE </w:instrText>
    </w:r>
    <w:r w:rsidRPr="00750961">
      <w:rPr>
        <w:rStyle w:val="PageNumber"/>
        <w:rFonts w:ascii="Times New Roman" w:hAnsi="Times New Roman"/>
      </w:rPr>
      <w:fldChar w:fldCharType="separate"/>
    </w:r>
    <w:r w:rsidR="00635E80">
      <w:rPr>
        <w:rStyle w:val="PageNumber"/>
        <w:rFonts w:ascii="Times New Roman" w:hAnsi="Times New Roman"/>
        <w:noProof/>
      </w:rPr>
      <w:t>32</w:t>
    </w:r>
    <w:r w:rsidRPr="00750961">
      <w:rPr>
        <w:rStyle w:val="PageNumber"/>
        <w:rFonts w:ascii="Times New Roman" w:hAnsi="Times New Roma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8335CD" w14:textId="77777777" w:rsidR="003C0DF0" w:rsidRPr="00750961" w:rsidRDefault="003C0DF0" w:rsidP="003C0DF0">
    <w:pPr>
      <w:pStyle w:val="Footer"/>
      <w:rPr>
        <w:rFonts w:ascii="Times New Roman" w:hAnsi="Times New Roman"/>
        <w:sz w:val="20"/>
      </w:rPr>
    </w:pPr>
  </w:p>
  <w:p w14:paraId="34B3D363" w14:textId="77777777" w:rsidR="003C0DF0" w:rsidRPr="000523BF" w:rsidRDefault="003C0DF0" w:rsidP="003C0DF0">
    <w:pPr>
      <w:pStyle w:val="Footer"/>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201</w:t>
    </w:r>
    <w:r>
      <w:rPr>
        <w:rFonts w:ascii="Times New Roman" w:hAnsi="Times New Roman"/>
        <w:sz w:val="20"/>
      </w:rPr>
      <w:t>6</w:t>
    </w:r>
    <w:r w:rsidRPr="00750961">
      <w:rPr>
        <w:rFonts w:ascii="Times New Roman" w:hAnsi="Times New Roman"/>
        <w:sz w:val="20"/>
      </w:rPr>
      <w:t xml:space="preserve"> Valsts valodas</w:t>
    </w:r>
    <w:r>
      <w:rPr>
        <w:rFonts w:ascii="Times New Roman" w:hAnsi="Times New Roman"/>
        <w:sz w:val="20"/>
      </w:rPr>
      <w:t xml:space="preserve"> centrs (State Language Centre)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D8949A" w14:textId="77777777" w:rsidR="003C0DF0" w:rsidRPr="00ED16B1" w:rsidRDefault="003C0DF0" w:rsidP="00B11EDF">
      <w:pPr>
        <w:spacing w:after="0" w:line="240" w:lineRule="auto"/>
        <w:rPr>
          <w:noProof/>
          <w:lang w:val="en-US"/>
        </w:rPr>
      </w:pPr>
      <w:r w:rsidRPr="00ED16B1">
        <w:rPr>
          <w:noProof/>
          <w:lang w:val="en-US"/>
        </w:rPr>
        <w:separator/>
      </w:r>
    </w:p>
    <w:p w14:paraId="61C9D00E" w14:textId="77777777" w:rsidR="003C0DF0" w:rsidRPr="00ED16B1" w:rsidRDefault="003C0DF0">
      <w:pPr>
        <w:rPr>
          <w:noProof/>
          <w:lang w:val="en-US"/>
        </w:rPr>
      </w:pPr>
    </w:p>
  </w:footnote>
  <w:footnote w:type="continuationSeparator" w:id="0">
    <w:p w14:paraId="1E8B8464" w14:textId="77777777" w:rsidR="003C0DF0" w:rsidRPr="00ED16B1" w:rsidRDefault="003C0DF0" w:rsidP="00B11EDF">
      <w:pPr>
        <w:spacing w:after="0" w:line="240" w:lineRule="auto"/>
        <w:rPr>
          <w:noProof/>
          <w:lang w:val="en-US"/>
        </w:rPr>
      </w:pPr>
      <w:r w:rsidRPr="00ED16B1">
        <w:rPr>
          <w:noProof/>
          <w:lang w:val="en-US"/>
        </w:rPr>
        <w:continuationSeparator/>
      </w:r>
    </w:p>
    <w:p w14:paraId="6962B855" w14:textId="77777777" w:rsidR="003C0DF0" w:rsidRPr="00ED16B1" w:rsidRDefault="003C0DF0">
      <w:pPr>
        <w:rPr>
          <w:noProof/>
          <w:lang w:val="en-US"/>
        </w:rPr>
      </w:pPr>
    </w:p>
  </w:footnote>
  <w:footnote w:id="1">
    <w:p w14:paraId="060FFAF1" w14:textId="77777777" w:rsidR="003C0DF0" w:rsidRPr="003C0DF0" w:rsidRDefault="003C0DF0" w:rsidP="00ED16B1">
      <w:pPr>
        <w:pStyle w:val="FootnoteText"/>
        <w:jc w:val="both"/>
        <w:rPr>
          <w:rFonts w:ascii="Times New Roman" w:hAnsi="Times New Roman"/>
          <w:noProof/>
          <w:lang w:val="en-US"/>
        </w:rPr>
      </w:pPr>
      <w:r w:rsidRPr="003C0DF0">
        <w:rPr>
          <w:rStyle w:val="FootnoteReference"/>
          <w:rFonts w:ascii="Times New Roman" w:hAnsi="Times New Roman"/>
          <w:noProof/>
        </w:rPr>
        <w:footnoteRef/>
      </w:r>
      <w:r w:rsidRPr="003C0DF0">
        <w:rPr>
          <w:rFonts w:ascii="Times New Roman" w:hAnsi="Times New Roman"/>
        </w:rPr>
        <w:t xml:space="preserve"> </w:t>
      </w:r>
      <w:r w:rsidRPr="003C0DF0">
        <w:rPr>
          <w:rFonts w:ascii="Times New Roman" w:hAnsi="Times New Roman"/>
          <w:noProof/>
        </w:rPr>
        <w:t>Information on the progress of the study implementation, discussion materials, and reports, and translations thereof are available on the Ministry's website: http://www.izm.gov.lv/lv/izglitiba/augstaka-izglitiba/finansesanas-modelis;</w:t>
      </w:r>
    </w:p>
  </w:footnote>
  <w:footnote w:id="2">
    <w:p w14:paraId="2E1A9E88" w14:textId="77777777" w:rsidR="003C0DF0" w:rsidRPr="003C0DF0" w:rsidRDefault="003C0DF0" w:rsidP="00ED16B1">
      <w:pPr>
        <w:pStyle w:val="FootnoteText"/>
        <w:jc w:val="both"/>
        <w:rPr>
          <w:rFonts w:ascii="Times New Roman" w:hAnsi="Times New Roman"/>
          <w:noProof/>
          <w:lang w:val="en-US"/>
        </w:rPr>
      </w:pPr>
      <w:r w:rsidRPr="003C0DF0">
        <w:rPr>
          <w:rStyle w:val="FootnoteReference"/>
          <w:rFonts w:ascii="Times New Roman" w:hAnsi="Times New Roman"/>
          <w:noProof/>
        </w:rPr>
        <w:footnoteRef/>
      </w:r>
      <w:r w:rsidRPr="003C0DF0">
        <w:rPr>
          <w:rFonts w:ascii="Times New Roman" w:hAnsi="Times New Roman"/>
          <w:noProof/>
        </w:rPr>
        <w:t xml:space="preserve"> Institutions of higher education – educational institutions, which according to the Classification of Education in Latvia (Cabinet Regulation No. 990 of 2 December 2008) implement academic and vocational education programmes of the highest level, i.e., institutions of higher education and colleges.</w:t>
      </w:r>
    </w:p>
  </w:footnote>
  <w:footnote w:id="3">
    <w:p w14:paraId="4E409CF9" w14:textId="77777777" w:rsidR="003C0DF0" w:rsidRPr="003C0DF0" w:rsidRDefault="003C0DF0" w:rsidP="00ED16B1">
      <w:pPr>
        <w:spacing w:after="0" w:line="240" w:lineRule="auto"/>
        <w:jc w:val="both"/>
        <w:rPr>
          <w:rFonts w:ascii="Times New Roman" w:hAnsi="Times New Roman"/>
          <w:noProof/>
          <w:sz w:val="20"/>
          <w:szCs w:val="20"/>
          <w:lang w:val="en-US"/>
        </w:rPr>
      </w:pPr>
      <w:r w:rsidRPr="003C0DF0">
        <w:rPr>
          <w:rStyle w:val="FootnoteReference"/>
          <w:rFonts w:ascii="Times New Roman" w:hAnsi="Times New Roman"/>
          <w:noProof/>
          <w:sz w:val="20"/>
          <w:szCs w:val="20"/>
        </w:rPr>
        <w:footnoteRef/>
      </w:r>
      <w:r w:rsidRPr="003C0DF0">
        <w:rPr>
          <w:rFonts w:ascii="Times New Roman" w:hAnsi="Times New Roman"/>
          <w:sz w:val="20"/>
          <w:szCs w:val="20"/>
        </w:rPr>
        <w:t xml:space="preserve"> </w:t>
      </w:r>
      <w:r w:rsidRPr="003C0DF0">
        <w:rPr>
          <w:rFonts w:ascii="Times New Roman" w:hAnsi="Times New Roman"/>
          <w:noProof/>
          <w:sz w:val="20"/>
          <w:szCs w:val="20"/>
        </w:rPr>
        <w:t xml:space="preserve">Ziegele, F. (2013). European Trends in Performance Oriented Funding. In Bergan, S., Egron, Polak, E., Kohler, J. &amp; Purser, L. (Eds.): </w:t>
      </w:r>
      <w:r w:rsidRPr="003C0DF0">
        <w:rPr>
          <w:rFonts w:ascii="Times New Roman" w:hAnsi="Times New Roman"/>
          <w:i/>
          <w:noProof/>
          <w:sz w:val="20"/>
          <w:szCs w:val="20"/>
        </w:rPr>
        <w:t xml:space="preserve">Leadership and Governance in Higher Education Handbook for Decision-makers and Administrators, </w:t>
      </w:r>
      <w:r w:rsidRPr="003C0DF0">
        <w:rPr>
          <w:rFonts w:ascii="Times New Roman" w:hAnsi="Times New Roman"/>
          <w:noProof/>
          <w:sz w:val="20"/>
          <w:szCs w:val="20"/>
        </w:rPr>
        <w:t>1/2013. Berlin: Raabe, pp. 71-88;</w:t>
      </w:r>
    </w:p>
  </w:footnote>
  <w:footnote w:id="4">
    <w:p w14:paraId="1FD2E6EF" w14:textId="74ECD73B" w:rsidR="003C0DF0" w:rsidRPr="003C0DF0" w:rsidRDefault="003C0DF0" w:rsidP="00ED16B1">
      <w:pPr>
        <w:spacing w:after="0" w:line="240" w:lineRule="auto"/>
        <w:jc w:val="both"/>
        <w:rPr>
          <w:rFonts w:ascii="Times New Roman" w:hAnsi="Times New Roman"/>
          <w:noProof/>
          <w:sz w:val="20"/>
          <w:szCs w:val="20"/>
          <w:lang w:val="en-US"/>
        </w:rPr>
      </w:pPr>
      <w:r w:rsidRPr="003C0DF0">
        <w:rPr>
          <w:rStyle w:val="FootnoteReference"/>
          <w:rFonts w:ascii="Times New Roman" w:hAnsi="Times New Roman"/>
          <w:noProof/>
          <w:sz w:val="20"/>
          <w:szCs w:val="20"/>
        </w:rPr>
        <w:footnoteRef/>
      </w:r>
      <w:r w:rsidRPr="003C0DF0">
        <w:rPr>
          <w:rFonts w:ascii="Times New Roman" w:hAnsi="Times New Roman"/>
          <w:noProof/>
          <w:sz w:val="20"/>
          <w:szCs w:val="20"/>
        </w:rPr>
        <w:t xml:space="preserve"> Estermann, T., Bennetot Pruvot, E. &amp; Claeys-Kulik, A-L. (2013). </w:t>
      </w:r>
      <w:r w:rsidRPr="003C0DF0">
        <w:rPr>
          <w:rFonts w:ascii="Times New Roman" w:hAnsi="Times New Roman"/>
          <w:i/>
          <w:noProof/>
          <w:sz w:val="20"/>
          <w:szCs w:val="20"/>
        </w:rPr>
        <w:t>Designing Strategies for Efficient Funding of Higher Education in Europe.</w:t>
      </w:r>
      <w:r w:rsidRPr="003C0DF0">
        <w:rPr>
          <w:rFonts w:ascii="Times New Roman" w:hAnsi="Times New Roman"/>
          <w:noProof/>
          <w:sz w:val="20"/>
          <w:szCs w:val="20"/>
        </w:rPr>
        <w:t xml:space="preserve"> DEFINE Interim Report 2013. Brussels: E</w:t>
      </w:r>
      <w:r>
        <w:rPr>
          <w:rFonts w:ascii="Times New Roman" w:hAnsi="Times New Roman"/>
          <w:noProof/>
          <w:sz w:val="20"/>
          <w:szCs w:val="20"/>
        </w:rPr>
        <w:t>uropean University Association.</w:t>
      </w:r>
    </w:p>
  </w:footnote>
  <w:footnote w:id="5">
    <w:p w14:paraId="78F21691" w14:textId="77777777" w:rsidR="003C0DF0" w:rsidRPr="003C0DF0" w:rsidRDefault="003C0DF0" w:rsidP="00ED16B1">
      <w:pPr>
        <w:pStyle w:val="FootnoteText"/>
        <w:rPr>
          <w:rFonts w:ascii="Times New Roman" w:hAnsi="Times New Roman"/>
          <w:noProof/>
          <w:lang w:val="en-US"/>
        </w:rPr>
      </w:pPr>
      <w:r w:rsidRPr="003C0DF0">
        <w:rPr>
          <w:rStyle w:val="FootnoteReference"/>
          <w:rFonts w:ascii="Times New Roman" w:hAnsi="Times New Roman"/>
          <w:noProof/>
        </w:rPr>
        <w:footnoteRef/>
      </w:r>
      <w:r w:rsidRPr="003C0DF0">
        <w:rPr>
          <w:rFonts w:ascii="Times New Roman" w:hAnsi="Times New Roman"/>
          <w:noProof/>
        </w:rPr>
        <w:t xml:space="preserve"> Jongbloed, B., de Boer, H., Enders, J. &amp; File, J. (2010). </w:t>
      </w:r>
      <w:r w:rsidRPr="003C0DF0">
        <w:rPr>
          <w:rFonts w:ascii="Times New Roman" w:hAnsi="Times New Roman"/>
          <w:i/>
          <w:noProof/>
        </w:rPr>
        <w:t>Progress in higher education reform across Europe. Funding Reform</w:t>
      </w:r>
      <w:r w:rsidRPr="003C0DF0">
        <w:rPr>
          <w:rFonts w:ascii="Times New Roman" w:hAnsi="Times New Roman"/>
          <w:noProof/>
        </w:rPr>
        <w:t>. Volume 1: Executive Summary and main report. Enschede: CHEPS.</w:t>
      </w:r>
    </w:p>
  </w:footnote>
  <w:footnote w:id="6">
    <w:p w14:paraId="7A58BE45" w14:textId="77777777" w:rsidR="003C0DF0" w:rsidRPr="003C0DF0" w:rsidRDefault="003C0DF0" w:rsidP="00ED16B1">
      <w:pPr>
        <w:pStyle w:val="FootnoteText"/>
        <w:jc w:val="both"/>
        <w:rPr>
          <w:rFonts w:ascii="Times New Roman" w:hAnsi="Times New Roman"/>
          <w:noProof/>
          <w:lang w:val="en-US"/>
        </w:rPr>
      </w:pPr>
      <w:r w:rsidRPr="003C0DF0">
        <w:rPr>
          <w:rStyle w:val="FootnoteReference"/>
          <w:rFonts w:ascii="Times New Roman" w:hAnsi="Times New Roman"/>
          <w:noProof/>
        </w:rPr>
        <w:footnoteRef/>
      </w:r>
      <w:r w:rsidRPr="003C0DF0">
        <w:rPr>
          <w:rFonts w:ascii="Times New Roman" w:hAnsi="Times New Roman"/>
        </w:rPr>
        <w:t xml:space="preserve"> </w:t>
      </w:r>
      <w:r w:rsidRPr="003C0DF0">
        <w:rPr>
          <w:rFonts w:ascii="Times New Roman" w:hAnsi="Times New Roman"/>
          <w:noProof/>
        </w:rPr>
        <w:t>The Law On Institutions of Higher Education, the Law On Scientific Activity, Cabinet Regulation No. 994 of 12 December 2006, Procedures for the Financing of Institutions of Higher Education and Colleges from the Funds of the State Budget, Cabinet Regulation No. 1316 of 12 November 2013, Procedures for the Allocation of Financial Reference Amount to State Scientific Institutions, State Institutions of Higher Education and the Scientific Institutes of State Institutions of Higher Education, Cabinet Regulation No. 740 of 24 August 2004, Regulations Regarding Stipends, and other legal acts governing the financing of the sector.</w:t>
      </w:r>
    </w:p>
  </w:footnote>
  <w:footnote w:id="7">
    <w:p w14:paraId="3988582D" w14:textId="77777777" w:rsidR="003C0DF0" w:rsidRPr="003C0DF0" w:rsidRDefault="003C0DF0" w:rsidP="00ED16B1">
      <w:pPr>
        <w:pStyle w:val="FootnoteText"/>
        <w:rPr>
          <w:rFonts w:ascii="Times New Roman" w:hAnsi="Times New Roman"/>
          <w:noProof/>
          <w:lang w:val="en-US"/>
        </w:rPr>
      </w:pPr>
      <w:r w:rsidRPr="003C0DF0">
        <w:rPr>
          <w:rStyle w:val="FootnoteReference"/>
          <w:rFonts w:ascii="Times New Roman" w:hAnsi="Times New Roman"/>
          <w:noProof/>
        </w:rPr>
        <w:footnoteRef/>
      </w:r>
      <w:r w:rsidRPr="003C0DF0">
        <w:rPr>
          <w:rFonts w:ascii="Times New Roman" w:hAnsi="Times New Roman"/>
          <w:noProof/>
        </w:rPr>
        <w:t xml:space="preserve"> </w:t>
      </w:r>
      <w:r w:rsidRPr="003C0DF0">
        <w:rPr>
          <w:rFonts w:ascii="Times New Roman" w:hAnsi="Times New Roman"/>
          <w:i/>
          <w:noProof/>
        </w:rPr>
        <w:t>U-Multirank I</w:t>
      </w:r>
      <w:r w:rsidRPr="003C0DF0">
        <w:rPr>
          <w:rFonts w:ascii="Times New Roman" w:hAnsi="Times New Roman"/>
          <w:i/>
          <w:noProof/>
          <w:color w:val="222222"/>
        </w:rPr>
        <w:t>nternational Ranking of Higher Education Institutions</w:t>
      </w:r>
      <w:r w:rsidRPr="003C0DF0">
        <w:rPr>
          <w:rFonts w:ascii="Times New Roman" w:hAnsi="Times New Roman"/>
          <w:noProof/>
        </w:rPr>
        <w:t>. Available at: http://www.umultirank.org/#!/home?trackType=home&amp;section=entrance</w:t>
      </w:r>
    </w:p>
  </w:footnote>
  <w:footnote w:id="8">
    <w:p w14:paraId="3EAB7A9C" w14:textId="77777777" w:rsidR="003C0DF0" w:rsidRPr="003C0DF0" w:rsidRDefault="003C0DF0" w:rsidP="00ED16B1">
      <w:pPr>
        <w:autoSpaceDE w:val="0"/>
        <w:autoSpaceDN w:val="0"/>
        <w:adjustRightInd w:val="0"/>
        <w:spacing w:after="0" w:line="240" w:lineRule="auto"/>
        <w:jc w:val="both"/>
        <w:rPr>
          <w:rFonts w:ascii="Times New Roman" w:hAnsi="Times New Roman"/>
          <w:i/>
          <w:iCs/>
          <w:noProof/>
          <w:color w:val="000000"/>
          <w:sz w:val="20"/>
          <w:szCs w:val="20"/>
          <w:lang w:val="en-US"/>
        </w:rPr>
      </w:pPr>
      <w:r w:rsidRPr="003C0DF0">
        <w:rPr>
          <w:rStyle w:val="FootnoteReference"/>
          <w:rFonts w:ascii="Times New Roman" w:hAnsi="Times New Roman"/>
          <w:noProof/>
          <w:sz w:val="20"/>
          <w:szCs w:val="20"/>
        </w:rPr>
        <w:footnoteRef/>
      </w:r>
      <w:r w:rsidRPr="003C0DF0">
        <w:rPr>
          <w:rFonts w:ascii="Times New Roman" w:hAnsi="Times New Roman"/>
          <w:sz w:val="20"/>
          <w:szCs w:val="20"/>
        </w:rPr>
        <w:t xml:space="preserve"> </w:t>
      </w:r>
      <w:r w:rsidRPr="003C0DF0">
        <w:rPr>
          <w:rFonts w:ascii="Times New Roman" w:hAnsi="Times New Roman"/>
          <w:noProof/>
          <w:color w:val="000000"/>
          <w:sz w:val="20"/>
          <w:szCs w:val="20"/>
        </w:rPr>
        <w:t>The new financing model does not apply to the National Academy of Defence, which is financed from the State budget funds allocated to the Ministry of Defence, hence its funding is not included in the proposed three-pillar model. The model does not apply to the educational institutions (colleges) of the system of the Ministry of the Interior.</w:t>
      </w:r>
    </w:p>
    <w:p w14:paraId="538B785B" w14:textId="77777777" w:rsidR="003C0DF0" w:rsidRPr="003C0DF0" w:rsidRDefault="003C0DF0" w:rsidP="00ED16B1">
      <w:pPr>
        <w:pStyle w:val="FootnoteText"/>
        <w:jc w:val="both"/>
        <w:rPr>
          <w:rFonts w:ascii="Times New Roman" w:hAnsi="Times New Roman"/>
          <w:noProof/>
          <w:lang w:val="en-US"/>
        </w:rPr>
      </w:pPr>
    </w:p>
  </w:footnote>
  <w:footnote w:id="9">
    <w:p w14:paraId="2895120D" w14:textId="77777777" w:rsidR="003C0DF0" w:rsidRPr="003C0DF0" w:rsidRDefault="003C0DF0" w:rsidP="00ED16B1">
      <w:pPr>
        <w:pStyle w:val="FootnoteText"/>
        <w:rPr>
          <w:rFonts w:ascii="Times New Roman" w:hAnsi="Times New Roman"/>
          <w:noProof/>
          <w:lang w:val="en-US"/>
        </w:rPr>
      </w:pPr>
      <w:r w:rsidRPr="003C0DF0">
        <w:rPr>
          <w:rStyle w:val="FootnoteReference"/>
          <w:rFonts w:ascii="Times New Roman" w:hAnsi="Times New Roman"/>
          <w:noProof/>
        </w:rPr>
        <w:footnoteRef/>
      </w:r>
      <w:r w:rsidRPr="003C0DF0">
        <w:rPr>
          <w:rFonts w:ascii="Times New Roman" w:hAnsi="Times New Roman"/>
        </w:rPr>
        <w:t xml:space="preserve"> </w:t>
      </w:r>
      <w:r w:rsidRPr="003C0DF0">
        <w:rPr>
          <w:rFonts w:ascii="Times New Roman" w:hAnsi="Times New Roman"/>
          <w:noProof/>
        </w:rPr>
        <w:t xml:space="preserve">Final report of the World Bank </w:t>
      </w:r>
      <w:r w:rsidRPr="003C0DF0">
        <w:rPr>
          <w:rFonts w:ascii="Times New Roman" w:hAnsi="Times New Roman"/>
          <w:i/>
          <w:noProof/>
        </w:rPr>
        <w:t>Higher Education Financing in Latvia: Final Report</w:t>
      </w:r>
      <w:r w:rsidRPr="003C0DF0">
        <w:rPr>
          <w:rFonts w:ascii="Times New Roman" w:hAnsi="Times New Roman"/>
          <w:noProof/>
        </w:rPr>
        <w:t>, table 13 </w:t>
      </w:r>
      <w:r w:rsidRPr="003C0DF0">
        <w:rPr>
          <w:rFonts w:ascii="Times New Roman" w:hAnsi="Times New Roman"/>
          <w:i/>
          <w:noProof/>
        </w:rPr>
        <w:t>Overview of how new model addresses current challenges and meets criteria</w:t>
      </w:r>
      <w:r w:rsidRPr="003C0DF0">
        <w:rPr>
          <w:rFonts w:ascii="Times New Roman" w:hAnsi="Times New Roman"/>
          <w:noProof/>
        </w:rPr>
        <w:t>, pp 44-47 Annex 4 to the Conceptual Report.</w:t>
      </w:r>
    </w:p>
  </w:footnote>
  <w:footnote w:id="10">
    <w:p w14:paraId="79E25223" w14:textId="77777777" w:rsidR="003C0DF0" w:rsidRPr="003C0DF0" w:rsidRDefault="003C0DF0" w:rsidP="00ED16B1">
      <w:pPr>
        <w:pStyle w:val="FootnoteText"/>
        <w:jc w:val="both"/>
        <w:rPr>
          <w:rFonts w:ascii="Times New Roman" w:hAnsi="Times New Roman"/>
          <w:noProof/>
          <w:lang w:val="en-US"/>
        </w:rPr>
      </w:pPr>
      <w:r w:rsidRPr="003C0DF0">
        <w:rPr>
          <w:rStyle w:val="FootnoteReference"/>
          <w:rFonts w:ascii="Times New Roman" w:hAnsi="Times New Roman"/>
          <w:noProof/>
        </w:rPr>
        <w:footnoteRef/>
      </w:r>
      <w:r w:rsidRPr="003C0DF0">
        <w:rPr>
          <w:rFonts w:ascii="Times New Roman" w:hAnsi="Times New Roman"/>
        </w:rPr>
        <w:t xml:space="preserve"> </w:t>
      </w:r>
      <w:r w:rsidRPr="003C0DF0">
        <w:rPr>
          <w:rFonts w:ascii="Times New Roman" w:hAnsi="Times New Roman"/>
          <w:noProof/>
        </w:rPr>
        <w:t>In 2010, public expenditure on higher education accounted only for 0.8 percent of the GDP of Latvia, compared with the average of 1.26 per cent in the EU27 countries, and of 1.23 and 1.27 percent respectively in Estonia and Lithuania.</w:t>
      </w:r>
    </w:p>
  </w:footnote>
  <w:footnote w:id="11">
    <w:p w14:paraId="7A760B9D" w14:textId="33B41858" w:rsidR="003C0DF0" w:rsidRPr="003C0DF0" w:rsidRDefault="003C0DF0" w:rsidP="00ED16B1">
      <w:pPr>
        <w:pStyle w:val="FootnoteText"/>
        <w:rPr>
          <w:rFonts w:ascii="Times New Roman" w:hAnsi="Times New Roman"/>
          <w:noProof/>
          <w:lang w:val="en-US"/>
        </w:rPr>
      </w:pPr>
      <w:r w:rsidRPr="003C0DF0">
        <w:rPr>
          <w:rStyle w:val="FootnoteReference"/>
          <w:rFonts w:ascii="Times New Roman" w:hAnsi="Times New Roman"/>
          <w:noProof/>
        </w:rPr>
        <w:footnoteRef/>
      </w:r>
      <w:r w:rsidRPr="003C0DF0">
        <w:rPr>
          <w:rFonts w:ascii="Times New Roman" w:hAnsi="Times New Roman"/>
        </w:rPr>
        <w:t xml:space="preserve"> </w:t>
      </w:r>
      <w:r w:rsidRPr="003C0DF0">
        <w:rPr>
          <w:rFonts w:ascii="Times New Roman" w:hAnsi="Times New Roman"/>
          <w:noProof/>
        </w:rPr>
        <w:t>The estimates for the required additional funding have been made based on the GDP estimates for 2015.</w:t>
      </w:r>
      <w:r w:rsidR="00727249">
        <w:rPr>
          <w:rFonts w:ascii="Times New Roman" w:hAnsi="Times New Roman"/>
          <w:noProof/>
        </w:rPr>
        <w:t xml:space="preserve"> </w:t>
      </w:r>
    </w:p>
  </w:footnote>
  <w:footnote w:id="12">
    <w:p w14:paraId="1DA86C77" w14:textId="77777777" w:rsidR="003C0DF0" w:rsidRPr="003C0DF0" w:rsidRDefault="003C0DF0" w:rsidP="00ED16B1">
      <w:pPr>
        <w:pStyle w:val="FootnoteText"/>
        <w:jc w:val="both"/>
        <w:rPr>
          <w:rFonts w:ascii="Times New Roman" w:hAnsi="Times New Roman"/>
          <w:noProof/>
          <w:lang w:val="en-US"/>
        </w:rPr>
      </w:pPr>
      <w:r w:rsidRPr="003C0DF0">
        <w:rPr>
          <w:rStyle w:val="FootnoteReference"/>
          <w:rFonts w:ascii="Times New Roman" w:hAnsi="Times New Roman"/>
          <w:noProof/>
        </w:rPr>
        <w:footnoteRef/>
      </w:r>
      <w:r w:rsidRPr="003C0DF0">
        <w:rPr>
          <w:rFonts w:ascii="Times New Roman" w:hAnsi="Times New Roman"/>
          <w:noProof/>
        </w:rPr>
        <w:t xml:space="preserve"> Statistics on higher education of the Ministry of Education and Science. Available at: http://izm.izm.gov.lv/registri-statistika/statistika-augstaka.html</w:t>
      </w:r>
    </w:p>
  </w:footnote>
  <w:footnote w:id="13">
    <w:p w14:paraId="6155D065" w14:textId="77777777" w:rsidR="003C0DF0" w:rsidRPr="003C0DF0" w:rsidRDefault="003C0DF0" w:rsidP="00ED16B1">
      <w:pPr>
        <w:pStyle w:val="FootnoteText"/>
        <w:jc w:val="both"/>
        <w:rPr>
          <w:rFonts w:ascii="Times New Roman" w:hAnsi="Times New Roman"/>
          <w:noProof/>
          <w:lang w:val="en-US"/>
        </w:rPr>
      </w:pPr>
      <w:r w:rsidRPr="003C0DF0">
        <w:rPr>
          <w:rStyle w:val="FootnoteReference"/>
          <w:rFonts w:ascii="Times New Roman" w:hAnsi="Times New Roman"/>
          <w:noProof/>
        </w:rPr>
        <w:footnoteRef/>
      </w:r>
      <w:r w:rsidRPr="003C0DF0">
        <w:rPr>
          <w:rFonts w:ascii="Times New Roman" w:hAnsi="Times New Roman"/>
          <w:noProof/>
        </w:rPr>
        <w:t xml:space="preserve"> The Ministry of Economics (2014) </w:t>
      </w:r>
      <w:r w:rsidRPr="003C0DF0">
        <w:rPr>
          <w:rFonts w:ascii="Times New Roman" w:hAnsi="Times New Roman"/>
          <w:i/>
          <w:noProof/>
        </w:rPr>
        <w:t>Informative Report on the Medium and Long–term Labour Market Forecasts.</w:t>
      </w:r>
      <w:r w:rsidRPr="003C0DF0">
        <w:rPr>
          <w:rFonts w:ascii="Times New Roman" w:hAnsi="Times New Roman"/>
          <w:noProof/>
        </w:rPr>
        <w:t xml:space="preserve"> https://www.em.gov.lv/lv/nozares_politika/tautsaimniecibas_attistiba/informativais_zinojums_par_darba_tirgus_videja_un_ilgtermina_prognozem/</w:t>
      </w:r>
    </w:p>
    <w:p w14:paraId="34289141" w14:textId="77777777" w:rsidR="003C0DF0" w:rsidRPr="003C0DF0" w:rsidRDefault="003C0DF0" w:rsidP="00ED16B1">
      <w:pPr>
        <w:pStyle w:val="FootnoteText"/>
        <w:rPr>
          <w:rFonts w:ascii="Times New Roman" w:hAnsi="Times New Roman"/>
          <w:noProof/>
          <w:lang w:val="en-US"/>
        </w:rPr>
      </w:pPr>
    </w:p>
  </w:footnote>
  <w:footnote w:id="14">
    <w:p w14:paraId="135926EF" w14:textId="77777777" w:rsidR="003C0DF0" w:rsidRPr="003C0DF0" w:rsidRDefault="003C0DF0" w:rsidP="00ED16B1">
      <w:pPr>
        <w:pStyle w:val="FootnoteText"/>
        <w:jc w:val="both"/>
        <w:rPr>
          <w:rFonts w:ascii="Times New Roman" w:hAnsi="Times New Roman"/>
          <w:noProof/>
          <w:lang w:val="en-US"/>
        </w:rPr>
      </w:pPr>
      <w:r w:rsidRPr="003C0DF0">
        <w:rPr>
          <w:rStyle w:val="FootnoteReference"/>
          <w:rFonts w:ascii="Times New Roman" w:hAnsi="Times New Roman"/>
          <w:noProof/>
        </w:rPr>
        <w:footnoteRef/>
      </w:r>
      <w:r w:rsidRPr="003C0DF0">
        <w:rPr>
          <w:rFonts w:ascii="Times New Roman" w:hAnsi="Times New Roman"/>
          <w:noProof/>
        </w:rPr>
        <w:t xml:space="preserve"> Of the total number of students in State-founded institutions of higher education and colleges in the academic year 2013/2014 (65,410), 34,491 or 53 % of the students were studying for the budget funds, and 30,919 or 47 % – paid the tuition fee themselves (source: Report on Higher Education in 2013, MoES)</w:t>
      </w:r>
    </w:p>
  </w:footnote>
  <w:footnote w:id="15">
    <w:p w14:paraId="5E375AC4" w14:textId="77777777" w:rsidR="003C0DF0" w:rsidRPr="003C0DF0" w:rsidRDefault="003C0DF0" w:rsidP="00ED16B1">
      <w:pPr>
        <w:pStyle w:val="FootnoteText"/>
        <w:jc w:val="both"/>
        <w:rPr>
          <w:rFonts w:ascii="Times New Roman" w:hAnsi="Times New Roman"/>
          <w:i/>
          <w:noProof/>
          <w:lang w:val="en-US"/>
        </w:rPr>
      </w:pPr>
      <w:r w:rsidRPr="003C0DF0">
        <w:rPr>
          <w:rStyle w:val="FootnoteReference"/>
          <w:rFonts w:ascii="Times New Roman" w:hAnsi="Times New Roman"/>
          <w:noProof/>
        </w:rPr>
        <w:footnoteRef/>
      </w:r>
      <w:r w:rsidRPr="003C0DF0">
        <w:rPr>
          <w:rFonts w:ascii="Times New Roman" w:hAnsi="Times New Roman"/>
          <w:noProof/>
        </w:rPr>
        <w:t xml:space="preserve"> Order No. 120 of 12 February 2015 of the Ministry of Education and Science,</w:t>
      </w:r>
      <w:r w:rsidRPr="003C0DF0">
        <w:rPr>
          <w:rFonts w:ascii="Times New Roman" w:hAnsi="Times New Roman"/>
          <w:i/>
          <w:noProof/>
        </w:rPr>
        <w:t xml:space="preserve"> On the Number of Places in Institutions of Higher Education in 2015,</w:t>
      </w:r>
      <w:r w:rsidRPr="003C0DF0">
        <w:rPr>
          <w:rFonts w:ascii="Times New Roman" w:hAnsi="Times New Roman"/>
          <w:noProof/>
        </w:rPr>
        <w:t xml:space="preserve"> and Order No. 8 of 7 January 2015, </w:t>
      </w:r>
      <w:r w:rsidRPr="003C0DF0">
        <w:rPr>
          <w:rFonts w:ascii="Times New Roman" w:hAnsi="Times New Roman"/>
          <w:i/>
          <w:noProof/>
        </w:rPr>
        <w:t>On the Number of Study Places in Colleges in 2015</w:t>
      </w:r>
      <w:r w:rsidRPr="003C0DF0">
        <w:rPr>
          <w:rFonts w:ascii="Times New Roman" w:hAnsi="Times New Roman"/>
          <w:noProof/>
        </w:rPr>
        <w:t>.</w:t>
      </w:r>
    </w:p>
  </w:footnote>
  <w:footnote w:id="16">
    <w:p w14:paraId="0CA1F709" w14:textId="77777777" w:rsidR="003C0DF0" w:rsidRPr="003C0DF0" w:rsidRDefault="003C0DF0" w:rsidP="00ED16B1">
      <w:pPr>
        <w:pStyle w:val="FootnoteText"/>
        <w:jc w:val="both"/>
        <w:rPr>
          <w:rFonts w:ascii="Times New Roman" w:hAnsi="Times New Roman"/>
          <w:noProof/>
          <w:lang w:val="en-US"/>
        </w:rPr>
      </w:pPr>
      <w:r w:rsidRPr="003C0DF0">
        <w:rPr>
          <w:rStyle w:val="FootnoteReference"/>
          <w:rFonts w:ascii="Times New Roman" w:hAnsi="Times New Roman"/>
          <w:noProof/>
        </w:rPr>
        <w:footnoteRef/>
      </w:r>
      <w:r w:rsidRPr="003C0DF0">
        <w:rPr>
          <w:rFonts w:ascii="Times New Roman" w:hAnsi="Times New Roman"/>
          <w:noProof/>
        </w:rPr>
        <w:t xml:space="preserve"> The Ministry of Economics (2014) </w:t>
      </w:r>
      <w:r w:rsidRPr="003C0DF0">
        <w:rPr>
          <w:rFonts w:ascii="Times New Roman" w:hAnsi="Times New Roman"/>
          <w:i/>
          <w:noProof/>
        </w:rPr>
        <w:t>Informative Report on the Medium and Long–term Labour Market Forecasts.</w:t>
      </w:r>
      <w:r w:rsidRPr="003C0DF0">
        <w:rPr>
          <w:rFonts w:ascii="Times New Roman" w:hAnsi="Times New Roman"/>
          <w:noProof/>
        </w:rPr>
        <w:t xml:space="preserve"> Available at: https://www.em.gov.lv/lv/nozares_politika/tautsaimniecibas_attistiba/informativais_zinojums_par_darba_tirgus_videja_un_ilgtermina_prognozem/</w:t>
      </w:r>
    </w:p>
  </w:footnote>
  <w:footnote w:id="17">
    <w:p w14:paraId="3C8EC1FA" w14:textId="77777777" w:rsidR="003C0DF0" w:rsidRPr="003C0DF0" w:rsidRDefault="003C0DF0" w:rsidP="00ED16B1">
      <w:pPr>
        <w:pStyle w:val="FootnoteText"/>
        <w:jc w:val="both"/>
        <w:rPr>
          <w:rFonts w:ascii="Times New Roman" w:hAnsi="Times New Roman"/>
          <w:noProof/>
          <w:lang w:val="en-US"/>
        </w:rPr>
      </w:pPr>
      <w:r w:rsidRPr="003C0DF0">
        <w:rPr>
          <w:rStyle w:val="FootnoteReference"/>
          <w:rFonts w:ascii="Times New Roman" w:hAnsi="Times New Roman"/>
          <w:noProof/>
        </w:rPr>
        <w:footnoteRef/>
      </w:r>
      <w:r w:rsidRPr="003C0DF0">
        <w:rPr>
          <w:rFonts w:ascii="Times New Roman" w:hAnsi="Times New Roman"/>
        </w:rPr>
        <w:t xml:space="preserve"> </w:t>
      </w:r>
      <w:r w:rsidRPr="003C0DF0">
        <w:rPr>
          <w:rFonts w:ascii="Times New Roman" w:hAnsi="Times New Roman"/>
          <w:noProof/>
        </w:rPr>
        <w:t>Sustainable Development Strategy of Latvia “Latvia 2030”, National Development Plan of Latvia for 2014 – 2020, National Reform Programme of Latvia for Implementation of the Strategy “Europe 2020”, Guidelines for the National Industrial Policy for 2013 – 2020.</w:t>
      </w:r>
    </w:p>
  </w:footnote>
  <w:footnote w:id="18">
    <w:p w14:paraId="4BB46604" w14:textId="77777777" w:rsidR="003C0DF0" w:rsidRPr="003C0DF0" w:rsidRDefault="003C0DF0" w:rsidP="00ED16B1">
      <w:pPr>
        <w:spacing w:after="120" w:line="240" w:lineRule="auto"/>
        <w:ind w:firstLine="720"/>
        <w:jc w:val="both"/>
        <w:rPr>
          <w:rFonts w:ascii="Times New Roman" w:hAnsi="Times New Roman"/>
          <w:noProof/>
          <w:color w:val="000000"/>
          <w:sz w:val="20"/>
          <w:szCs w:val="20"/>
          <w:lang w:val="en-US" w:eastAsia="lv-LV"/>
        </w:rPr>
      </w:pPr>
      <w:r w:rsidRPr="003C0DF0">
        <w:rPr>
          <w:rStyle w:val="FootnoteReference"/>
          <w:rFonts w:ascii="Times New Roman" w:hAnsi="Times New Roman"/>
          <w:noProof/>
          <w:sz w:val="20"/>
          <w:szCs w:val="20"/>
        </w:rPr>
        <w:footnoteRef/>
      </w:r>
      <w:r w:rsidRPr="003C0DF0">
        <w:rPr>
          <w:rFonts w:ascii="Times New Roman" w:hAnsi="Times New Roman"/>
          <w:sz w:val="20"/>
          <w:szCs w:val="20"/>
        </w:rPr>
        <w:t xml:space="preserve"> </w:t>
      </w:r>
      <w:r w:rsidRPr="003C0DF0">
        <w:rPr>
          <w:rFonts w:ascii="Times New Roman" w:hAnsi="Times New Roman"/>
          <w:noProof/>
          <w:color w:val="000000"/>
          <w:sz w:val="20"/>
          <w:szCs w:val="20"/>
        </w:rPr>
        <w:t>The guidelines approved with Order No. 148 of 4 March 2015 of the Ministry of Education and Science ensure compliance of the information submitted by scientific institutions with the requirements for scientific organisations within the meaning of Commission Regulation (EU) No 651/2014 of 17 June 2014.</w:t>
      </w:r>
    </w:p>
    <w:p w14:paraId="62BA8B41" w14:textId="77777777" w:rsidR="003C0DF0" w:rsidRPr="003C0DF0" w:rsidRDefault="003C0DF0" w:rsidP="00ED16B1">
      <w:pPr>
        <w:pStyle w:val="FootnoteText"/>
        <w:rPr>
          <w:rFonts w:ascii="Times New Roman" w:hAnsi="Times New Roman"/>
          <w:noProof/>
          <w:lang w:val="en-US"/>
        </w:rPr>
      </w:pPr>
    </w:p>
  </w:footnote>
  <w:footnote w:id="19">
    <w:p w14:paraId="297D3AB8" w14:textId="77777777" w:rsidR="003C0DF0" w:rsidRPr="003C0DF0" w:rsidRDefault="003C0DF0" w:rsidP="00ED16B1">
      <w:pPr>
        <w:pStyle w:val="FootnoteText"/>
        <w:rPr>
          <w:rFonts w:ascii="Times New Roman" w:hAnsi="Times New Roman"/>
          <w:noProof/>
          <w:lang w:val="en-US"/>
        </w:rPr>
      </w:pPr>
      <w:r w:rsidRPr="003C0DF0">
        <w:rPr>
          <w:rStyle w:val="FootnoteReference"/>
          <w:rFonts w:ascii="Times New Roman" w:hAnsi="Times New Roman"/>
          <w:noProof/>
        </w:rPr>
        <w:footnoteRef/>
      </w:r>
      <w:r w:rsidRPr="003C0DF0">
        <w:rPr>
          <w:rFonts w:ascii="Times New Roman" w:hAnsi="Times New Roman"/>
          <w:noProof/>
        </w:rPr>
        <w:t xml:space="preserve"> European Indicators and Ranking Methodology for University Third Mission. Available at: http://www.e3mproject.eu/final-conference.html</w:t>
      </w:r>
    </w:p>
  </w:footnote>
  <w:footnote w:id="20">
    <w:p w14:paraId="44427338" w14:textId="77777777" w:rsidR="003C0DF0" w:rsidRPr="003C0DF0" w:rsidRDefault="003C0DF0" w:rsidP="00ED16B1">
      <w:pPr>
        <w:pStyle w:val="FootnoteText"/>
        <w:rPr>
          <w:rFonts w:ascii="Times New Roman" w:hAnsi="Times New Roman"/>
          <w:noProof/>
          <w:lang w:val="en-US"/>
        </w:rPr>
      </w:pPr>
      <w:r w:rsidRPr="003C0DF0">
        <w:rPr>
          <w:rStyle w:val="FootnoteReference"/>
          <w:rFonts w:ascii="Times New Roman" w:hAnsi="Times New Roman"/>
          <w:noProof/>
        </w:rPr>
        <w:footnoteRef/>
      </w:r>
      <w:r w:rsidRPr="003C0DF0">
        <w:rPr>
          <w:rFonts w:ascii="Times New Roman" w:hAnsi="Times New Roman"/>
        </w:rPr>
        <w:t xml:space="preserve"> </w:t>
      </w:r>
      <w:r w:rsidRPr="003C0DF0">
        <w:rPr>
          <w:rFonts w:ascii="Times New Roman" w:hAnsi="Times New Roman"/>
          <w:noProof/>
        </w:rPr>
        <w:t xml:space="preserve">Materials of the studies implemented by the ministry are available on the ministry's website section </w:t>
      </w:r>
      <w:r w:rsidRPr="003C0DF0">
        <w:rPr>
          <w:rFonts w:ascii="Times New Roman" w:hAnsi="Times New Roman"/>
          <w:i/>
          <w:noProof/>
        </w:rPr>
        <w:t>Nozaru politika/Augstākā izglītība/Pētījumi –</w:t>
      </w:r>
      <w:r w:rsidRPr="003C0DF0">
        <w:rPr>
          <w:rFonts w:ascii="Times New Roman" w:hAnsi="Times New Roman"/>
          <w:noProof/>
        </w:rPr>
        <w:t xml:space="preserve"> http://izm.izm.gov.lv/nozares-politika/izglitiba.html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B30609" w14:textId="77777777" w:rsidR="003C0DF0" w:rsidRPr="00C90D90" w:rsidRDefault="003C0DF0" w:rsidP="00C90D90">
    <w:pPr>
      <w:pStyle w:val="Header"/>
      <w:jc w:val="both"/>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B0660"/>
    <w:multiLevelType w:val="multilevel"/>
    <w:tmpl w:val="9BF225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4960F2D"/>
    <w:multiLevelType w:val="multilevel"/>
    <w:tmpl w:val="A4F00E88"/>
    <w:lvl w:ilvl="0">
      <w:start w:val="1"/>
      <w:numFmt w:val="decimal"/>
      <w:lvlText w:val="%1."/>
      <w:lvlJc w:val="left"/>
      <w:pPr>
        <w:ind w:left="720" w:hanging="360"/>
      </w:pPr>
      <w:rPr>
        <w:rFonts w:hint="default"/>
        <w:b/>
        <w:color w:val="auto"/>
      </w:rPr>
    </w:lvl>
    <w:lvl w:ilvl="1">
      <w:start w:val="3"/>
      <w:numFmt w:val="decimal"/>
      <w:isLgl/>
      <w:lvlText w:val="%1.%2."/>
      <w:lvlJc w:val="left"/>
      <w:pPr>
        <w:ind w:left="1080" w:hanging="72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440" w:hanging="108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800" w:hanging="144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2160" w:hanging="180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2">
    <w:nsid w:val="05D44566"/>
    <w:multiLevelType w:val="multilevel"/>
    <w:tmpl w:val="2E7825B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5DA1F51"/>
    <w:multiLevelType w:val="hybridMultilevel"/>
    <w:tmpl w:val="620A7B44"/>
    <w:lvl w:ilvl="0" w:tplc="6F86F20E">
      <w:start w:val="1"/>
      <w:numFmt w:val="bullet"/>
      <w:lvlText w:val="•"/>
      <w:lvlJc w:val="left"/>
      <w:pPr>
        <w:tabs>
          <w:tab w:val="num" w:pos="720"/>
        </w:tabs>
        <w:ind w:left="720" w:hanging="360"/>
      </w:pPr>
      <w:rPr>
        <w:rFonts w:ascii="Times New Roman" w:hAnsi="Times New Roman" w:hint="default"/>
      </w:rPr>
    </w:lvl>
    <w:lvl w:ilvl="1" w:tplc="C0586072" w:tentative="1">
      <w:start w:val="1"/>
      <w:numFmt w:val="bullet"/>
      <w:lvlText w:val="•"/>
      <w:lvlJc w:val="left"/>
      <w:pPr>
        <w:tabs>
          <w:tab w:val="num" w:pos="1440"/>
        </w:tabs>
        <w:ind w:left="1440" w:hanging="360"/>
      </w:pPr>
      <w:rPr>
        <w:rFonts w:ascii="Times New Roman" w:hAnsi="Times New Roman" w:hint="default"/>
      </w:rPr>
    </w:lvl>
    <w:lvl w:ilvl="2" w:tplc="61B259D6" w:tentative="1">
      <w:start w:val="1"/>
      <w:numFmt w:val="bullet"/>
      <w:lvlText w:val="•"/>
      <w:lvlJc w:val="left"/>
      <w:pPr>
        <w:tabs>
          <w:tab w:val="num" w:pos="2160"/>
        </w:tabs>
        <w:ind w:left="2160" w:hanging="360"/>
      </w:pPr>
      <w:rPr>
        <w:rFonts w:ascii="Times New Roman" w:hAnsi="Times New Roman" w:hint="default"/>
      </w:rPr>
    </w:lvl>
    <w:lvl w:ilvl="3" w:tplc="F55E9DAA" w:tentative="1">
      <w:start w:val="1"/>
      <w:numFmt w:val="bullet"/>
      <w:lvlText w:val="•"/>
      <w:lvlJc w:val="left"/>
      <w:pPr>
        <w:tabs>
          <w:tab w:val="num" w:pos="2880"/>
        </w:tabs>
        <w:ind w:left="2880" w:hanging="360"/>
      </w:pPr>
      <w:rPr>
        <w:rFonts w:ascii="Times New Roman" w:hAnsi="Times New Roman" w:hint="default"/>
      </w:rPr>
    </w:lvl>
    <w:lvl w:ilvl="4" w:tplc="FFE244CA" w:tentative="1">
      <w:start w:val="1"/>
      <w:numFmt w:val="bullet"/>
      <w:lvlText w:val="•"/>
      <w:lvlJc w:val="left"/>
      <w:pPr>
        <w:tabs>
          <w:tab w:val="num" w:pos="3600"/>
        </w:tabs>
        <w:ind w:left="3600" w:hanging="360"/>
      </w:pPr>
      <w:rPr>
        <w:rFonts w:ascii="Times New Roman" w:hAnsi="Times New Roman" w:hint="default"/>
      </w:rPr>
    </w:lvl>
    <w:lvl w:ilvl="5" w:tplc="4E822072" w:tentative="1">
      <w:start w:val="1"/>
      <w:numFmt w:val="bullet"/>
      <w:lvlText w:val="•"/>
      <w:lvlJc w:val="left"/>
      <w:pPr>
        <w:tabs>
          <w:tab w:val="num" w:pos="4320"/>
        </w:tabs>
        <w:ind w:left="4320" w:hanging="360"/>
      </w:pPr>
      <w:rPr>
        <w:rFonts w:ascii="Times New Roman" w:hAnsi="Times New Roman" w:hint="default"/>
      </w:rPr>
    </w:lvl>
    <w:lvl w:ilvl="6" w:tplc="1B1C64B4" w:tentative="1">
      <w:start w:val="1"/>
      <w:numFmt w:val="bullet"/>
      <w:lvlText w:val="•"/>
      <w:lvlJc w:val="left"/>
      <w:pPr>
        <w:tabs>
          <w:tab w:val="num" w:pos="5040"/>
        </w:tabs>
        <w:ind w:left="5040" w:hanging="360"/>
      </w:pPr>
      <w:rPr>
        <w:rFonts w:ascii="Times New Roman" w:hAnsi="Times New Roman" w:hint="default"/>
      </w:rPr>
    </w:lvl>
    <w:lvl w:ilvl="7" w:tplc="D624A346" w:tentative="1">
      <w:start w:val="1"/>
      <w:numFmt w:val="bullet"/>
      <w:lvlText w:val="•"/>
      <w:lvlJc w:val="left"/>
      <w:pPr>
        <w:tabs>
          <w:tab w:val="num" w:pos="5760"/>
        </w:tabs>
        <w:ind w:left="5760" w:hanging="360"/>
      </w:pPr>
      <w:rPr>
        <w:rFonts w:ascii="Times New Roman" w:hAnsi="Times New Roman" w:hint="default"/>
      </w:rPr>
    </w:lvl>
    <w:lvl w:ilvl="8" w:tplc="1BC00794" w:tentative="1">
      <w:start w:val="1"/>
      <w:numFmt w:val="bullet"/>
      <w:lvlText w:val="•"/>
      <w:lvlJc w:val="left"/>
      <w:pPr>
        <w:tabs>
          <w:tab w:val="num" w:pos="6480"/>
        </w:tabs>
        <w:ind w:left="6480" w:hanging="360"/>
      </w:pPr>
      <w:rPr>
        <w:rFonts w:ascii="Times New Roman" w:hAnsi="Times New Roman" w:hint="default"/>
      </w:rPr>
    </w:lvl>
  </w:abstractNum>
  <w:abstractNum w:abstractNumId="4">
    <w:nsid w:val="074D45F1"/>
    <w:multiLevelType w:val="multilevel"/>
    <w:tmpl w:val="34F4F51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0D6D3D56"/>
    <w:multiLevelType w:val="hybridMultilevel"/>
    <w:tmpl w:val="9F1C5DE8"/>
    <w:lvl w:ilvl="0" w:tplc="F47CB89C">
      <w:start w:val="1"/>
      <w:numFmt w:val="bullet"/>
      <w:lvlText w:val="•"/>
      <w:lvlJc w:val="left"/>
      <w:pPr>
        <w:tabs>
          <w:tab w:val="num" w:pos="720"/>
        </w:tabs>
        <w:ind w:left="720" w:hanging="360"/>
      </w:pPr>
      <w:rPr>
        <w:rFonts w:ascii="Times New Roman" w:hAnsi="Times New Roman" w:hint="default"/>
      </w:rPr>
    </w:lvl>
    <w:lvl w:ilvl="1" w:tplc="AE6CE9BC" w:tentative="1">
      <w:start w:val="1"/>
      <w:numFmt w:val="bullet"/>
      <w:lvlText w:val="•"/>
      <w:lvlJc w:val="left"/>
      <w:pPr>
        <w:tabs>
          <w:tab w:val="num" w:pos="1440"/>
        </w:tabs>
        <w:ind w:left="1440" w:hanging="360"/>
      </w:pPr>
      <w:rPr>
        <w:rFonts w:ascii="Times New Roman" w:hAnsi="Times New Roman" w:hint="default"/>
      </w:rPr>
    </w:lvl>
    <w:lvl w:ilvl="2" w:tplc="8726660E" w:tentative="1">
      <w:start w:val="1"/>
      <w:numFmt w:val="bullet"/>
      <w:lvlText w:val="•"/>
      <w:lvlJc w:val="left"/>
      <w:pPr>
        <w:tabs>
          <w:tab w:val="num" w:pos="2160"/>
        </w:tabs>
        <w:ind w:left="2160" w:hanging="360"/>
      </w:pPr>
      <w:rPr>
        <w:rFonts w:ascii="Times New Roman" w:hAnsi="Times New Roman" w:hint="default"/>
      </w:rPr>
    </w:lvl>
    <w:lvl w:ilvl="3" w:tplc="9A5A1B16" w:tentative="1">
      <w:start w:val="1"/>
      <w:numFmt w:val="bullet"/>
      <w:lvlText w:val="•"/>
      <w:lvlJc w:val="left"/>
      <w:pPr>
        <w:tabs>
          <w:tab w:val="num" w:pos="2880"/>
        </w:tabs>
        <w:ind w:left="2880" w:hanging="360"/>
      </w:pPr>
      <w:rPr>
        <w:rFonts w:ascii="Times New Roman" w:hAnsi="Times New Roman" w:hint="default"/>
      </w:rPr>
    </w:lvl>
    <w:lvl w:ilvl="4" w:tplc="782EFACC" w:tentative="1">
      <w:start w:val="1"/>
      <w:numFmt w:val="bullet"/>
      <w:lvlText w:val="•"/>
      <w:lvlJc w:val="left"/>
      <w:pPr>
        <w:tabs>
          <w:tab w:val="num" w:pos="3600"/>
        </w:tabs>
        <w:ind w:left="3600" w:hanging="360"/>
      </w:pPr>
      <w:rPr>
        <w:rFonts w:ascii="Times New Roman" w:hAnsi="Times New Roman" w:hint="default"/>
      </w:rPr>
    </w:lvl>
    <w:lvl w:ilvl="5" w:tplc="30DE4332" w:tentative="1">
      <w:start w:val="1"/>
      <w:numFmt w:val="bullet"/>
      <w:lvlText w:val="•"/>
      <w:lvlJc w:val="left"/>
      <w:pPr>
        <w:tabs>
          <w:tab w:val="num" w:pos="4320"/>
        </w:tabs>
        <w:ind w:left="4320" w:hanging="360"/>
      </w:pPr>
      <w:rPr>
        <w:rFonts w:ascii="Times New Roman" w:hAnsi="Times New Roman" w:hint="default"/>
      </w:rPr>
    </w:lvl>
    <w:lvl w:ilvl="6" w:tplc="2A4C226C" w:tentative="1">
      <w:start w:val="1"/>
      <w:numFmt w:val="bullet"/>
      <w:lvlText w:val="•"/>
      <w:lvlJc w:val="left"/>
      <w:pPr>
        <w:tabs>
          <w:tab w:val="num" w:pos="5040"/>
        </w:tabs>
        <w:ind w:left="5040" w:hanging="360"/>
      </w:pPr>
      <w:rPr>
        <w:rFonts w:ascii="Times New Roman" w:hAnsi="Times New Roman" w:hint="default"/>
      </w:rPr>
    </w:lvl>
    <w:lvl w:ilvl="7" w:tplc="0B92491A" w:tentative="1">
      <w:start w:val="1"/>
      <w:numFmt w:val="bullet"/>
      <w:lvlText w:val="•"/>
      <w:lvlJc w:val="left"/>
      <w:pPr>
        <w:tabs>
          <w:tab w:val="num" w:pos="5760"/>
        </w:tabs>
        <w:ind w:left="5760" w:hanging="360"/>
      </w:pPr>
      <w:rPr>
        <w:rFonts w:ascii="Times New Roman" w:hAnsi="Times New Roman" w:hint="default"/>
      </w:rPr>
    </w:lvl>
    <w:lvl w:ilvl="8" w:tplc="CCF8EB20" w:tentative="1">
      <w:start w:val="1"/>
      <w:numFmt w:val="bullet"/>
      <w:lvlText w:val="•"/>
      <w:lvlJc w:val="left"/>
      <w:pPr>
        <w:tabs>
          <w:tab w:val="num" w:pos="6480"/>
        </w:tabs>
        <w:ind w:left="6480" w:hanging="360"/>
      </w:pPr>
      <w:rPr>
        <w:rFonts w:ascii="Times New Roman" w:hAnsi="Times New Roman" w:hint="default"/>
      </w:rPr>
    </w:lvl>
  </w:abstractNum>
  <w:abstractNum w:abstractNumId="6">
    <w:nsid w:val="0E58712C"/>
    <w:multiLevelType w:val="hybridMultilevel"/>
    <w:tmpl w:val="2ECC9794"/>
    <w:lvl w:ilvl="0" w:tplc="A60CC34C">
      <w:start w:val="1"/>
      <w:numFmt w:val="bullet"/>
      <w:lvlText w:val="•"/>
      <w:lvlJc w:val="left"/>
      <w:pPr>
        <w:ind w:left="964" w:hanging="360"/>
      </w:pPr>
      <w:rPr>
        <w:rFonts w:ascii="Times New Roman" w:hAnsi="Times New Roman" w:hint="default"/>
      </w:rPr>
    </w:lvl>
    <w:lvl w:ilvl="1" w:tplc="04260003" w:tentative="1">
      <w:start w:val="1"/>
      <w:numFmt w:val="bullet"/>
      <w:lvlText w:val="o"/>
      <w:lvlJc w:val="left"/>
      <w:pPr>
        <w:ind w:left="1684" w:hanging="360"/>
      </w:pPr>
      <w:rPr>
        <w:rFonts w:ascii="Courier New" w:hAnsi="Courier New" w:cs="Courier New" w:hint="default"/>
      </w:rPr>
    </w:lvl>
    <w:lvl w:ilvl="2" w:tplc="04260005" w:tentative="1">
      <w:start w:val="1"/>
      <w:numFmt w:val="bullet"/>
      <w:lvlText w:val=""/>
      <w:lvlJc w:val="left"/>
      <w:pPr>
        <w:ind w:left="2404" w:hanging="360"/>
      </w:pPr>
      <w:rPr>
        <w:rFonts w:ascii="Wingdings" w:hAnsi="Wingdings" w:hint="default"/>
      </w:rPr>
    </w:lvl>
    <w:lvl w:ilvl="3" w:tplc="04260001" w:tentative="1">
      <w:start w:val="1"/>
      <w:numFmt w:val="bullet"/>
      <w:lvlText w:val=""/>
      <w:lvlJc w:val="left"/>
      <w:pPr>
        <w:ind w:left="3124" w:hanging="360"/>
      </w:pPr>
      <w:rPr>
        <w:rFonts w:ascii="Symbol" w:hAnsi="Symbol" w:hint="default"/>
      </w:rPr>
    </w:lvl>
    <w:lvl w:ilvl="4" w:tplc="04260003" w:tentative="1">
      <w:start w:val="1"/>
      <w:numFmt w:val="bullet"/>
      <w:lvlText w:val="o"/>
      <w:lvlJc w:val="left"/>
      <w:pPr>
        <w:ind w:left="3844" w:hanging="360"/>
      </w:pPr>
      <w:rPr>
        <w:rFonts w:ascii="Courier New" w:hAnsi="Courier New" w:cs="Courier New" w:hint="default"/>
      </w:rPr>
    </w:lvl>
    <w:lvl w:ilvl="5" w:tplc="04260005" w:tentative="1">
      <w:start w:val="1"/>
      <w:numFmt w:val="bullet"/>
      <w:lvlText w:val=""/>
      <w:lvlJc w:val="left"/>
      <w:pPr>
        <w:ind w:left="4564" w:hanging="360"/>
      </w:pPr>
      <w:rPr>
        <w:rFonts w:ascii="Wingdings" w:hAnsi="Wingdings" w:hint="default"/>
      </w:rPr>
    </w:lvl>
    <w:lvl w:ilvl="6" w:tplc="04260001" w:tentative="1">
      <w:start w:val="1"/>
      <w:numFmt w:val="bullet"/>
      <w:lvlText w:val=""/>
      <w:lvlJc w:val="left"/>
      <w:pPr>
        <w:ind w:left="5284" w:hanging="360"/>
      </w:pPr>
      <w:rPr>
        <w:rFonts w:ascii="Symbol" w:hAnsi="Symbol" w:hint="default"/>
      </w:rPr>
    </w:lvl>
    <w:lvl w:ilvl="7" w:tplc="04260003" w:tentative="1">
      <w:start w:val="1"/>
      <w:numFmt w:val="bullet"/>
      <w:lvlText w:val="o"/>
      <w:lvlJc w:val="left"/>
      <w:pPr>
        <w:ind w:left="6004" w:hanging="360"/>
      </w:pPr>
      <w:rPr>
        <w:rFonts w:ascii="Courier New" w:hAnsi="Courier New" w:cs="Courier New" w:hint="default"/>
      </w:rPr>
    </w:lvl>
    <w:lvl w:ilvl="8" w:tplc="04260005" w:tentative="1">
      <w:start w:val="1"/>
      <w:numFmt w:val="bullet"/>
      <w:lvlText w:val=""/>
      <w:lvlJc w:val="left"/>
      <w:pPr>
        <w:ind w:left="6724" w:hanging="360"/>
      </w:pPr>
      <w:rPr>
        <w:rFonts w:ascii="Wingdings" w:hAnsi="Wingdings" w:hint="default"/>
      </w:rPr>
    </w:lvl>
  </w:abstractNum>
  <w:abstractNum w:abstractNumId="7">
    <w:nsid w:val="10C03864"/>
    <w:multiLevelType w:val="hybridMultilevel"/>
    <w:tmpl w:val="31A01B22"/>
    <w:lvl w:ilvl="0" w:tplc="2B7A2BCA">
      <w:start w:val="1"/>
      <w:numFmt w:val="bullet"/>
      <w:lvlText w:val="•"/>
      <w:lvlJc w:val="left"/>
      <w:pPr>
        <w:tabs>
          <w:tab w:val="num" w:pos="720"/>
        </w:tabs>
        <w:ind w:left="720" w:hanging="360"/>
      </w:pPr>
      <w:rPr>
        <w:rFonts w:ascii="Times New Roman" w:hAnsi="Times New Roman" w:hint="default"/>
      </w:rPr>
    </w:lvl>
    <w:lvl w:ilvl="1" w:tplc="54409AD6" w:tentative="1">
      <w:start w:val="1"/>
      <w:numFmt w:val="bullet"/>
      <w:lvlText w:val="•"/>
      <w:lvlJc w:val="left"/>
      <w:pPr>
        <w:tabs>
          <w:tab w:val="num" w:pos="1440"/>
        </w:tabs>
        <w:ind w:left="1440" w:hanging="360"/>
      </w:pPr>
      <w:rPr>
        <w:rFonts w:ascii="Times New Roman" w:hAnsi="Times New Roman" w:hint="default"/>
      </w:rPr>
    </w:lvl>
    <w:lvl w:ilvl="2" w:tplc="9F84167E" w:tentative="1">
      <w:start w:val="1"/>
      <w:numFmt w:val="bullet"/>
      <w:lvlText w:val="•"/>
      <w:lvlJc w:val="left"/>
      <w:pPr>
        <w:tabs>
          <w:tab w:val="num" w:pos="2160"/>
        </w:tabs>
        <w:ind w:left="2160" w:hanging="360"/>
      </w:pPr>
      <w:rPr>
        <w:rFonts w:ascii="Times New Roman" w:hAnsi="Times New Roman" w:hint="default"/>
      </w:rPr>
    </w:lvl>
    <w:lvl w:ilvl="3" w:tplc="4C8E71C0" w:tentative="1">
      <w:start w:val="1"/>
      <w:numFmt w:val="bullet"/>
      <w:lvlText w:val="•"/>
      <w:lvlJc w:val="left"/>
      <w:pPr>
        <w:tabs>
          <w:tab w:val="num" w:pos="2880"/>
        </w:tabs>
        <w:ind w:left="2880" w:hanging="360"/>
      </w:pPr>
      <w:rPr>
        <w:rFonts w:ascii="Times New Roman" w:hAnsi="Times New Roman" w:hint="default"/>
      </w:rPr>
    </w:lvl>
    <w:lvl w:ilvl="4" w:tplc="69F09FBC" w:tentative="1">
      <w:start w:val="1"/>
      <w:numFmt w:val="bullet"/>
      <w:lvlText w:val="•"/>
      <w:lvlJc w:val="left"/>
      <w:pPr>
        <w:tabs>
          <w:tab w:val="num" w:pos="3600"/>
        </w:tabs>
        <w:ind w:left="3600" w:hanging="360"/>
      </w:pPr>
      <w:rPr>
        <w:rFonts w:ascii="Times New Roman" w:hAnsi="Times New Roman" w:hint="default"/>
      </w:rPr>
    </w:lvl>
    <w:lvl w:ilvl="5" w:tplc="9C723C0A" w:tentative="1">
      <w:start w:val="1"/>
      <w:numFmt w:val="bullet"/>
      <w:lvlText w:val="•"/>
      <w:lvlJc w:val="left"/>
      <w:pPr>
        <w:tabs>
          <w:tab w:val="num" w:pos="4320"/>
        </w:tabs>
        <w:ind w:left="4320" w:hanging="360"/>
      </w:pPr>
      <w:rPr>
        <w:rFonts w:ascii="Times New Roman" w:hAnsi="Times New Roman" w:hint="default"/>
      </w:rPr>
    </w:lvl>
    <w:lvl w:ilvl="6" w:tplc="B9B60956" w:tentative="1">
      <w:start w:val="1"/>
      <w:numFmt w:val="bullet"/>
      <w:lvlText w:val="•"/>
      <w:lvlJc w:val="left"/>
      <w:pPr>
        <w:tabs>
          <w:tab w:val="num" w:pos="5040"/>
        </w:tabs>
        <w:ind w:left="5040" w:hanging="360"/>
      </w:pPr>
      <w:rPr>
        <w:rFonts w:ascii="Times New Roman" w:hAnsi="Times New Roman" w:hint="default"/>
      </w:rPr>
    </w:lvl>
    <w:lvl w:ilvl="7" w:tplc="AAFC3946" w:tentative="1">
      <w:start w:val="1"/>
      <w:numFmt w:val="bullet"/>
      <w:lvlText w:val="•"/>
      <w:lvlJc w:val="left"/>
      <w:pPr>
        <w:tabs>
          <w:tab w:val="num" w:pos="5760"/>
        </w:tabs>
        <w:ind w:left="5760" w:hanging="360"/>
      </w:pPr>
      <w:rPr>
        <w:rFonts w:ascii="Times New Roman" w:hAnsi="Times New Roman" w:hint="default"/>
      </w:rPr>
    </w:lvl>
    <w:lvl w:ilvl="8" w:tplc="9A38FEC6" w:tentative="1">
      <w:start w:val="1"/>
      <w:numFmt w:val="bullet"/>
      <w:lvlText w:val="•"/>
      <w:lvlJc w:val="left"/>
      <w:pPr>
        <w:tabs>
          <w:tab w:val="num" w:pos="6480"/>
        </w:tabs>
        <w:ind w:left="6480" w:hanging="360"/>
      </w:pPr>
      <w:rPr>
        <w:rFonts w:ascii="Times New Roman" w:hAnsi="Times New Roman" w:hint="default"/>
      </w:rPr>
    </w:lvl>
  </w:abstractNum>
  <w:abstractNum w:abstractNumId="8">
    <w:nsid w:val="14233BAF"/>
    <w:multiLevelType w:val="hybridMultilevel"/>
    <w:tmpl w:val="3FEEFFB2"/>
    <w:lvl w:ilvl="0" w:tplc="A60CC34C">
      <w:start w:val="1"/>
      <w:numFmt w:val="bullet"/>
      <w:lvlText w:val="•"/>
      <w:lvlJc w:val="left"/>
      <w:pPr>
        <w:ind w:left="720" w:hanging="360"/>
      </w:pPr>
      <w:rPr>
        <w:rFonts w:ascii="Times New Roman" w:hAnsi="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nsid w:val="14E9752A"/>
    <w:multiLevelType w:val="hybridMultilevel"/>
    <w:tmpl w:val="8640E696"/>
    <w:lvl w:ilvl="0" w:tplc="A60CC34C">
      <w:start w:val="1"/>
      <w:numFmt w:val="bullet"/>
      <w:lvlText w:val="•"/>
      <w:lvlJc w:val="left"/>
      <w:pPr>
        <w:ind w:left="964" w:hanging="360"/>
      </w:pPr>
      <w:rPr>
        <w:rFonts w:ascii="Times New Roman" w:hAnsi="Times New Roman" w:hint="default"/>
      </w:rPr>
    </w:lvl>
    <w:lvl w:ilvl="1" w:tplc="04260003" w:tentative="1">
      <w:start w:val="1"/>
      <w:numFmt w:val="bullet"/>
      <w:lvlText w:val="o"/>
      <w:lvlJc w:val="left"/>
      <w:pPr>
        <w:ind w:left="1684" w:hanging="360"/>
      </w:pPr>
      <w:rPr>
        <w:rFonts w:ascii="Courier New" w:hAnsi="Courier New" w:cs="Courier New" w:hint="default"/>
      </w:rPr>
    </w:lvl>
    <w:lvl w:ilvl="2" w:tplc="04260005" w:tentative="1">
      <w:start w:val="1"/>
      <w:numFmt w:val="bullet"/>
      <w:lvlText w:val=""/>
      <w:lvlJc w:val="left"/>
      <w:pPr>
        <w:ind w:left="2404" w:hanging="360"/>
      </w:pPr>
      <w:rPr>
        <w:rFonts w:ascii="Wingdings" w:hAnsi="Wingdings" w:hint="default"/>
      </w:rPr>
    </w:lvl>
    <w:lvl w:ilvl="3" w:tplc="04260001" w:tentative="1">
      <w:start w:val="1"/>
      <w:numFmt w:val="bullet"/>
      <w:lvlText w:val=""/>
      <w:lvlJc w:val="left"/>
      <w:pPr>
        <w:ind w:left="3124" w:hanging="360"/>
      </w:pPr>
      <w:rPr>
        <w:rFonts w:ascii="Symbol" w:hAnsi="Symbol" w:hint="default"/>
      </w:rPr>
    </w:lvl>
    <w:lvl w:ilvl="4" w:tplc="04260003" w:tentative="1">
      <w:start w:val="1"/>
      <w:numFmt w:val="bullet"/>
      <w:lvlText w:val="o"/>
      <w:lvlJc w:val="left"/>
      <w:pPr>
        <w:ind w:left="3844" w:hanging="360"/>
      </w:pPr>
      <w:rPr>
        <w:rFonts w:ascii="Courier New" w:hAnsi="Courier New" w:cs="Courier New" w:hint="default"/>
      </w:rPr>
    </w:lvl>
    <w:lvl w:ilvl="5" w:tplc="04260005" w:tentative="1">
      <w:start w:val="1"/>
      <w:numFmt w:val="bullet"/>
      <w:lvlText w:val=""/>
      <w:lvlJc w:val="left"/>
      <w:pPr>
        <w:ind w:left="4564" w:hanging="360"/>
      </w:pPr>
      <w:rPr>
        <w:rFonts w:ascii="Wingdings" w:hAnsi="Wingdings" w:hint="default"/>
      </w:rPr>
    </w:lvl>
    <w:lvl w:ilvl="6" w:tplc="04260001" w:tentative="1">
      <w:start w:val="1"/>
      <w:numFmt w:val="bullet"/>
      <w:lvlText w:val=""/>
      <w:lvlJc w:val="left"/>
      <w:pPr>
        <w:ind w:left="5284" w:hanging="360"/>
      </w:pPr>
      <w:rPr>
        <w:rFonts w:ascii="Symbol" w:hAnsi="Symbol" w:hint="default"/>
      </w:rPr>
    </w:lvl>
    <w:lvl w:ilvl="7" w:tplc="04260003" w:tentative="1">
      <w:start w:val="1"/>
      <w:numFmt w:val="bullet"/>
      <w:lvlText w:val="o"/>
      <w:lvlJc w:val="left"/>
      <w:pPr>
        <w:ind w:left="6004" w:hanging="360"/>
      </w:pPr>
      <w:rPr>
        <w:rFonts w:ascii="Courier New" w:hAnsi="Courier New" w:cs="Courier New" w:hint="default"/>
      </w:rPr>
    </w:lvl>
    <w:lvl w:ilvl="8" w:tplc="04260005" w:tentative="1">
      <w:start w:val="1"/>
      <w:numFmt w:val="bullet"/>
      <w:lvlText w:val=""/>
      <w:lvlJc w:val="left"/>
      <w:pPr>
        <w:ind w:left="6724" w:hanging="360"/>
      </w:pPr>
      <w:rPr>
        <w:rFonts w:ascii="Wingdings" w:hAnsi="Wingdings" w:hint="default"/>
      </w:rPr>
    </w:lvl>
  </w:abstractNum>
  <w:abstractNum w:abstractNumId="10">
    <w:nsid w:val="15A22BD9"/>
    <w:multiLevelType w:val="hybridMultilevel"/>
    <w:tmpl w:val="B05406CE"/>
    <w:lvl w:ilvl="0" w:tplc="68C849A6">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168B1372"/>
    <w:multiLevelType w:val="hybridMultilevel"/>
    <w:tmpl w:val="3E16318C"/>
    <w:lvl w:ilvl="0" w:tplc="11182FB4">
      <w:start w:val="1"/>
      <w:numFmt w:val="bullet"/>
      <w:lvlText w:val="•"/>
      <w:lvlJc w:val="left"/>
      <w:pPr>
        <w:tabs>
          <w:tab w:val="num" w:pos="720"/>
        </w:tabs>
        <w:ind w:left="720" w:hanging="360"/>
      </w:pPr>
      <w:rPr>
        <w:rFonts w:ascii="Arial" w:hAnsi="Arial" w:hint="default"/>
      </w:rPr>
    </w:lvl>
    <w:lvl w:ilvl="1" w:tplc="54607CEA" w:tentative="1">
      <w:start w:val="1"/>
      <w:numFmt w:val="bullet"/>
      <w:lvlText w:val="•"/>
      <w:lvlJc w:val="left"/>
      <w:pPr>
        <w:tabs>
          <w:tab w:val="num" w:pos="1440"/>
        </w:tabs>
        <w:ind w:left="1440" w:hanging="360"/>
      </w:pPr>
      <w:rPr>
        <w:rFonts w:ascii="Arial" w:hAnsi="Arial" w:hint="default"/>
      </w:rPr>
    </w:lvl>
    <w:lvl w:ilvl="2" w:tplc="AB6E4652" w:tentative="1">
      <w:start w:val="1"/>
      <w:numFmt w:val="bullet"/>
      <w:lvlText w:val="•"/>
      <w:lvlJc w:val="left"/>
      <w:pPr>
        <w:tabs>
          <w:tab w:val="num" w:pos="2160"/>
        </w:tabs>
        <w:ind w:left="2160" w:hanging="360"/>
      </w:pPr>
      <w:rPr>
        <w:rFonts w:ascii="Arial" w:hAnsi="Arial" w:hint="default"/>
      </w:rPr>
    </w:lvl>
    <w:lvl w:ilvl="3" w:tplc="2EF25B06" w:tentative="1">
      <w:start w:val="1"/>
      <w:numFmt w:val="bullet"/>
      <w:lvlText w:val="•"/>
      <w:lvlJc w:val="left"/>
      <w:pPr>
        <w:tabs>
          <w:tab w:val="num" w:pos="2880"/>
        </w:tabs>
        <w:ind w:left="2880" w:hanging="360"/>
      </w:pPr>
      <w:rPr>
        <w:rFonts w:ascii="Arial" w:hAnsi="Arial" w:hint="default"/>
      </w:rPr>
    </w:lvl>
    <w:lvl w:ilvl="4" w:tplc="8DA6BC66" w:tentative="1">
      <w:start w:val="1"/>
      <w:numFmt w:val="bullet"/>
      <w:lvlText w:val="•"/>
      <w:lvlJc w:val="left"/>
      <w:pPr>
        <w:tabs>
          <w:tab w:val="num" w:pos="3600"/>
        </w:tabs>
        <w:ind w:left="3600" w:hanging="360"/>
      </w:pPr>
      <w:rPr>
        <w:rFonts w:ascii="Arial" w:hAnsi="Arial" w:hint="default"/>
      </w:rPr>
    </w:lvl>
    <w:lvl w:ilvl="5" w:tplc="10828678" w:tentative="1">
      <w:start w:val="1"/>
      <w:numFmt w:val="bullet"/>
      <w:lvlText w:val="•"/>
      <w:lvlJc w:val="left"/>
      <w:pPr>
        <w:tabs>
          <w:tab w:val="num" w:pos="4320"/>
        </w:tabs>
        <w:ind w:left="4320" w:hanging="360"/>
      </w:pPr>
      <w:rPr>
        <w:rFonts w:ascii="Arial" w:hAnsi="Arial" w:hint="default"/>
      </w:rPr>
    </w:lvl>
    <w:lvl w:ilvl="6" w:tplc="463E2654" w:tentative="1">
      <w:start w:val="1"/>
      <w:numFmt w:val="bullet"/>
      <w:lvlText w:val="•"/>
      <w:lvlJc w:val="left"/>
      <w:pPr>
        <w:tabs>
          <w:tab w:val="num" w:pos="5040"/>
        </w:tabs>
        <w:ind w:left="5040" w:hanging="360"/>
      </w:pPr>
      <w:rPr>
        <w:rFonts w:ascii="Arial" w:hAnsi="Arial" w:hint="default"/>
      </w:rPr>
    </w:lvl>
    <w:lvl w:ilvl="7" w:tplc="A998A004" w:tentative="1">
      <w:start w:val="1"/>
      <w:numFmt w:val="bullet"/>
      <w:lvlText w:val="•"/>
      <w:lvlJc w:val="left"/>
      <w:pPr>
        <w:tabs>
          <w:tab w:val="num" w:pos="5760"/>
        </w:tabs>
        <w:ind w:left="5760" w:hanging="360"/>
      </w:pPr>
      <w:rPr>
        <w:rFonts w:ascii="Arial" w:hAnsi="Arial" w:hint="default"/>
      </w:rPr>
    </w:lvl>
    <w:lvl w:ilvl="8" w:tplc="62024182" w:tentative="1">
      <w:start w:val="1"/>
      <w:numFmt w:val="bullet"/>
      <w:lvlText w:val="•"/>
      <w:lvlJc w:val="left"/>
      <w:pPr>
        <w:tabs>
          <w:tab w:val="num" w:pos="6480"/>
        </w:tabs>
        <w:ind w:left="6480" w:hanging="360"/>
      </w:pPr>
      <w:rPr>
        <w:rFonts w:ascii="Arial" w:hAnsi="Arial" w:hint="default"/>
      </w:rPr>
    </w:lvl>
  </w:abstractNum>
  <w:abstractNum w:abstractNumId="12">
    <w:nsid w:val="17BA73AD"/>
    <w:multiLevelType w:val="hybridMultilevel"/>
    <w:tmpl w:val="A2CE65EA"/>
    <w:lvl w:ilvl="0" w:tplc="A60CC34C">
      <w:start w:val="1"/>
      <w:numFmt w:val="bullet"/>
      <w:lvlText w:val="•"/>
      <w:lvlJc w:val="left"/>
      <w:pPr>
        <w:ind w:left="822" w:hanging="360"/>
      </w:pPr>
      <w:rPr>
        <w:rFonts w:ascii="Times New Roman" w:hAnsi="Times New Roman" w:hint="default"/>
      </w:rPr>
    </w:lvl>
    <w:lvl w:ilvl="1" w:tplc="04260003" w:tentative="1">
      <w:start w:val="1"/>
      <w:numFmt w:val="bullet"/>
      <w:lvlText w:val="o"/>
      <w:lvlJc w:val="left"/>
      <w:pPr>
        <w:ind w:left="1542" w:hanging="360"/>
      </w:pPr>
      <w:rPr>
        <w:rFonts w:ascii="Courier New" w:hAnsi="Courier New" w:cs="Courier New" w:hint="default"/>
      </w:rPr>
    </w:lvl>
    <w:lvl w:ilvl="2" w:tplc="04260005" w:tentative="1">
      <w:start w:val="1"/>
      <w:numFmt w:val="bullet"/>
      <w:lvlText w:val=""/>
      <w:lvlJc w:val="left"/>
      <w:pPr>
        <w:ind w:left="2262" w:hanging="360"/>
      </w:pPr>
      <w:rPr>
        <w:rFonts w:ascii="Wingdings" w:hAnsi="Wingdings" w:hint="default"/>
      </w:rPr>
    </w:lvl>
    <w:lvl w:ilvl="3" w:tplc="04260001" w:tentative="1">
      <w:start w:val="1"/>
      <w:numFmt w:val="bullet"/>
      <w:lvlText w:val=""/>
      <w:lvlJc w:val="left"/>
      <w:pPr>
        <w:ind w:left="2982" w:hanging="360"/>
      </w:pPr>
      <w:rPr>
        <w:rFonts w:ascii="Symbol" w:hAnsi="Symbol" w:hint="default"/>
      </w:rPr>
    </w:lvl>
    <w:lvl w:ilvl="4" w:tplc="04260003" w:tentative="1">
      <w:start w:val="1"/>
      <w:numFmt w:val="bullet"/>
      <w:lvlText w:val="o"/>
      <w:lvlJc w:val="left"/>
      <w:pPr>
        <w:ind w:left="3702" w:hanging="360"/>
      </w:pPr>
      <w:rPr>
        <w:rFonts w:ascii="Courier New" w:hAnsi="Courier New" w:cs="Courier New" w:hint="default"/>
      </w:rPr>
    </w:lvl>
    <w:lvl w:ilvl="5" w:tplc="04260005" w:tentative="1">
      <w:start w:val="1"/>
      <w:numFmt w:val="bullet"/>
      <w:lvlText w:val=""/>
      <w:lvlJc w:val="left"/>
      <w:pPr>
        <w:ind w:left="4422" w:hanging="360"/>
      </w:pPr>
      <w:rPr>
        <w:rFonts w:ascii="Wingdings" w:hAnsi="Wingdings" w:hint="default"/>
      </w:rPr>
    </w:lvl>
    <w:lvl w:ilvl="6" w:tplc="04260001" w:tentative="1">
      <w:start w:val="1"/>
      <w:numFmt w:val="bullet"/>
      <w:lvlText w:val=""/>
      <w:lvlJc w:val="left"/>
      <w:pPr>
        <w:ind w:left="5142" w:hanging="360"/>
      </w:pPr>
      <w:rPr>
        <w:rFonts w:ascii="Symbol" w:hAnsi="Symbol" w:hint="default"/>
      </w:rPr>
    </w:lvl>
    <w:lvl w:ilvl="7" w:tplc="04260003" w:tentative="1">
      <w:start w:val="1"/>
      <w:numFmt w:val="bullet"/>
      <w:lvlText w:val="o"/>
      <w:lvlJc w:val="left"/>
      <w:pPr>
        <w:ind w:left="5862" w:hanging="360"/>
      </w:pPr>
      <w:rPr>
        <w:rFonts w:ascii="Courier New" w:hAnsi="Courier New" w:cs="Courier New" w:hint="default"/>
      </w:rPr>
    </w:lvl>
    <w:lvl w:ilvl="8" w:tplc="04260005" w:tentative="1">
      <w:start w:val="1"/>
      <w:numFmt w:val="bullet"/>
      <w:lvlText w:val=""/>
      <w:lvlJc w:val="left"/>
      <w:pPr>
        <w:ind w:left="6582" w:hanging="360"/>
      </w:pPr>
      <w:rPr>
        <w:rFonts w:ascii="Wingdings" w:hAnsi="Wingdings" w:hint="default"/>
      </w:rPr>
    </w:lvl>
  </w:abstractNum>
  <w:abstractNum w:abstractNumId="13">
    <w:nsid w:val="17CA4C2E"/>
    <w:multiLevelType w:val="hybridMultilevel"/>
    <w:tmpl w:val="8074788A"/>
    <w:lvl w:ilvl="0" w:tplc="CB449FE8">
      <w:start w:val="1"/>
      <w:numFmt w:val="bullet"/>
      <w:lvlText w:val="•"/>
      <w:lvlJc w:val="left"/>
      <w:pPr>
        <w:tabs>
          <w:tab w:val="num" w:pos="720"/>
        </w:tabs>
        <w:ind w:left="720" w:hanging="360"/>
      </w:pPr>
      <w:rPr>
        <w:rFonts w:ascii="Arial" w:hAnsi="Arial" w:hint="default"/>
      </w:rPr>
    </w:lvl>
    <w:lvl w:ilvl="1" w:tplc="193EE948" w:tentative="1">
      <w:start w:val="1"/>
      <w:numFmt w:val="bullet"/>
      <w:lvlText w:val="•"/>
      <w:lvlJc w:val="left"/>
      <w:pPr>
        <w:tabs>
          <w:tab w:val="num" w:pos="1440"/>
        </w:tabs>
        <w:ind w:left="1440" w:hanging="360"/>
      </w:pPr>
      <w:rPr>
        <w:rFonts w:ascii="Arial" w:hAnsi="Arial" w:hint="default"/>
      </w:rPr>
    </w:lvl>
    <w:lvl w:ilvl="2" w:tplc="29D2BD6C" w:tentative="1">
      <w:start w:val="1"/>
      <w:numFmt w:val="bullet"/>
      <w:lvlText w:val="•"/>
      <w:lvlJc w:val="left"/>
      <w:pPr>
        <w:tabs>
          <w:tab w:val="num" w:pos="2160"/>
        </w:tabs>
        <w:ind w:left="2160" w:hanging="360"/>
      </w:pPr>
      <w:rPr>
        <w:rFonts w:ascii="Arial" w:hAnsi="Arial" w:hint="default"/>
      </w:rPr>
    </w:lvl>
    <w:lvl w:ilvl="3" w:tplc="5972CC1E" w:tentative="1">
      <w:start w:val="1"/>
      <w:numFmt w:val="bullet"/>
      <w:lvlText w:val="•"/>
      <w:lvlJc w:val="left"/>
      <w:pPr>
        <w:tabs>
          <w:tab w:val="num" w:pos="2880"/>
        </w:tabs>
        <w:ind w:left="2880" w:hanging="360"/>
      </w:pPr>
      <w:rPr>
        <w:rFonts w:ascii="Arial" w:hAnsi="Arial" w:hint="default"/>
      </w:rPr>
    </w:lvl>
    <w:lvl w:ilvl="4" w:tplc="20A23352" w:tentative="1">
      <w:start w:val="1"/>
      <w:numFmt w:val="bullet"/>
      <w:lvlText w:val="•"/>
      <w:lvlJc w:val="left"/>
      <w:pPr>
        <w:tabs>
          <w:tab w:val="num" w:pos="3600"/>
        </w:tabs>
        <w:ind w:left="3600" w:hanging="360"/>
      </w:pPr>
      <w:rPr>
        <w:rFonts w:ascii="Arial" w:hAnsi="Arial" w:hint="default"/>
      </w:rPr>
    </w:lvl>
    <w:lvl w:ilvl="5" w:tplc="4D0AD5DE" w:tentative="1">
      <w:start w:val="1"/>
      <w:numFmt w:val="bullet"/>
      <w:lvlText w:val="•"/>
      <w:lvlJc w:val="left"/>
      <w:pPr>
        <w:tabs>
          <w:tab w:val="num" w:pos="4320"/>
        </w:tabs>
        <w:ind w:left="4320" w:hanging="360"/>
      </w:pPr>
      <w:rPr>
        <w:rFonts w:ascii="Arial" w:hAnsi="Arial" w:hint="default"/>
      </w:rPr>
    </w:lvl>
    <w:lvl w:ilvl="6" w:tplc="59FC9C52" w:tentative="1">
      <w:start w:val="1"/>
      <w:numFmt w:val="bullet"/>
      <w:lvlText w:val="•"/>
      <w:lvlJc w:val="left"/>
      <w:pPr>
        <w:tabs>
          <w:tab w:val="num" w:pos="5040"/>
        </w:tabs>
        <w:ind w:left="5040" w:hanging="360"/>
      </w:pPr>
      <w:rPr>
        <w:rFonts w:ascii="Arial" w:hAnsi="Arial" w:hint="default"/>
      </w:rPr>
    </w:lvl>
    <w:lvl w:ilvl="7" w:tplc="A742378C" w:tentative="1">
      <w:start w:val="1"/>
      <w:numFmt w:val="bullet"/>
      <w:lvlText w:val="•"/>
      <w:lvlJc w:val="left"/>
      <w:pPr>
        <w:tabs>
          <w:tab w:val="num" w:pos="5760"/>
        </w:tabs>
        <w:ind w:left="5760" w:hanging="360"/>
      </w:pPr>
      <w:rPr>
        <w:rFonts w:ascii="Arial" w:hAnsi="Arial" w:hint="default"/>
      </w:rPr>
    </w:lvl>
    <w:lvl w:ilvl="8" w:tplc="766ED56C" w:tentative="1">
      <w:start w:val="1"/>
      <w:numFmt w:val="bullet"/>
      <w:lvlText w:val="•"/>
      <w:lvlJc w:val="left"/>
      <w:pPr>
        <w:tabs>
          <w:tab w:val="num" w:pos="6480"/>
        </w:tabs>
        <w:ind w:left="6480" w:hanging="360"/>
      </w:pPr>
      <w:rPr>
        <w:rFonts w:ascii="Arial" w:hAnsi="Arial" w:hint="default"/>
      </w:rPr>
    </w:lvl>
  </w:abstractNum>
  <w:abstractNum w:abstractNumId="14">
    <w:nsid w:val="18FA760D"/>
    <w:multiLevelType w:val="hybridMultilevel"/>
    <w:tmpl w:val="48901DA4"/>
    <w:lvl w:ilvl="0" w:tplc="7A660D8C">
      <w:start w:val="1"/>
      <w:numFmt w:val="bullet"/>
      <w:lvlText w:val="•"/>
      <w:lvlJc w:val="left"/>
      <w:pPr>
        <w:tabs>
          <w:tab w:val="num" w:pos="720"/>
        </w:tabs>
        <w:ind w:left="720" w:hanging="360"/>
      </w:pPr>
      <w:rPr>
        <w:rFonts w:ascii="Times New Roman" w:hAnsi="Times New Roman" w:hint="default"/>
      </w:rPr>
    </w:lvl>
    <w:lvl w:ilvl="1" w:tplc="3078E196" w:tentative="1">
      <w:start w:val="1"/>
      <w:numFmt w:val="bullet"/>
      <w:lvlText w:val="•"/>
      <w:lvlJc w:val="left"/>
      <w:pPr>
        <w:tabs>
          <w:tab w:val="num" w:pos="1440"/>
        </w:tabs>
        <w:ind w:left="1440" w:hanging="360"/>
      </w:pPr>
      <w:rPr>
        <w:rFonts w:ascii="Times New Roman" w:hAnsi="Times New Roman" w:hint="default"/>
      </w:rPr>
    </w:lvl>
    <w:lvl w:ilvl="2" w:tplc="DC460D7E" w:tentative="1">
      <w:start w:val="1"/>
      <w:numFmt w:val="bullet"/>
      <w:lvlText w:val="•"/>
      <w:lvlJc w:val="left"/>
      <w:pPr>
        <w:tabs>
          <w:tab w:val="num" w:pos="2160"/>
        </w:tabs>
        <w:ind w:left="2160" w:hanging="360"/>
      </w:pPr>
      <w:rPr>
        <w:rFonts w:ascii="Times New Roman" w:hAnsi="Times New Roman" w:hint="default"/>
      </w:rPr>
    </w:lvl>
    <w:lvl w:ilvl="3" w:tplc="D7B6E9B4" w:tentative="1">
      <w:start w:val="1"/>
      <w:numFmt w:val="bullet"/>
      <w:lvlText w:val="•"/>
      <w:lvlJc w:val="left"/>
      <w:pPr>
        <w:tabs>
          <w:tab w:val="num" w:pos="2880"/>
        </w:tabs>
        <w:ind w:left="2880" w:hanging="360"/>
      </w:pPr>
      <w:rPr>
        <w:rFonts w:ascii="Times New Roman" w:hAnsi="Times New Roman" w:hint="default"/>
      </w:rPr>
    </w:lvl>
    <w:lvl w:ilvl="4" w:tplc="2214D70E" w:tentative="1">
      <w:start w:val="1"/>
      <w:numFmt w:val="bullet"/>
      <w:lvlText w:val="•"/>
      <w:lvlJc w:val="left"/>
      <w:pPr>
        <w:tabs>
          <w:tab w:val="num" w:pos="3600"/>
        </w:tabs>
        <w:ind w:left="3600" w:hanging="360"/>
      </w:pPr>
      <w:rPr>
        <w:rFonts w:ascii="Times New Roman" w:hAnsi="Times New Roman" w:hint="default"/>
      </w:rPr>
    </w:lvl>
    <w:lvl w:ilvl="5" w:tplc="C1B60574" w:tentative="1">
      <w:start w:val="1"/>
      <w:numFmt w:val="bullet"/>
      <w:lvlText w:val="•"/>
      <w:lvlJc w:val="left"/>
      <w:pPr>
        <w:tabs>
          <w:tab w:val="num" w:pos="4320"/>
        </w:tabs>
        <w:ind w:left="4320" w:hanging="360"/>
      </w:pPr>
      <w:rPr>
        <w:rFonts w:ascii="Times New Roman" w:hAnsi="Times New Roman" w:hint="default"/>
      </w:rPr>
    </w:lvl>
    <w:lvl w:ilvl="6" w:tplc="B4466328" w:tentative="1">
      <w:start w:val="1"/>
      <w:numFmt w:val="bullet"/>
      <w:lvlText w:val="•"/>
      <w:lvlJc w:val="left"/>
      <w:pPr>
        <w:tabs>
          <w:tab w:val="num" w:pos="5040"/>
        </w:tabs>
        <w:ind w:left="5040" w:hanging="360"/>
      </w:pPr>
      <w:rPr>
        <w:rFonts w:ascii="Times New Roman" w:hAnsi="Times New Roman" w:hint="default"/>
      </w:rPr>
    </w:lvl>
    <w:lvl w:ilvl="7" w:tplc="7E4CA93C" w:tentative="1">
      <w:start w:val="1"/>
      <w:numFmt w:val="bullet"/>
      <w:lvlText w:val="•"/>
      <w:lvlJc w:val="left"/>
      <w:pPr>
        <w:tabs>
          <w:tab w:val="num" w:pos="5760"/>
        </w:tabs>
        <w:ind w:left="5760" w:hanging="360"/>
      </w:pPr>
      <w:rPr>
        <w:rFonts w:ascii="Times New Roman" w:hAnsi="Times New Roman" w:hint="default"/>
      </w:rPr>
    </w:lvl>
    <w:lvl w:ilvl="8" w:tplc="F522DB26" w:tentative="1">
      <w:start w:val="1"/>
      <w:numFmt w:val="bullet"/>
      <w:lvlText w:val="•"/>
      <w:lvlJc w:val="left"/>
      <w:pPr>
        <w:tabs>
          <w:tab w:val="num" w:pos="6480"/>
        </w:tabs>
        <w:ind w:left="6480" w:hanging="360"/>
      </w:pPr>
      <w:rPr>
        <w:rFonts w:ascii="Times New Roman" w:hAnsi="Times New Roman" w:hint="default"/>
      </w:rPr>
    </w:lvl>
  </w:abstractNum>
  <w:abstractNum w:abstractNumId="15">
    <w:nsid w:val="25AB3E26"/>
    <w:multiLevelType w:val="hybridMultilevel"/>
    <w:tmpl w:val="2C68EC38"/>
    <w:lvl w:ilvl="0" w:tplc="A60CC34C">
      <w:start w:val="1"/>
      <w:numFmt w:val="bullet"/>
      <w:lvlText w:val="•"/>
      <w:lvlJc w:val="left"/>
      <w:pPr>
        <w:ind w:left="964" w:hanging="360"/>
      </w:pPr>
      <w:rPr>
        <w:rFonts w:ascii="Times New Roman" w:hAnsi="Times New Roman" w:hint="default"/>
      </w:rPr>
    </w:lvl>
    <w:lvl w:ilvl="1" w:tplc="04260003" w:tentative="1">
      <w:start w:val="1"/>
      <w:numFmt w:val="bullet"/>
      <w:lvlText w:val="o"/>
      <w:lvlJc w:val="left"/>
      <w:pPr>
        <w:ind w:left="1684" w:hanging="360"/>
      </w:pPr>
      <w:rPr>
        <w:rFonts w:ascii="Courier New" w:hAnsi="Courier New" w:cs="Courier New" w:hint="default"/>
      </w:rPr>
    </w:lvl>
    <w:lvl w:ilvl="2" w:tplc="04260005" w:tentative="1">
      <w:start w:val="1"/>
      <w:numFmt w:val="bullet"/>
      <w:lvlText w:val=""/>
      <w:lvlJc w:val="left"/>
      <w:pPr>
        <w:ind w:left="2404" w:hanging="360"/>
      </w:pPr>
      <w:rPr>
        <w:rFonts w:ascii="Wingdings" w:hAnsi="Wingdings" w:hint="default"/>
      </w:rPr>
    </w:lvl>
    <w:lvl w:ilvl="3" w:tplc="04260001" w:tentative="1">
      <w:start w:val="1"/>
      <w:numFmt w:val="bullet"/>
      <w:lvlText w:val=""/>
      <w:lvlJc w:val="left"/>
      <w:pPr>
        <w:ind w:left="3124" w:hanging="360"/>
      </w:pPr>
      <w:rPr>
        <w:rFonts w:ascii="Symbol" w:hAnsi="Symbol" w:hint="default"/>
      </w:rPr>
    </w:lvl>
    <w:lvl w:ilvl="4" w:tplc="04260003" w:tentative="1">
      <w:start w:val="1"/>
      <w:numFmt w:val="bullet"/>
      <w:lvlText w:val="o"/>
      <w:lvlJc w:val="left"/>
      <w:pPr>
        <w:ind w:left="3844" w:hanging="360"/>
      </w:pPr>
      <w:rPr>
        <w:rFonts w:ascii="Courier New" w:hAnsi="Courier New" w:cs="Courier New" w:hint="default"/>
      </w:rPr>
    </w:lvl>
    <w:lvl w:ilvl="5" w:tplc="04260005" w:tentative="1">
      <w:start w:val="1"/>
      <w:numFmt w:val="bullet"/>
      <w:lvlText w:val=""/>
      <w:lvlJc w:val="left"/>
      <w:pPr>
        <w:ind w:left="4564" w:hanging="360"/>
      </w:pPr>
      <w:rPr>
        <w:rFonts w:ascii="Wingdings" w:hAnsi="Wingdings" w:hint="default"/>
      </w:rPr>
    </w:lvl>
    <w:lvl w:ilvl="6" w:tplc="04260001" w:tentative="1">
      <w:start w:val="1"/>
      <w:numFmt w:val="bullet"/>
      <w:lvlText w:val=""/>
      <w:lvlJc w:val="left"/>
      <w:pPr>
        <w:ind w:left="5284" w:hanging="360"/>
      </w:pPr>
      <w:rPr>
        <w:rFonts w:ascii="Symbol" w:hAnsi="Symbol" w:hint="default"/>
      </w:rPr>
    </w:lvl>
    <w:lvl w:ilvl="7" w:tplc="04260003" w:tentative="1">
      <w:start w:val="1"/>
      <w:numFmt w:val="bullet"/>
      <w:lvlText w:val="o"/>
      <w:lvlJc w:val="left"/>
      <w:pPr>
        <w:ind w:left="6004" w:hanging="360"/>
      </w:pPr>
      <w:rPr>
        <w:rFonts w:ascii="Courier New" w:hAnsi="Courier New" w:cs="Courier New" w:hint="default"/>
      </w:rPr>
    </w:lvl>
    <w:lvl w:ilvl="8" w:tplc="04260005" w:tentative="1">
      <w:start w:val="1"/>
      <w:numFmt w:val="bullet"/>
      <w:lvlText w:val=""/>
      <w:lvlJc w:val="left"/>
      <w:pPr>
        <w:ind w:left="6724" w:hanging="360"/>
      </w:pPr>
      <w:rPr>
        <w:rFonts w:ascii="Wingdings" w:hAnsi="Wingdings" w:hint="default"/>
      </w:rPr>
    </w:lvl>
  </w:abstractNum>
  <w:abstractNum w:abstractNumId="16">
    <w:nsid w:val="27F64E77"/>
    <w:multiLevelType w:val="hybridMultilevel"/>
    <w:tmpl w:val="4528A13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nsid w:val="317B6A6B"/>
    <w:multiLevelType w:val="hybridMultilevel"/>
    <w:tmpl w:val="9DCAF5F0"/>
    <w:lvl w:ilvl="0" w:tplc="B24A693E">
      <w:start w:val="1"/>
      <w:numFmt w:val="bullet"/>
      <w:lvlText w:val="•"/>
      <w:lvlJc w:val="left"/>
      <w:pPr>
        <w:tabs>
          <w:tab w:val="num" w:pos="720"/>
        </w:tabs>
        <w:ind w:left="720" w:hanging="360"/>
      </w:pPr>
      <w:rPr>
        <w:rFonts w:ascii="Times New Roman" w:hAnsi="Times New Roman" w:hint="default"/>
      </w:rPr>
    </w:lvl>
    <w:lvl w:ilvl="1" w:tplc="F2625278" w:tentative="1">
      <w:start w:val="1"/>
      <w:numFmt w:val="bullet"/>
      <w:lvlText w:val="•"/>
      <w:lvlJc w:val="left"/>
      <w:pPr>
        <w:tabs>
          <w:tab w:val="num" w:pos="1440"/>
        </w:tabs>
        <w:ind w:left="1440" w:hanging="360"/>
      </w:pPr>
      <w:rPr>
        <w:rFonts w:ascii="Times New Roman" w:hAnsi="Times New Roman" w:hint="default"/>
      </w:rPr>
    </w:lvl>
    <w:lvl w:ilvl="2" w:tplc="40240A44" w:tentative="1">
      <w:start w:val="1"/>
      <w:numFmt w:val="bullet"/>
      <w:lvlText w:val="•"/>
      <w:lvlJc w:val="left"/>
      <w:pPr>
        <w:tabs>
          <w:tab w:val="num" w:pos="2160"/>
        </w:tabs>
        <w:ind w:left="2160" w:hanging="360"/>
      </w:pPr>
      <w:rPr>
        <w:rFonts w:ascii="Times New Roman" w:hAnsi="Times New Roman" w:hint="default"/>
      </w:rPr>
    </w:lvl>
    <w:lvl w:ilvl="3" w:tplc="4AAC261C" w:tentative="1">
      <w:start w:val="1"/>
      <w:numFmt w:val="bullet"/>
      <w:lvlText w:val="•"/>
      <w:lvlJc w:val="left"/>
      <w:pPr>
        <w:tabs>
          <w:tab w:val="num" w:pos="2880"/>
        </w:tabs>
        <w:ind w:left="2880" w:hanging="360"/>
      </w:pPr>
      <w:rPr>
        <w:rFonts w:ascii="Times New Roman" w:hAnsi="Times New Roman" w:hint="default"/>
      </w:rPr>
    </w:lvl>
    <w:lvl w:ilvl="4" w:tplc="672A44A6" w:tentative="1">
      <w:start w:val="1"/>
      <w:numFmt w:val="bullet"/>
      <w:lvlText w:val="•"/>
      <w:lvlJc w:val="left"/>
      <w:pPr>
        <w:tabs>
          <w:tab w:val="num" w:pos="3600"/>
        </w:tabs>
        <w:ind w:left="3600" w:hanging="360"/>
      </w:pPr>
      <w:rPr>
        <w:rFonts w:ascii="Times New Roman" w:hAnsi="Times New Roman" w:hint="default"/>
      </w:rPr>
    </w:lvl>
    <w:lvl w:ilvl="5" w:tplc="F84863A6" w:tentative="1">
      <w:start w:val="1"/>
      <w:numFmt w:val="bullet"/>
      <w:lvlText w:val="•"/>
      <w:lvlJc w:val="left"/>
      <w:pPr>
        <w:tabs>
          <w:tab w:val="num" w:pos="4320"/>
        </w:tabs>
        <w:ind w:left="4320" w:hanging="360"/>
      </w:pPr>
      <w:rPr>
        <w:rFonts w:ascii="Times New Roman" w:hAnsi="Times New Roman" w:hint="default"/>
      </w:rPr>
    </w:lvl>
    <w:lvl w:ilvl="6" w:tplc="50541FFC" w:tentative="1">
      <w:start w:val="1"/>
      <w:numFmt w:val="bullet"/>
      <w:lvlText w:val="•"/>
      <w:lvlJc w:val="left"/>
      <w:pPr>
        <w:tabs>
          <w:tab w:val="num" w:pos="5040"/>
        </w:tabs>
        <w:ind w:left="5040" w:hanging="360"/>
      </w:pPr>
      <w:rPr>
        <w:rFonts w:ascii="Times New Roman" w:hAnsi="Times New Roman" w:hint="default"/>
      </w:rPr>
    </w:lvl>
    <w:lvl w:ilvl="7" w:tplc="73FE6C22" w:tentative="1">
      <w:start w:val="1"/>
      <w:numFmt w:val="bullet"/>
      <w:lvlText w:val="•"/>
      <w:lvlJc w:val="left"/>
      <w:pPr>
        <w:tabs>
          <w:tab w:val="num" w:pos="5760"/>
        </w:tabs>
        <w:ind w:left="5760" w:hanging="360"/>
      </w:pPr>
      <w:rPr>
        <w:rFonts w:ascii="Times New Roman" w:hAnsi="Times New Roman" w:hint="default"/>
      </w:rPr>
    </w:lvl>
    <w:lvl w:ilvl="8" w:tplc="C650979C" w:tentative="1">
      <w:start w:val="1"/>
      <w:numFmt w:val="bullet"/>
      <w:lvlText w:val="•"/>
      <w:lvlJc w:val="left"/>
      <w:pPr>
        <w:tabs>
          <w:tab w:val="num" w:pos="6480"/>
        </w:tabs>
        <w:ind w:left="6480" w:hanging="360"/>
      </w:pPr>
      <w:rPr>
        <w:rFonts w:ascii="Times New Roman" w:hAnsi="Times New Roman" w:hint="default"/>
      </w:rPr>
    </w:lvl>
  </w:abstractNum>
  <w:abstractNum w:abstractNumId="18">
    <w:nsid w:val="340D192D"/>
    <w:multiLevelType w:val="multilevel"/>
    <w:tmpl w:val="19507902"/>
    <w:lvl w:ilvl="0">
      <w:start w:val="2"/>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361A4AF5"/>
    <w:multiLevelType w:val="hybridMultilevel"/>
    <w:tmpl w:val="0356372A"/>
    <w:lvl w:ilvl="0" w:tplc="7F02D69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nsid w:val="38637325"/>
    <w:multiLevelType w:val="hybridMultilevel"/>
    <w:tmpl w:val="46769C82"/>
    <w:lvl w:ilvl="0" w:tplc="68C849A6">
      <w:numFmt w:val="bullet"/>
      <w:lvlText w:val="•"/>
      <w:lvlJc w:val="left"/>
      <w:pPr>
        <w:ind w:left="720" w:hanging="360"/>
      </w:pPr>
      <w:rPr>
        <w:rFonts w:ascii="Calibri" w:eastAsiaTheme="minorHAnsi" w:hAnsi="Calibri"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nsid w:val="39E96539"/>
    <w:multiLevelType w:val="hybridMultilevel"/>
    <w:tmpl w:val="2AB48F14"/>
    <w:lvl w:ilvl="0" w:tplc="5FDAC5C0">
      <w:start w:val="1"/>
      <w:numFmt w:val="bullet"/>
      <w:lvlText w:val="•"/>
      <w:lvlJc w:val="left"/>
      <w:pPr>
        <w:tabs>
          <w:tab w:val="num" w:pos="720"/>
        </w:tabs>
        <w:ind w:left="720" w:hanging="360"/>
      </w:pPr>
      <w:rPr>
        <w:rFonts w:ascii="Times New Roman" w:hAnsi="Times New Roman" w:hint="default"/>
      </w:rPr>
    </w:lvl>
    <w:lvl w:ilvl="1" w:tplc="EECCA54E" w:tentative="1">
      <w:start w:val="1"/>
      <w:numFmt w:val="bullet"/>
      <w:lvlText w:val="•"/>
      <w:lvlJc w:val="left"/>
      <w:pPr>
        <w:tabs>
          <w:tab w:val="num" w:pos="1440"/>
        </w:tabs>
        <w:ind w:left="1440" w:hanging="360"/>
      </w:pPr>
      <w:rPr>
        <w:rFonts w:ascii="Times New Roman" w:hAnsi="Times New Roman" w:hint="default"/>
      </w:rPr>
    </w:lvl>
    <w:lvl w:ilvl="2" w:tplc="2D02EB78" w:tentative="1">
      <w:start w:val="1"/>
      <w:numFmt w:val="bullet"/>
      <w:lvlText w:val="•"/>
      <w:lvlJc w:val="left"/>
      <w:pPr>
        <w:tabs>
          <w:tab w:val="num" w:pos="2160"/>
        </w:tabs>
        <w:ind w:left="2160" w:hanging="360"/>
      </w:pPr>
      <w:rPr>
        <w:rFonts w:ascii="Times New Roman" w:hAnsi="Times New Roman" w:hint="default"/>
      </w:rPr>
    </w:lvl>
    <w:lvl w:ilvl="3" w:tplc="11E83202" w:tentative="1">
      <w:start w:val="1"/>
      <w:numFmt w:val="bullet"/>
      <w:lvlText w:val="•"/>
      <w:lvlJc w:val="left"/>
      <w:pPr>
        <w:tabs>
          <w:tab w:val="num" w:pos="2880"/>
        </w:tabs>
        <w:ind w:left="2880" w:hanging="360"/>
      </w:pPr>
      <w:rPr>
        <w:rFonts w:ascii="Times New Roman" w:hAnsi="Times New Roman" w:hint="default"/>
      </w:rPr>
    </w:lvl>
    <w:lvl w:ilvl="4" w:tplc="04187FE4" w:tentative="1">
      <w:start w:val="1"/>
      <w:numFmt w:val="bullet"/>
      <w:lvlText w:val="•"/>
      <w:lvlJc w:val="left"/>
      <w:pPr>
        <w:tabs>
          <w:tab w:val="num" w:pos="3600"/>
        </w:tabs>
        <w:ind w:left="3600" w:hanging="360"/>
      </w:pPr>
      <w:rPr>
        <w:rFonts w:ascii="Times New Roman" w:hAnsi="Times New Roman" w:hint="default"/>
      </w:rPr>
    </w:lvl>
    <w:lvl w:ilvl="5" w:tplc="D05CDF28" w:tentative="1">
      <w:start w:val="1"/>
      <w:numFmt w:val="bullet"/>
      <w:lvlText w:val="•"/>
      <w:lvlJc w:val="left"/>
      <w:pPr>
        <w:tabs>
          <w:tab w:val="num" w:pos="4320"/>
        </w:tabs>
        <w:ind w:left="4320" w:hanging="360"/>
      </w:pPr>
      <w:rPr>
        <w:rFonts w:ascii="Times New Roman" w:hAnsi="Times New Roman" w:hint="default"/>
      </w:rPr>
    </w:lvl>
    <w:lvl w:ilvl="6" w:tplc="A10CBC8A" w:tentative="1">
      <w:start w:val="1"/>
      <w:numFmt w:val="bullet"/>
      <w:lvlText w:val="•"/>
      <w:lvlJc w:val="left"/>
      <w:pPr>
        <w:tabs>
          <w:tab w:val="num" w:pos="5040"/>
        </w:tabs>
        <w:ind w:left="5040" w:hanging="360"/>
      </w:pPr>
      <w:rPr>
        <w:rFonts w:ascii="Times New Roman" w:hAnsi="Times New Roman" w:hint="default"/>
      </w:rPr>
    </w:lvl>
    <w:lvl w:ilvl="7" w:tplc="87402ABE" w:tentative="1">
      <w:start w:val="1"/>
      <w:numFmt w:val="bullet"/>
      <w:lvlText w:val="•"/>
      <w:lvlJc w:val="left"/>
      <w:pPr>
        <w:tabs>
          <w:tab w:val="num" w:pos="5760"/>
        </w:tabs>
        <w:ind w:left="5760" w:hanging="360"/>
      </w:pPr>
      <w:rPr>
        <w:rFonts w:ascii="Times New Roman" w:hAnsi="Times New Roman" w:hint="default"/>
      </w:rPr>
    </w:lvl>
    <w:lvl w:ilvl="8" w:tplc="1760131A" w:tentative="1">
      <w:start w:val="1"/>
      <w:numFmt w:val="bullet"/>
      <w:lvlText w:val="•"/>
      <w:lvlJc w:val="left"/>
      <w:pPr>
        <w:tabs>
          <w:tab w:val="num" w:pos="6480"/>
        </w:tabs>
        <w:ind w:left="6480" w:hanging="360"/>
      </w:pPr>
      <w:rPr>
        <w:rFonts w:ascii="Times New Roman" w:hAnsi="Times New Roman" w:hint="default"/>
      </w:rPr>
    </w:lvl>
  </w:abstractNum>
  <w:abstractNum w:abstractNumId="22">
    <w:nsid w:val="3D256852"/>
    <w:multiLevelType w:val="multilevel"/>
    <w:tmpl w:val="695C488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3">
    <w:nsid w:val="3FE62ED6"/>
    <w:multiLevelType w:val="hybridMultilevel"/>
    <w:tmpl w:val="67B64FE2"/>
    <w:lvl w:ilvl="0" w:tplc="A60CC34C">
      <w:start w:val="1"/>
      <w:numFmt w:val="bullet"/>
      <w:lvlText w:val="•"/>
      <w:lvlJc w:val="left"/>
      <w:pPr>
        <w:ind w:left="851" w:hanging="360"/>
      </w:pPr>
      <w:rPr>
        <w:rFonts w:ascii="Times New Roman" w:hAnsi="Times New Roman" w:hint="default"/>
      </w:rPr>
    </w:lvl>
    <w:lvl w:ilvl="1" w:tplc="04260003" w:tentative="1">
      <w:start w:val="1"/>
      <w:numFmt w:val="bullet"/>
      <w:lvlText w:val="o"/>
      <w:lvlJc w:val="left"/>
      <w:pPr>
        <w:ind w:left="1571" w:hanging="360"/>
      </w:pPr>
      <w:rPr>
        <w:rFonts w:ascii="Courier New" w:hAnsi="Courier New" w:cs="Courier New" w:hint="default"/>
      </w:rPr>
    </w:lvl>
    <w:lvl w:ilvl="2" w:tplc="04260005" w:tentative="1">
      <w:start w:val="1"/>
      <w:numFmt w:val="bullet"/>
      <w:lvlText w:val=""/>
      <w:lvlJc w:val="left"/>
      <w:pPr>
        <w:ind w:left="2291" w:hanging="360"/>
      </w:pPr>
      <w:rPr>
        <w:rFonts w:ascii="Wingdings" w:hAnsi="Wingdings" w:hint="default"/>
      </w:rPr>
    </w:lvl>
    <w:lvl w:ilvl="3" w:tplc="04260001" w:tentative="1">
      <w:start w:val="1"/>
      <w:numFmt w:val="bullet"/>
      <w:lvlText w:val=""/>
      <w:lvlJc w:val="left"/>
      <w:pPr>
        <w:ind w:left="3011" w:hanging="360"/>
      </w:pPr>
      <w:rPr>
        <w:rFonts w:ascii="Symbol" w:hAnsi="Symbol" w:hint="default"/>
      </w:rPr>
    </w:lvl>
    <w:lvl w:ilvl="4" w:tplc="04260003" w:tentative="1">
      <w:start w:val="1"/>
      <w:numFmt w:val="bullet"/>
      <w:lvlText w:val="o"/>
      <w:lvlJc w:val="left"/>
      <w:pPr>
        <w:ind w:left="3731" w:hanging="360"/>
      </w:pPr>
      <w:rPr>
        <w:rFonts w:ascii="Courier New" w:hAnsi="Courier New" w:cs="Courier New" w:hint="default"/>
      </w:rPr>
    </w:lvl>
    <w:lvl w:ilvl="5" w:tplc="04260005" w:tentative="1">
      <w:start w:val="1"/>
      <w:numFmt w:val="bullet"/>
      <w:lvlText w:val=""/>
      <w:lvlJc w:val="left"/>
      <w:pPr>
        <w:ind w:left="4451" w:hanging="360"/>
      </w:pPr>
      <w:rPr>
        <w:rFonts w:ascii="Wingdings" w:hAnsi="Wingdings" w:hint="default"/>
      </w:rPr>
    </w:lvl>
    <w:lvl w:ilvl="6" w:tplc="04260001" w:tentative="1">
      <w:start w:val="1"/>
      <w:numFmt w:val="bullet"/>
      <w:lvlText w:val=""/>
      <w:lvlJc w:val="left"/>
      <w:pPr>
        <w:ind w:left="5171" w:hanging="360"/>
      </w:pPr>
      <w:rPr>
        <w:rFonts w:ascii="Symbol" w:hAnsi="Symbol" w:hint="default"/>
      </w:rPr>
    </w:lvl>
    <w:lvl w:ilvl="7" w:tplc="04260003" w:tentative="1">
      <w:start w:val="1"/>
      <w:numFmt w:val="bullet"/>
      <w:lvlText w:val="o"/>
      <w:lvlJc w:val="left"/>
      <w:pPr>
        <w:ind w:left="5891" w:hanging="360"/>
      </w:pPr>
      <w:rPr>
        <w:rFonts w:ascii="Courier New" w:hAnsi="Courier New" w:cs="Courier New" w:hint="default"/>
      </w:rPr>
    </w:lvl>
    <w:lvl w:ilvl="8" w:tplc="04260005" w:tentative="1">
      <w:start w:val="1"/>
      <w:numFmt w:val="bullet"/>
      <w:lvlText w:val=""/>
      <w:lvlJc w:val="left"/>
      <w:pPr>
        <w:ind w:left="6611" w:hanging="360"/>
      </w:pPr>
      <w:rPr>
        <w:rFonts w:ascii="Wingdings" w:hAnsi="Wingdings" w:hint="default"/>
      </w:rPr>
    </w:lvl>
  </w:abstractNum>
  <w:abstractNum w:abstractNumId="24">
    <w:nsid w:val="42126679"/>
    <w:multiLevelType w:val="hybridMultilevel"/>
    <w:tmpl w:val="E69A262C"/>
    <w:lvl w:ilvl="0" w:tplc="C93EDD64">
      <w:start w:val="1"/>
      <w:numFmt w:val="bullet"/>
      <w:lvlText w:val="•"/>
      <w:lvlJc w:val="left"/>
      <w:pPr>
        <w:tabs>
          <w:tab w:val="num" w:pos="720"/>
        </w:tabs>
        <w:ind w:left="720" w:hanging="360"/>
      </w:pPr>
      <w:rPr>
        <w:rFonts w:ascii="Times New Roman" w:hAnsi="Times New Roman" w:hint="default"/>
      </w:rPr>
    </w:lvl>
    <w:lvl w:ilvl="1" w:tplc="E5B847D8" w:tentative="1">
      <w:start w:val="1"/>
      <w:numFmt w:val="bullet"/>
      <w:lvlText w:val="•"/>
      <w:lvlJc w:val="left"/>
      <w:pPr>
        <w:tabs>
          <w:tab w:val="num" w:pos="1440"/>
        </w:tabs>
        <w:ind w:left="1440" w:hanging="360"/>
      </w:pPr>
      <w:rPr>
        <w:rFonts w:ascii="Times New Roman" w:hAnsi="Times New Roman" w:hint="default"/>
      </w:rPr>
    </w:lvl>
    <w:lvl w:ilvl="2" w:tplc="81AAE8AC" w:tentative="1">
      <w:start w:val="1"/>
      <w:numFmt w:val="bullet"/>
      <w:lvlText w:val="•"/>
      <w:lvlJc w:val="left"/>
      <w:pPr>
        <w:tabs>
          <w:tab w:val="num" w:pos="2160"/>
        </w:tabs>
        <w:ind w:left="2160" w:hanging="360"/>
      </w:pPr>
      <w:rPr>
        <w:rFonts w:ascii="Times New Roman" w:hAnsi="Times New Roman" w:hint="default"/>
      </w:rPr>
    </w:lvl>
    <w:lvl w:ilvl="3" w:tplc="956E34AA" w:tentative="1">
      <w:start w:val="1"/>
      <w:numFmt w:val="bullet"/>
      <w:lvlText w:val="•"/>
      <w:lvlJc w:val="left"/>
      <w:pPr>
        <w:tabs>
          <w:tab w:val="num" w:pos="2880"/>
        </w:tabs>
        <w:ind w:left="2880" w:hanging="360"/>
      </w:pPr>
      <w:rPr>
        <w:rFonts w:ascii="Times New Roman" w:hAnsi="Times New Roman" w:hint="default"/>
      </w:rPr>
    </w:lvl>
    <w:lvl w:ilvl="4" w:tplc="AC40A5C2" w:tentative="1">
      <w:start w:val="1"/>
      <w:numFmt w:val="bullet"/>
      <w:lvlText w:val="•"/>
      <w:lvlJc w:val="left"/>
      <w:pPr>
        <w:tabs>
          <w:tab w:val="num" w:pos="3600"/>
        </w:tabs>
        <w:ind w:left="3600" w:hanging="360"/>
      </w:pPr>
      <w:rPr>
        <w:rFonts w:ascii="Times New Roman" w:hAnsi="Times New Roman" w:hint="default"/>
      </w:rPr>
    </w:lvl>
    <w:lvl w:ilvl="5" w:tplc="B472249A" w:tentative="1">
      <w:start w:val="1"/>
      <w:numFmt w:val="bullet"/>
      <w:lvlText w:val="•"/>
      <w:lvlJc w:val="left"/>
      <w:pPr>
        <w:tabs>
          <w:tab w:val="num" w:pos="4320"/>
        </w:tabs>
        <w:ind w:left="4320" w:hanging="360"/>
      </w:pPr>
      <w:rPr>
        <w:rFonts w:ascii="Times New Roman" w:hAnsi="Times New Roman" w:hint="default"/>
      </w:rPr>
    </w:lvl>
    <w:lvl w:ilvl="6" w:tplc="8E087544" w:tentative="1">
      <w:start w:val="1"/>
      <w:numFmt w:val="bullet"/>
      <w:lvlText w:val="•"/>
      <w:lvlJc w:val="left"/>
      <w:pPr>
        <w:tabs>
          <w:tab w:val="num" w:pos="5040"/>
        </w:tabs>
        <w:ind w:left="5040" w:hanging="360"/>
      </w:pPr>
      <w:rPr>
        <w:rFonts w:ascii="Times New Roman" w:hAnsi="Times New Roman" w:hint="default"/>
      </w:rPr>
    </w:lvl>
    <w:lvl w:ilvl="7" w:tplc="359E5BD4" w:tentative="1">
      <w:start w:val="1"/>
      <w:numFmt w:val="bullet"/>
      <w:lvlText w:val="•"/>
      <w:lvlJc w:val="left"/>
      <w:pPr>
        <w:tabs>
          <w:tab w:val="num" w:pos="5760"/>
        </w:tabs>
        <w:ind w:left="5760" w:hanging="360"/>
      </w:pPr>
      <w:rPr>
        <w:rFonts w:ascii="Times New Roman" w:hAnsi="Times New Roman" w:hint="default"/>
      </w:rPr>
    </w:lvl>
    <w:lvl w:ilvl="8" w:tplc="70223D4A" w:tentative="1">
      <w:start w:val="1"/>
      <w:numFmt w:val="bullet"/>
      <w:lvlText w:val="•"/>
      <w:lvlJc w:val="left"/>
      <w:pPr>
        <w:tabs>
          <w:tab w:val="num" w:pos="6480"/>
        </w:tabs>
        <w:ind w:left="6480" w:hanging="360"/>
      </w:pPr>
      <w:rPr>
        <w:rFonts w:ascii="Times New Roman" w:hAnsi="Times New Roman" w:hint="default"/>
      </w:rPr>
    </w:lvl>
  </w:abstractNum>
  <w:abstractNum w:abstractNumId="25">
    <w:nsid w:val="4F872675"/>
    <w:multiLevelType w:val="hybridMultilevel"/>
    <w:tmpl w:val="0B181CF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nsid w:val="54EA607C"/>
    <w:multiLevelType w:val="hybridMultilevel"/>
    <w:tmpl w:val="EFBA5294"/>
    <w:lvl w:ilvl="0" w:tplc="A60CC34C">
      <w:start w:val="1"/>
      <w:numFmt w:val="bullet"/>
      <w:lvlText w:val="•"/>
      <w:lvlJc w:val="left"/>
      <w:pPr>
        <w:ind w:left="720" w:hanging="360"/>
      </w:pPr>
      <w:rPr>
        <w:rFonts w:ascii="Times New Roman" w:hAnsi="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nsid w:val="609753A7"/>
    <w:multiLevelType w:val="hybridMultilevel"/>
    <w:tmpl w:val="F238EE6C"/>
    <w:lvl w:ilvl="0" w:tplc="42D08498">
      <w:start w:val="1"/>
      <w:numFmt w:val="bullet"/>
      <w:lvlText w:val="•"/>
      <w:lvlJc w:val="left"/>
      <w:pPr>
        <w:tabs>
          <w:tab w:val="num" w:pos="720"/>
        </w:tabs>
        <w:ind w:left="720" w:hanging="360"/>
      </w:pPr>
      <w:rPr>
        <w:rFonts w:ascii="Arial" w:hAnsi="Arial" w:hint="default"/>
      </w:rPr>
    </w:lvl>
    <w:lvl w:ilvl="1" w:tplc="5B86921C" w:tentative="1">
      <w:start w:val="1"/>
      <w:numFmt w:val="bullet"/>
      <w:lvlText w:val="•"/>
      <w:lvlJc w:val="left"/>
      <w:pPr>
        <w:tabs>
          <w:tab w:val="num" w:pos="1440"/>
        </w:tabs>
        <w:ind w:left="1440" w:hanging="360"/>
      </w:pPr>
      <w:rPr>
        <w:rFonts w:ascii="Arial" w:hAnsi="Arial" w:hint="default"/>
      </w:rPr>
    </w:lvl>
    <w:lvl w:ilvl="2" w:tplc="AEE65C50" w:tentative="1">
      <w:start w:val="1"/>
      <w:numFmt w:val="bullet"/>
      <w:lvlText w:val="•"/>
      <w:lvlJc w:val="left"/>
      <w:pPr>
        <w:tabs>
          <w:tab w:val="num" w:pos="2160"/>
        </w:tabs>
        <w:ind w:left="2160" w:hanging="360"/>
      </w:pPr>
      <w:rPr>
        <w:rFonts w:ascii="Arial" w:hAnsi="Arial" w:hint="default"/>
      </w:rPr>
    </w:lvl>
    <w:lvl w:ilvl="3" w:tplc="C95AFC3A" w:tentative="1">
      <w:start w:val="1"/>
      <w:numFmt w:val="bullet"/>
      <w:lvlText w:val="•"/>
      <w:lvlJc w:val="left"/>
      <w:pPr>
        <w:tabs>
          <w:tab w:val="num" w:pos="2880"/>
        </w:tabs>
        <w:ind w:left="2880" w:hanging="360"/>
      </w:pPr>
      <w:rPr>
        <w:rFonts w:ascii="Arial" w:hAnsi="Arial" w:hint="default"/>
      </w:rPr>
    </w:lvl>
    <w:lvl w:ilvl="4" w:tplc="FF120FCE" w:tentative="1">
      <w:start w:val="1"/>
      <w:numFmt w:val="bullet"/>
      <w:lvlText w:val="•"/>
      <w:lvlJc w:val="left"/>
      <w:pPr>
        <w:tabs>
          <w:tab w:val="num" w:pos="3600"/>
        </w:tabs>
        <w:ind w:left="3600" w:hanging="360"/>
      </w:pPr>
      <w:rPr>
        <w:rFonts w:ascii="Arial" w:hAnsi="Arial" w:hint="default"/>
      </w:rPr>
    </w:lvl>
    <w:lvl w:ilvl="5" w:tplc="90E29DAA" w:tentative="1">
      <w:start w:val="1"/>
      <w:numFmt w:val="bullet"/>
      <w:lvlText w:val="•"/>
      <w:lvlJc w:val="left"/>
      <w:pPr>
        <w:tabs>
          <w:tab w:val="num" w:pos="4320"/>
        </w:tabs>
        <w:ind w:left="4320" w:hanging="360"/>
      </w:pPr>
      <w:rPr>
        <w:rFonts w:ascii="Arial" w:hAnsi="Arial" w:hint="default"/>
      </w:rPr>
    </w:lvl>
    <w:lvl w:ilvl="6" w:tplc="30323FB6" w:tentative="1">
      <w:start w:val="1"/>
      <w:numFmt w:val="bullet"/>
      <w:lvlText w:val="•"/>
      <w:lvlJc w:val="left"/>
      <w:pPr>
        <w:tabs>
          <w:tab w:val="num" w:pos="5040"/>
        </w:tabs>
        <w:ind w:left="5040" w:hanging="360"/>
      </w:pPr>
      <w:rPr>
        <w:rFonts w:ascii="Arial" w:hAnsi="Arial" w:hint="default"/>
      </w:rPr>
    </w:lvl>
    <w:lvl w:ilvl="7" w:tplc="926235EC" w:tentative="1">
      <w:start w:val="1"/>
      <w:numFmt w:val="bullet"/>
      <w:lvlText w:val="•"/>
      <w:lvlJc w:val="left"/>
      <w:pPr>
        <w:tabs>
          <w:tab w:val="num" w:pos="5760"/>
        </w:tabs>
        <w:ind w:left="5760" w:hanging="360"/>
      </w:pPr>
      <w:rPr>
        <w:rFonts w:ascii="Arial" w:hAnsi="Arial" w:hint="default"/>
      </w:rPr>
    </w:lvl>
    <w:lvl w:ilvl="8" w:tplc="FA6A4292" w:tentative="1">
      <w:start w:val="1"/>
      <w:numFmt w:val="bullet"/>
      <w:lvlText w:val="•"/>
      <w:lvlJc w:val="left"/>
      <w:pPr>
        <w:tabs>
          <w:tab w:val="num" w:pos="6480"/>
        </w:tabs>
        <w:ind w:left="6480" w:hanging="360"/>
      </w:pPr>
      <w:rPr>
        <w:rFonts w:ascii="Arial" w:hAnsi="Arial" w:hint="default"/>
      </w:rPr>
    </w:lvl>
  </w:abstractNum>
  <w:abstractNum w:abstractNumId="28">
    <w:nsid w:val="60ED1F82"/>
    <w:multiLevelType w:val="hybridMultilevel"/>
    <w:tmpl w:val="D6029A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628716D6"/>
    <w:multiLevelType w:val="hybridMultilevel"/>
    <w:tmpl w:val="7FC2DE14"/>
    <w:lvl w:ilvl="0" w:tplc="2744C8E4">
      <w:start w:val="1"/>
      <w:numFmt w:val="bullet"/>
      <w:lvlText w:val="•"/>
      <w:lvlJc w:val="left"/>
      <w:pPr>
        <w:tabs>
          <w:tab w:val="num" w:pos="720"/>
        </w:tabs>
        <w:ind w:left="720" w:hanging="360"/>
      </w:pPr>
      <w:rPr>
        <w:rFonts w:ascii="Arial" w:hAnsi="Arial" w:hint="default"/>
      </w:rPr>
    </w:lvl>
    <w:lvl w:ilvl="1" w:tplc="522CBC4E" w:tentative="1">
      <w:start w:val="1"/>
      <w:numFmt w:val="bullet"/>
      <w:lvlText w:val="•"/>
      <w:lvlJc w:val="left"/>
      <w:pPr>
        <w:tabs>
          <w:tab w:val="num" w:pos="1440"/>
        </w:tabs>
        <w:ind w:left="1440" w:hanging="360"/>
      </w:pPr>
      <w:rPr>
        <w:rFonts w:ascii="Arial" w:hAnsi="Arial" w:hint="default"/>
      </w:rPr>
    </w:lvl>
    <w:lvl w:ilvl="2" w:tplc="B62660DC" w:tentative="1">
      <w:start w:val="1"/>
      <w:numFmt w:val="bullet"/>
      <w:lvlText w:val="•"/>
      <w:lvlJc w:val="left"/>
      <w:pPr>
        <w:tabs>
          <w:tab w:val="num" w:pos="2160"/>
        </w:tabs>
        <w:ind w:left="2160" w:hanging="360"/>
      </w:pPr>
      <w:rPr>
        <w:rFonts w:ascii="Arial" w:hAnsi="Arial" w:hint="default"/>
      </w:rPr>
    </w:lvl>
    <w:lvl w:ilvl="3" w:tplc="520C1CA4" w:tentative="1">
      <w:start w:val="1"/>
      <w:numFmt w:val="bullet"/>
      <w:lvlText w:val="•"/>
      <w:lvlJc w:val="left"/>
      <w:pPr>
        <w:tabs>
          <w:tab w:val="num" w:pos="2880"/>
        </w:tabs>
        <w:ind w:left="2880" w:hanging="360"/>
      </w:pPr>
      <w:rPr>
        <w:rFonts w:ascii="Arial" w:hAnsi="Arial" w:hint="default"/>
      </w:rPr>
    </w:lvl>
    <w:lvl w:ilvl="4" w:tplc="047C49E0" w:tentative="1">
      <w:start w:val="1"/>
      <w:numFmt w:val="bullet"/>
      <w:lvlText w:val="•"/>
      <w:lvlJc w:val="left"/>
      <w:pPr>
        <w:tabs>
          <w:tab w:val="num" w:pos="3600"/>
        </w:tabs>
        <w:ind w:left="3600" w:hanging="360"/>
      </w:pPr>
      <w:rPr>
        <w:rFonts w:ascii="Arial" w:hAnsi="Arial" w:hint="default"/>
      </w:rPr>
    </w:lvl>
    <w:lvl w:ilvl="5" w:tplc="98125042" w:tentative="1">
      <w:start w:val="1"/>
      <w:numFmt w:val="bullet"/>
      <w:lvlText w:val="•"/>
      <w:lvlJc w:val="left"/>
      <w:pPr>
        <w:tabs>
          <w:tab w:val="num" w:pos="4320"/>
        </w:tabs>
        <w:ind w:left="4320" w:hanging="360"/>
      </w:pPr>
      <w:rPr>
        <w:rFonts w:ascii="Arial" w:hAnsi="Arial" w:hint="default"/>
      </w:rPr>
    </w:lvl>
    <w:lvl w:ilvl="6" w:tplc="78C6B590" w:tentative="1">
      <w:start w:val="1"/>
      <w:numFmt w:val="bullet"/>
      <w:lvlText w:val="•"/>
      <w:lvlJc w:val="left"/>
      <w:pPr>
        <w:tabs>
          <w:tab w:val="num" w:pos="5040"/>
        </w:tabs>
        <w:ind w:left="5040" w:hanging="360"/>
      </w:pPr>
      <w:rPr>
        <w:rFonts w:ascii="Arial" w:hAnsi="Arial" w:hint="default"/>
      </w:rPr>
    </w:lvl>
    <w:lvl w:ilvl="7" w:tplc="F0E2D3BA" w:tentative="1">
      <w:start w:val="1"/>
      <w:numFmt w:val="bullet"/>
      <w:lvlText w:val="•"/>
      <w:lvlJc w:val="left"/>
      <w:pPr>
        <w:tabs>
          <w:tab w:val="num" w:pos="5760"/>
        </w:tabs>
        <w:ind w:left="5760" w:hanging="360"/>
      </w:pPr>
      <w:rPr>
        <w:rFonts w:ascii="Arial" w:hAnsi="Arial" w:hint="default"/>
      </w:rPr>
    </w:lvl>
    <w:lvl w:ilvl="8" w:tplc="0242E08A" w:tentative="1">
      <w:start w:val="1"/>
      <w:numFmt w:val="bullet"/>
      <w:lvlText w:val="•"/>
      <w:lvlJc w:val="left"/>
      <w:pPr>
        <w:tabs>
          <w:tab w:val="num" w:pos="6480"/>
        </w:tabs>
        <w:ind w:left="6480" w:hanging="360"/>
      </w:pPr>
      <w:rPr>
        <w:rFonts w:ascii="Arial" w:hAnsi="Arial" w:hint="default"/>
      </w:rPr>
    </w:lvl>
  </w:abstractNum>
  <w:abstractNum w:abstractNumId="30">
    <w:nsid w:val="636325C8"/>
    <w:multiLevelType w:val="multilevel"/>
    <w:tmpl w:val="4ADEAF68"/>
    <w:lvl w:ilvl="0">
      <w:start w:val="1"/>
      <w:numFmt w:val="decimal"/>
      <w:lvlText w:val="%1."/>
      <w:lvlJc w:val="left"/>
      <w:pPr>
        <w:ind w:left="780" w:hanging="780"/>
      </w:pPr>
      <w:rPr>
        <w:rFonts w:hint="default"/>
      </w:rPr>
    </w:lvl>
    <w:lvl w:ilvl="1">
      <w:start w:val="1"/>
      <w:numFmt w:val="decimal"/>
      <w:lvlText w:val="%1.%2."/>
      <w:lvlJc w:val="left"/>
      <w:pPr>
        <w:ind w:left="780" w:hanging="780"/>
      </w:pPr>
      <w:rPr>
        <w:rFonts w:hint="default"/>
      </w:rPr>
    </w:lvl>
    <w:lvl w:ilvl="2">
      <w:start w:val="1"/>
      <w:numFmt w:val="decimal"/>
      <w:lvlText w:val="%1.%2.%3."/>
      <w:lvlJc w:val="left"/>
      <w:pPr>
        <w:ind w:left="780" w:hanging="78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nsid w:val="647519AC"/>
    <w:multiLevelType w:val="hybridMultilevel"/>
    <w:tmpl w:val="3A08A450"/>
    <w:lvl w:ilvl="0" w:tplc="1616B9A4">
      <w:start w:val="1"/>
      <w:numFmt w:val="bullet"/>
      <w:lvlText w:val="•"/>
      <w:lvlJc w:val="left"/>
      <w:pPr>
        <w:tabs>
          <w:tab w:val="num" w:pos="720"/>
        </w:tabs>
        <w:ind w:left="720" w:hanging="360"/>
      </w:pPr>
      <w:rPr>
        <w:rFonts w:ascii="Arial" w:hAnsi="Arial" w:hint="default"/>
      </w:rPr>
    </w:lvl>
    <w:lvl w:ilvl="1" w:tplc="59DCC68A" w:tentative="1">
      <w:start w:val="1"/>
      <w:numFmt w:val="bullet"/>
      <w:lvlText w:val="•"/>
      <w:lvlJc w:val="left"/>
      <w:pPr>
        <w:tabs>
          <w:tab w:val="num" w:pos="1440"/>
        </w:tabs>
        <w:ind w:left="1440" w:hanging="360"/>
      </w:pPr>
      <w:rPr>
        <w:rFonts w:ascii="Arial" w:hAnsi="Arial" w:hint="default"/>
      </w:rPr>
    </w:lvl>
    <w:lvl w:ilvl="2" w:tplc="4F1AF514" w:tentative="1">
      <w:start w:val="1"/>
      <w:numFmt w:val="bullet"/>
      <w:lvlText w:val="•"/>
      <w:lvlJc w:val="left"/>
      <w:pPr>
        <w:tabs>
          <w:tab w:val="num" w:pos="2160"/>
        </w:tabs>
        <w:ind w:left="2160" w:hanging="360"/>
      </w:pPr>
      <w:rPr>
        <w:rFonts w:ascii="Arial" w:hAnsi="Arial" w:hint="default"/>
      </w:rPr>
    </w:lvl>
    <w:lvl w:ilvl="3" w:tplc="AC582346" w:tentative="1">
      <w:start w:val="1"/>
      <w:numFmt w:val="bullet"/>
      <w:lvlText w:val="•"/>
      <w:lvlJc w:val="left"/>
      <w:pPr>
        <w:tabs>
          <w:tab w:val="num" w:pos="2880"/>
        </w:tabs>
        <w:ind w:left="2880" w:hanging="360"/>
      </w:pPr>
      <w:rPr>
        <w:rFonts w:ascii="Arial" w:hAnsi="Arial" w:hint="default"/>
      </w:rPr>
    </w:lvl>
    <w:lvl w:ilvl="4" w:tplc="B87E7274" w:tentative="1">
      <w:start w:val="1"/>
      <w:numFmt w:val="bullet"/>
      <w:lvlText w:val="•"/>
      <w:lvlJc w:val="left"/>
      <w:pPr>
        <w:tabs>
          <w:tab w:val="num" w:pos="3600"/>
        </w:tabs>
        <w:ind w:left="3600" w:hanging="360"/>
      </w:pPr>
      <w:rPr>
        <w:rFonts w:ascii="Arial" w:hAnsi="Arial" w:hint="default"/>
      </w:rPr>
    </w:lvl>
    <w:lvl w:ilvl="5" w:tplc="2FBE12F2" w:tentative="1">
      <w:start w:val="1"/>
      <w:numFmt w:val="bullet"/>
      <w:lvlText w:val="•"/>
      <w:lvlJc w:val="left"/>
      <w:pPr>
        <w:tabs>
          <w:tab w:val="num" w:pos="4320"/>
        </w:tabs>
        <w:ind w:left="4320" w:hanging="360"/>
      </w:pPr>
      <w:rPr>
        <w:rFonts w:ascii="Arial" w:hAnsi="Arial" w:hint="default"/>
      </w:rPr>
    </w:lvl>
    <w:lvl w:ilvl="6" w:tplc="4EA806C8" w:tentative="1">
      <w:start w:val="1"/>
      <w:numFmt w:val="bullet"/>
      <w:lvlText w:val="•"/>
      <w:lvlJc w:val="left"/>
      <w:pPr>
        <w:tabs>
          <w:tab w:val="num" w:pos="5040"/>
        </w:tabs>
        <w:ind w:left="5040" w:hanging="360"/>
      </w:pPr>
      <w:rPr>
        <w:rFonts w:ascii="Arial" w:hAnsi="Arial" w:hint="default"/>
      </w:rPr>
    </w:lvl>
    <w:lvl w:ilvl="7" w:tplc="9C92FD6E" w:tentative="1">
      <w:start w:val="1"/>
      <w:numFmt w:val="bullet"/>
      <w:lvlText w:val="•"/>
      <w:lvlJc w:val="left"/>
      <w:pPr>
        <w:tabs>
          <w:tab w:val="num" w:pos="5760"/>
        </w:tabs>
        <w:ind w:left="5760" w:hanging="360"/>
      </w:pPr>
      <w:rPr>
        <w:rFonts w:ascii="Arial" w:hAnsi="Arial" w:hint="default"/>
      </w:rPr>
    </w:lvl>
    <w:lvl w:ilvl="8" w:tplc="FAB48C5C" w:tentative="1">
      <w:start w:val="1"/>
      <w:numFmt w:val="bullet"/>
      <w:lvlText w:val="•"/>
      <w:lvlJc w:val="left"/>
      <w:pPr>
        <w:tabs>
          <w:tab w:val="num" w:pos="6480"/>
        </w:tabs>
        <w:ind w:left="6480" w:hanging="360"/>
      </w:pPr>
      <w:rPr>
        <w:rFonts w:ascii="Arial" w:hAnsi="Arial" w:hint="default"/>
      </w:rPr>
    </w:lvl>
  </w:abstractNum>
  <w:abstractNum w:abstractNumId="32">
    <w:nsid w:val="68141AA6"/>
    <w:multiLevelType w:val="hybridMultilevel"/>
    <w:tmpl w:val="F7866864"/>
    <w:lvl w:ilvl="0" w:tplc="A60CC34C">
      <w:start w:val="1"/>
      <w:numFmt w:val="bullet"/>
      <w:lvlText w:val="•"/>
      <w:lvlJc w:val="left"/>
      <w:pPr>
        <w:ind w:left="851" w:hanging="360"/>
      </w:pPr>
      <w:rPr>
        <w:rFonts w:ascii="Times New Roman" w:hAnsi="Times New Roman" w:hint="default"/>
      </w:rPr>
    </w:lvl>
    <w:lvl w:ilvl="1" w:tplc="04260003" w:tentative="1">
      <w:start w:val="1"/>
      <w:numFmt w:val="bullet"/>
      <w:lvlText w:val="o"/>
      <w:lvlJc w:val="left"/>
      <w:pPr>
        <w:ind w:left="1571" w:hanging="360"/>
      </w:pPr>
      <w:rPr>
        <w:rFonts w:ascii="Courier New" w:hAnsi="Courier New" w:cs="Courier New" w:hint="default"/>
      </w:rPr>
    </w:lvl>
    <w:lvl w:ilvl="2" w:tplc="04260005" w:tentative="1">
      <w:start w:val="1"/>
      <w:numFmt w:val="bullet"/>
      <w:lvlText w:val=""/>
      <w:lvlJc w:val="left"/>
      <w:pPr>
        <w:ind w:left="2291" w:hanging="360"/>
      </w:pPr>
      <w:rPr>
        <w:rFonts w:ascii="Wingdings" w:hAnsi="Wingdings" w:hint="default"/>
      </w:rPr>
    </w:lvl>
    <w:lvl w:ilvl="3" w:tplc="04260001" w:tentative="1">
      <w:start w:val="1"/>
      <w:numFmt w:val="bullet"/>
      <w:lvlText w:val=""/>
      <w:lvlJc w:val="left"/>
      <w:pPr>
        <w:ind w:left="3011" w:hanging="360"/>
      </w:pPr>
      <w:rPr>
        <w:rFonts w:ascii="Symbol" w:hAnsi="Symbol" w:hint="default"/>
      </w:rPr>
    </w:lvl>
    <w:lvl w:ilvl="4" w:tplc="04260003" w:tentative="1">
      <w:start w:val="1"/>
      <w:numFmt w:val="bullet"/>
      <w:lvlText w:val="o"/>
      <w:lvlJc w:val="left"/>
      <w:pPr>
        <w:ind w:left="3731" w:hanging="360"/>
      </w:pPr>
      <w:rPr>
        <w:rFonts w:ascii="Courier New" w:hAnsi="Courier New" w:cs="Courier New" w:hint="default"/>
      </w:rPr>
    </w:lvl>
    <w:lvl w:ilvl="5" w:tplc="04260005" w:tentative="1">
      <w:start w:val="1"/>
      <w:numFmt w:val="bullet"/>
      <w:lvlText w:val=""/>
      <w:lvlJc w:val="left"/>
      <w:pPr>
        <w:ind w:left="4451" w:hanging="360"/>
      </w:pPr>
      <w:rPr>
        <w:rFonts w:ascii="Wingdings" w:hAnsi="Wingdings" w:hint="default"/>
      </w:rPr>
    </w:lvl>
    <w:lvl w:ilvl="6" w:tplc="04260001" w:tentative="1">
      <w:start w:val="1"/>
      <w:numFmt w:val="bullet"/>
      <w:lvlText w:val=""/>
      <w:lvlJc w:val="left"/>
      <w:pPr>
        <w:ind w:left="5171" w:hanging="360"/>
      </w:pPr>
      <w:rPr>
        <w:rFonts w:ascii="Symbol" w:hAnsi="Symbol" w:hint="default"/>
      </w:rPr>
    </w:lvl>
    <w:lvl w:ilvl="7" w:tplc="04260003" w:tentative="1">
      <w:start w:val="1"/>
      <w:numFmt w:val="bullet"/>
      <w:lvlText w:val="o"/>
      <w:lvlJc w:val="left"/>
      <w:pPr>
        <w:ind w:left="5891" w:hanging="360"/>
      </w:pPr>
      <w:rPr>
        <w:rFonts w:ascii="Courier New" w:hAnsi="Courier New" w:cs="Courier New" w:hint="default"/>
      </w:rPr>
    </w:lvl>
    <w:lvl w:ilvl="8" w:tplc="04260005" w:tentative="1">
      <w:start w:val="1"/>
      <w:numFmt w:val="bullet"/>
      <w:lvlText w:val=""/>
      <w:lvlJc w:val="left"/>
      <w:pPr>
        <w:ind w:left="6611" w:hanging="360"/>
      </w:pPr>
      <w:rPr>
        <w:rFonts w:ascii="Wingdings" w:hAnsi="Wingdings" w:hint="default"/>
      </w:rPr>
    </w:lvl>
  </w:abstractNum>
  <w:abstractNum w:abstractNumId="33">
    <w:nsid w:val="69CF7EAE"/>
    <w:multiLevelType w:val="hybridMultilevel"/>
    <w:tmpl w:val="6F848076"/>
    <w:lvl w:ilvl="0" w:tplc="A426D070">
      <w:start w:val="1"/>
      <w:numFmt w:val="bullet"/>
      <w:lvlText w:val="•"/>
      <w:lvlJc w:val="left"/>
      <w:pPr>
        <w:tabs>
          <w:tab w:val="num" w:pos="720"/>
        </w:tabs>
        <w:ind w:left="720" w:hanging="360"/>
      </w:pPr>
      <w:rPr>
        <w:rFonts w:ascii="Arial" w:hAnsi="Arial" w:hint="default"/>
      </w:rPr>
    </w:lvl>
    <w:lvl w:ilvl="1" w:tplc="FEF24BAC" w:tentative="1">
      <w:start w:val="1"/>
      <w:numFmt w:val="bullet"/>
      <w:lvlText w:val="•"/>
      <w:lvlJc w:val="left"/>
      <w:pPr>
        <w:tabs>
          <w:tab w:val="num" w:pos="1440"/>
        </w:tabs>
        <w:ind w:left="1440" w:hanging="360"/>
      </w:pPr>
      <w:rPr>
        <w:rFonts w:ascii="Arial" w:hAnsi="Arial" w:hint="default"/>
      </w:rPr>
    </w:lvl>
    <w:lvl w:ilvl="2" w:tplc="71DA4E32" w:tentative="1">
      <w:start w:val="1"/>
      <w:numFmt w:val="bullet"/>
      <w:lvlText w:val="•"/>
      <w:lvlJc w:val="left"/>
      <w:pPr>
        <w:tabs>
          <w:tab w:val="num" w:pos="2160"/>
        </w:tabs>
        <w:ind w:left="2160" w:hanging="360"/>
      </w:pPr>
      <w:rPr>
        <w:rFonts w:ascii="Arial" w:hAnsi="Arial" w:hint="default"/>
      </w:rPr>
    </w:lvl>
    <w:lvl w:ilvl="3" w:tplc="5288C2E8" w:tentative="1">
      <w:start w:val="1"/>
      <w:numFmt w:val="bullet"/>
      <w:lvlText w:val="•"/>
      <w:lvlJc w:val="left"/>
      <w:pPr>
        <w:tabs>
          <w:tab w:val="num" w:pos="2880"/>
        </w:tabs>
        <w:ind w:left="2880" w:hanging="360"/>
      </w:pPr>
      <w:rPr>
        <w:rFonts w:ascii="Arial" w:hAnsi="Arial" w:hint="default"/>
      </w:rPr>
    </w:lvl>
    <w:lvl w:ilvl="4" w:tplc="BE6A987E" w:tentative="1">
      <w:start w:val="1"/>
      <w:numFmt w:val="bullet"/>
      <w:lvlText w:val="•"/>
      <w:lvlJc w:val="left"/>
      <w:pPr>
        <w:tabs>
          <w:tab w:val="num" w:pos="3600"/>
        </w:tabs>
        <w:ind w:left="3600" w:hanging="360"/>
      </w:pPr>
      <w:rPr>
        <w:rFonts w:ascii="Arial" w:hAnsi="Arial" w:hint="default"/>
      </w:rPr>
    </w:lvl>
    <w:lvl w:ilvl="5" w:tplc="A372C418" w:tentative="1">
      <w:start w:val="1"/>
      <w:numFmt w:val="bullet"/>
      <w:lvlText w:val="•"/>
      <w:lvlJc w:val="left"/>
      <w:pPr>
        <w:tabs>
          <w:tab w:val="num" w:pos="4320"/>
        </w:tabs>
        <w:ind w:left="4320" w:hanging="360"/>
      </w:pPr>
      <w:rPr>
        <w:rFonts w:ascii="Arial" w:hAnsi="Arial" w:hint="default"/>
      </w:rPr>
    </w:lvl>
    <w:lvl w:ilvl="6" w:tplc="829AC5EA" w:tentative="1">
      <w:start w:val="1"/>
      <w:numFmt w:val="bullet"/>
      <w:lvlText w:val="•"/>
      <w:lvlJc w:val="left"/>
      <w:pPr>
        <w:tabs>
          <w:tab w:val="num" w:pos="5040"/>
        </w:tabs>
        <w:ind w:left="5040" w:hanging="360"/>
      </w:pPr>
      <w:rPr>
        <w:rFonts w:ascii="Arial" w:hAnsi="Arial" w:hint="default"/>
      </w:rPr>
    </w:lvl>
    <w:lvl w:ilvl="7" w:tplc="24F41F3A" w:tentative="1">
      <w:start w:val="1"/>
      <w:numFmt w:val="bullet"/>
      <w:lvlText w:val="•"/>
      <w:lvlJc w:val="left"/>
      <w:pPr>
        <w:tabs>
          <w:tab w:val="num" w:pos="5760"/>
        </w:tabs>
        <w:ind w:left="5760" w:hanging="360"/>
      </w:pPr>
      <w:rPr>
        <w:rFonts w:ascii="Arial" w:hAnsi="Arial" w:hint="default"/>
      </w:rPr>
    </w:lvl>
    <w:lvl w:ilvl="8" w:tplc="3828CDB4" w:tentative="1">
      <w:start w:val="1"/>
      <w:numFmt w:val="bullet"/>
      <w:lvlText w:val="•"/>
      <w:lvlJc w:val="left"/>
      <w:pPr>
        <w:tabs>
          <w:tab w:val="num" w:pos="6480"/>
        </w:tabs>
        <w:ind w:left="6480" w:hanging="360"/>
      </w:pPr>
      <w:rPr>
        <w:rFonts w:ascii="Arial" w:hAnsi="Arial" w:hint="default"/>
      </w:rPr>
    </w:lvl>
  </w:abstractNum>
  <w:abstractNum w:abstractNumId="34">
    <w:nsid w:val="6D145DF5"/>
    <w:multiLevelType w:val="hybridMultilevel"/>
    <w:tmpl w:val="4308D54E"/>
    <w:lvl w:ilvl="0" w:tplc="68C849A6">
      <w:numFmt w:val="bullet"/>
      <w:lvlText w:val="•"/>
      <w:lvlJc w:val="left"/>
      <w:pPr>
        <w:ind w:left="720" w:hanging="360"/>
      </w:pPr>
      <w:rPr>
        <w:rFonts w:ascii="Calibri" w:eastAsiaTheme="minorHAnsi" w:hAnsi="Calibri"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nsid w:val="74122F6E"/>
    <w:multiLevelType w:val="hybridMultilevel"/>
    <w:tmpl w:val="9808CF24"/>
    <w:lvl w:ilvl="0" w:tplc="68C849A6">
      <w:numFmt w:val="bullet"/>
      <w:lvlText w:val="•"/>
      <w:lvlJc w:val="left"/>
      <w:pPr>
        <w:ind w:left="720" w:hanging="360"/>
      </w:pPr>
      <w:rPr>
        <w:rFonts w:ascii="Calibri" w:eastAsiaTheme="minorHAnsi" w:hAnsi="Calibri"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nsid w:val="74715FB1"/>
    <w:multiLevelType w:val="hybridMultilevel"/>
    <w:tmpl w:val="93E2F114"/>
    <w:lvl w:ilvl="0" w:tplc="456A4DDC">
      <w:start w:val="1"/>
      <w:numFmt w:val="bullet"/>
      <w:lvlText w:val="•"/>
      <w:lvlJc w:val="left"/>
      <w:pPr>
        <w:tabs>
          <w:tab w:val="num" w:pos="720"/>
        </w:tabs>
        <w:ind w:left="720" w:hanging="360"/>
      </w:pPr>
      <w:rPr>
        <w:rFonts w:ascii="Arial" w:hAnsi="Arial" w:hint="default"/>
      </w:rPr>
    </w:lvl>
    <w:lvl w:ilvl="1" w:tplc="5CE41C28" w:tentative="1">
      <w:start w:val="1"/>
      <w:numFmt w:val="bullet"/>
      <w:lvlText w:val="•"/>
      <w:lvlJc w:val="left"/>
      <w:pPr>
        <w:tabs>
          <w:tab w:val="num" w:pos="1440"/>
        </w:tabs>
        <w:ind w:left="1440" w:hanging="360"/>
      </w:pPr>
      <w:rPr>
        <w:rFonts w:ascii="Arial" w:hAnsi="Arial" w:hint="default"/>
      </w:rPr>
    </w:lvl>
    <w:lvl w:ilvl="2" w:tplc="AAE00614" w:tentative="1">
      <w:start w:val="1"/>
      <w:numFmt w:val="bullet"/>
      <w:lvlText w:val="•"/>
      <w:lvlJc w:val="left"/>
      <w:pPr>
        <w:tabs>
          <w:tab w:val="num" w:pos="2160"/>
        </w:tabs>
        <w:ind w:left="2160" w:hanging="360"/>
      </w:pPr>
      <w:rPr>
        <w:rFonts w:ascii="Arial" w:hAnsi="Arial" w:hint="default"/>
      </w:rPr>
    </w:lvl>
    <w:lvl w:ilvl="3" w:tplc="7A7C6586" w:tentative="1">
      <w:start w:val="1"/>
      <w:numFmt w:val="bullet"/>
      <w:lvlText w:val="•"/>
      <w:lvlJc w:val="left"/>
      <w:pPr>
        <w:tabs>
          <w:tab w:val="num" w:pos="2880"/>
        </w:tabs>
        <w:ind w:left="2880" w:hanging="360"/>
      </w:pPr>
      <w:rPr>
        <w:rFonts w:ascii="Arial" w:hAnsi="Arial" w:hint="default"/>
      </w:rPr>
    </w:lvl>
    <w:lvl w:ilvl="4" w:tplc="53345736" w:tentative="1">
      <w:start w:val="1"/>
      <w:numFmt w:val="bullet"/>
      <w:lvlText w:val="•"/>
      <w:lvlJc w:val="left"/>
      <w:pPr>
        <w:tabs>
          <w:tab w:val="num" w:pos="3600"/>
        </w:tabs>
        <w:ind w:left="3600" w:hanging="360"/>
      </w:pPr>
      <w:rPr>
        <w:rFonts w:ascii="Arial" w:hAnsi="Arial" w:hint="default"/>
      </w:rPr>
    </w:lvl>
    <w:lvl w:ilvl="5" w:tplc="0868CF72" w:tentative="1">
      <w:start w:val="1"/>
      <w:numFmt w:val="bullet"/>
      <w:lvlText w:val="•"/>
      <w:lvlJc w:val="left"/>
      <w:pPr>
        <w:tabs>
          <w:tab w:val="num" w:pos="4320"/>
        </w:tabs>
        <w:ind w:left="4320" w:hanging="360"/>
      </w:pPr>
      <w:rPr>
        <w:rFonts w:ascii="Arial" w:hAnsi="Arial" w:hint="default"/>
      </w:rPr>
    </w:lvl>
    <w:lvl w:ilvl="6" w:tplc="C02A8A34" w:tentative="1">
      <w:start w:val="1"/>
      <w:numFmt w:val="bullet"/>
      <w:lvlText w:val="•"/>
      <w:lvlJc w:val="left"/>
      <w:pPr>
        <w:tabs>
          <w:tab w:val="num" w:pos="5040"/>
        </w:tabs>
        <w:ind w:left="5040" w:hanging="360"/>
      </w:pPr>
      <w:rPr>
        <w:rFonts w:ascii="Arial" w:hAnsi="Arial" w:hint="default"/>
      </w:rPr>
    </w:lvl>
    <w:lvl w:ilvl="7" w:tplc="57945522" w:tentative="1">
      <w:start w:val="1"/>
      <w:numFmt w:val="bullet"/>
      <w:lvlText w:val="•"/>
      <w:lvlJc w:val="left"/>
      <w:pPr>
        <w:tabs>
          <w:tab w:val="num" w:pos="5760"/>
        </w:tabs>
        <w:ind w:left="5760" w:hanging="360"/>
      </w:pPr>
      <w:rPr>
        <w:rFonts w:ascii="Arial" w:hAnsi="Arial" w:hint="default"/>
      </w:rPr>
    </w:lvl>
    <w:lvl w:ilvl="8" w:tplc="7BFE47E6" w:tentative="1">
      <w:start w:val="1"/>
      <w:numFmt w:val="bullet"/>
      <w:lvlText w:val="•"/>
      <w:lvlJc w:val="left"/>
      <w:pPr>
        <w:tabs>
          <w:tab w:val="num" w:pos="6480"/>
        </w:tabs>
        <w:ind w:left="6480" w:hanging="360"/>
      </w:pPr>
      <w:rPr>
        <w:rFonts w:ascii="Arial" w:hAnsi="Arial" w:hint="default"/>
      </w:rPr>
    </w:lvl>
  </w:abstractNum>
  <w:abstractNum w:abstractNumId="37">
    <w:nsid w:val="7B257EA3"/>
    <w:multiLevelType w:val="hybridMultilevel"/>
    <w:tmpl w:val="6BA8A084"/>
    <w:lvl w:ilvl="0" w:tplc="A60CC34C">
      <w:start w:val="1"/>
      <w:numFmt w:val="bullet"/>
      <w:lvlText w:val="•"/>
      <w:lvlJc w:val="left"/>
      <w:pPr>
        <w:ind w:left="720" w:hanging="360"/>
      </w:pPr>
      <w:rPr>
        <w:rFonts w:ascii="Times New Roman" w:hAnsi="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nsid w:val="7B293015"/>
    <w:multiLevelType w:val="hybridMultilevel"/>
    <w:tmpl w:val="B4E4FF64"/>
    <w:lvl w:ilvl="0" w:tplc="451CA780">
      <w:start w:val="1"/>
      <w:numFmt w:val="bullet"/>
      <w:lvlText w:val="•"/>
      <w:lvlJc w:val="left"/>
      <w:pPr>
        <w:tabs>
          <w:tab w:val="num" w:pos="720"/>
        </w:tabs>
        <w:ind w:left="720" w:hanging="360"/>
      </w:pPr>
      <w:rPr>
        <w:rFonts w:ascii="Times New Roman" w:hAnsi="Times New Roman" w:hint="default"/>
      </w:rPr>
    </w:lvl>
    <w:lvl w:ilvl="1" w:tplc="46DA6E6A" w:tentative="1">
      <w:start w:val="1"/>
      <w:numFmt w:val="bullet"/>
      <w:lvlText w:val="•"/>
      <w:lvlJc w:val="left"/>
      <w:pPr>
        <w:tabs>
          <w:tab w:val="num" w:pos="1440"/>
        </w:tabs>
        <w:ind w:left="1440" w:hanging="360"/>
      </w:pPr>
      <w:rPr>
        <w:rFonts w:ascii="Times New Roman" w:hAnsi="Times New Roman" w:hint="default"/>
      </w:rPr>
    </w:lvl>
    <w:lvl w:ilvl="2" w:tplc="5F14EB3E" w:tentative="1">
      <w:start w:val="1"/>
      <w:numFmt w:val="bullet"/>
      <w:lvlText w:val="•"/>
      <w:lvlJc w:val="left"/>
      <w:pPr>
        <w:tabs>
          <w:tab w:val="num" w:pos="2160"/>
        </w:tabs>
        <w:ind w:left="2160" w:hanging="360"/>
      </w:pPr>
      <w:rPr>
        <w:rFonts w:ascii="Times New Roman" w:hAnsi="Times New Roman" w:hint="default"/>
      </w:rPr>
    </w:lvl>
    <w:lvl w:ilvl="3" w:tplc="6CE636A0" w:tentative="1">
      <w:start w:val="1"/>
      <w:numFmt w:val="bullet"/>
      <w:lvlText w:val="•"/>
      <w:lvlJc w:val="left"/>
      <w:pPr>
        <w:tabs>
          <w:tab w:val="num" w:pos="2880"/>
        </w:tabs>
        <w:ind w:left="2880" w:hanging="360"/>
      </w:pPr>
      <w:rPr>
        <w:rFonts w:ascii="Times New Roman" w:hAnsi="Times New Roman" w:hint="default"/>
      </w:rPr>
    </w:lvl>
    <w:lvl w:ilvl="4" w:tplc="FAF4ED30" w:tentative="1">
      <w:start w:val="1"/>
      <w:numFmt w:val="bullet"/>
      <w:lvlText w:val="•"/>
      <w:lvlJc w:val="left"/>
      <w:pPr>
        <w:tabs>
          <w:tab w:val="num" w:pos="3600"/>
        </w:tabs>
        <w:ind w:left="3600" w:hanging="360"/>
      </w:pPr>
      <w:rPr>
        <w:rFonts w:ascii="Times New Roman" w:hAnsi="Times New Roman" w:hint="default"/>
      </w:rPr>
    </w:lvl>
    <w:lvl w:ilvl="5" w:tplc="CE66BB0C" w:tentative="1">
      <w:start w:val="1"/>
      <w:numFmt w:val="bullet"/>
      <w:lvlText w:val="•"/>
      <w:lvlJc w:val="left"/>
      <w:pPr>
        <w:tabs>
          <w:tab w:val="num" w:pos="4320"/>
        </w:tabs>
        <w:ind w:left="4320" w:hanging="360"/>
      </w:pPr>
      <w:rPr>
        <w:rFonts w:ascii="Times New Roman" w:hAnsi="Times New Roman" w:hint="default"/>
      </w:rPr>
    </w:lvl>
    <w:lvl w:ilvl="6" w:tplc="5552957A" w:tentative="1">
      <w:start w:val="1"/>
      <w:numFmt w:val="bullet"/>
      <w:lvlText w:val="•"/>
      <w:lvlJc w:val="left"/>
      <w:pPr>
        <w:tabs>
          <w:tab w:val="num" w:pos="5040"/>
        </w:tabs>
        <w:ind w:left="5040" w:hanging="360"/>
      </w:pPr>
      <w:rPr>
        <w:rFonts w:ascii="Times New Roman" w:hAnsi="Times New Roman" w:hint="default"/>
      </w:rPr>
    </w:lvl>
    <w:lvl w:ilvl="7" w:tplc="F65002FC" w:tentative="1">
      <w:start w:val="1"/>
      <w:numFmt w:val="bullet"/>
      <w:lvlText w:val="•"/>
      <w:lvlJc w:val="left"/>
      <w:pPr>
        <w:tabs>
          <w:tab w:val="num" w:pos="5760"/>
        </w:tabs>
        <w:ind w:left="5760" w:hanging="360"/>
      </w:pPr>
      <w:rPr>
        <w:rFonts w:ascii="Times New Roman" w:hAnsi="Times New Roman" w:hint="default"/>
      </w:rPr>
    </w:lvl>
    <w:lvl w:ilvl="8" w:tplc="E6144600" w:tentative="1">
      <w:start w:val="1"/>
      <w:numFmt w:val="bullet"/>
      <w:lvlText w:val="•"/>
      <w:lvlJc w:val="left"/>
      <w:pPr>
        <w:tabs>
          <w:tab w:val="num" w:pos="6480"/>
        </w:tabs>
        <w:ind w:left="6480" w:hanging="360"/>
      </w:pPr>
      <w:rPr>
        <w:rFonts w:ascii="Times New Roman" w:hAnsi="Times New Roman" w:hint="default"/>
      </w:rPr>
    </w:lvl>
  </w:abstractNum>
  <w:abstractNum w:abstractNumId="39">
    <w:nsid w:val="7FE54DA3"/>
    <w:multiLevelType w:val="hybridMultilevel"/>
    <w:tmpl w:val="C950A52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0"/>
  </w:num>
  <w:num w:numId="2">
    <w:abstractNumId w:val="20"/>
  </w:num>
  <w:num w:numId="3">
    <w:abstractNumId w:val="26"/>
  </w:num>
  <w:num w:numId="4">
    <w:abstractNumId w:val="23"/>
  </w:num>
  <w:num w:numId="5">
    <w:abstractNumId w:val="32"/>
  </w:num>
  <w:num w:numId="6">
    <w:abstractNumId w:val="12"/>
  </w:num>
  <w:num w:numId="7">
    <w:abstractNumId w:val="6"/>
  </w:num>
  <w:num w:numId="8">
    <w:abstractNumId w:val="15"/>
  </w:num>
  <w:num w:numId="9">
    <w:abstractNumId w:val="9"/>
  </w:num>
  <w:num w:numId="10">
    <w:abstractNumId w:val="37"/>
  </w:num>
  <w:num w:numId="11">
    <w:abstractNumId w:val="8"/>
  </w:num>
  <w:num w:numId="12">
    <w:abstractNumId w:val="35"/>
  </w:num>
  <w:num w:numId="13">
    <w:abstractNumId w:val="1"/>
  </w:num>
  <w:num w:numId="14">
    <w:abstractNumId w:val="28"/>
  </w:num>
  <w:num w:numId="15">
    <w:abstractNumId w:val="16"/>
  </w:num>
  <w:num w:numId="16">
    <w:abstractNumId w:val="39"/>
  </w:num>
  <w:num w:numId="17">
    <w:abstractNumId w:val="22"/>
  </w:num>
  <w:num w:numId="18">
    <w:abstractNumId w:val="4"/>
  </w:num>
  <w:num w:numId="19">
    <w:abstractNumId w:val="30"/>
  </w:num>
  <w:num w:numId="20">
    <w:abstractNumId w:val="25"/>
  </w:num>
  <w:num w:numId="21">
    <w:abstractNumId w:val="34"/>
  </w:num>
  <w:num w:numId="22">
    <w:abstractNumId w:val="19"/>
  </w:num>
  <w:num w:numId="23">
    <w:abstractNumId w:val="18"/>
  </w:num>
  <w:num w:numId="24">
    <w:abstractNumId w:val="0"/>
  </w:num>
  <w:num w:numId="25">
    <w:abstractNumId w:val="21"/>
  </w:num>
  <w:num w:numId="26">
    <w:abstractNumId w:val="7"/>
  </w:num>
  <w:num w:numId="27">
    <w:abstractNumId w:val="17"/>
  </w:num>
  <w:num w:numId="28">
    <w:abstractNumId w:val="14"/>
  </w:num>
  <w:num w:numId="29">
    <w:abstractNumId w:val="38"/>
  </w:num>
  <w:num w:numId="30">
    <w:abstractNumId w:val="5"/>
  </w:num>
  <w:num w:numId="31">
    <w:abstractNumId w:val="3"/>
  </w:num>
  <w:num w:numId="32">
    <w:abstractNumId w:val="24"/>
  </w:num>
  <w:num w:numId="33">
    <w:abstractNumId w:val="2"/>
  </w:num>
  <w:num w:numId="34">
    <w:abstractNumId w:val="31"/>
  </w:num>
  <w:num w:numId="35">
    <w:abstractNumId w:val="36"/>
  </w:num>
  <w:num w:numId="36">
    <w:abstractNumId w:val="33"/>
  </w:num>
  <w:num w:numId="37">
    <w:abstractNumId w:val="27"/>
  </w:num>
  <w:num w:numId="38">
    <w:abstractNumId w:val="13"/>
  </w:num>
  <w:num w:numId="39">
    <w:abstractNumId w:val="11"/>
  </w:num>
  <w:num w:numId="40">
    <w:abstractNumId w:val="2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defaultTabStop w:val="720"/>
  <w:doNotHyphenateCaps/>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AEA"/>
    <w:rsid w:val="000001B9"/>
    <w:rsid w:val="00000DC8"/>
    <w:rsid w:val="00001164"/>
    <w:rsid w:val="000019F2"/>
    <w:rsid w:val="00001A2C"/>
    <w:rsid w:val="00001A36"/>
    <w:rsid w:val="00001B94"/>
    <w:rsid w:val="0000252A"/>
    <w:rsid w:val="000025CB"/>
    <w:rsid w:val="000026C9"/>
    <w:rsid w:val="0000281D"/>
    <w:rsid w:val="00002CAC"/>
    <w:rsid w:val="00003139"/>
    <w:rsid w:val="0000315D"/>
    <w:rsid w:val="0000359E"/>
    <w:rsid w:val="00003B0E"/>
    <w:rsid w:val="0000425C"/>
    <w:rsid w:val="00004D24"/>
    <w:rsid w:val="000053CB"/>
    <w:rsid w:val="000054F2"/>
    <w:rsid w:val="00005797"/>
    <w:rsid w:val="00005D34"/>
    <w:rsid w:val="00005E47"/>
    <w:rsid w:val="00006A60"/>
    <w:rsid w:val="00006E86"/>
    <w:rsid w:val="000072BD"/>
    <w:rsid w:val="000072C2"/>
    <w:rsid w:val="00007771"/>
    <w:rsid w:val="0000790D"/>
    <w:rsid w:val="00007EFB"/>
    <w:rsid w:val="0001093E"/>
    <w:rsid w:val="000110BC"/>
    <w:rsid w:val="000113A7"/>
    <w:rsid w:val="00011494"/>
    <w:rsid w:val="0001151C"/>
    <w:rsid w:val="00011F5F"/>
    <w:rsid w:val="000121A1"/>
    <w:rsid w:val="0001249A"/>
    <w:rsid w:val="000127F6"/>
    <w:rsid w:val="00012C19"/>
    <w:rsid w:val="00012D3E"/>
    <w:rsid w:val="000134C6"/>
    <w:rsid w:val="00013C37"/>
    <w:rsid w:val="00013DEF"/>
    <w:rsid w:val="00013EB0"/>
    <w:rsid w:val="0001439B"/>
    <w:rsid w:val="00014813"/>
    <w:rsid w:val="00014DD5"/>
    <w:rsid w:val="00014DFE"/>
    <w:rsid w:val="00014EC9"/>
    <w:rsid w:val="00015046"/>
    <w:rsid w:val="00015A31"/>
    <w:rsid w:val="000160DD"/>
    <w:rsid w:val="0001666D"/>
    <w:rsid w:val="000166E3"/>
    <w:rsid w:val="0001687A"/>
    <w:rsid w:val="00017982"/>
    <w:rsid w:val="00017D8A"/>
    <w:rsid w:val="00017E85"/>
    <w:rsid w:val="00020217"/>
    <w:rsid w:val="00020927"/>
    <w:rsid w:val="00020EEB"/>
    <w:rsid w:val="00021224"/>
    <w:rsid w:val="000212D9"/>
    <w:rsid w:val="00021310"/>
    <w:rsid w:val="00021C37"/>
    <w:rsid w:val="000220D5"/>
    <w:rsid w:val="00022192"/>
    <w:rsid w:val="00022740"/>
    <w:rsid w:val="00022E9F"/>
    <w:rsid w:val="00023084"/>
    <w:rsid w:val="000232A3"/>
    <w:rsid w:val="00023D13"/>
    <w:rsid w:val="00023FAC"/>
    <w:rsid w:val="00024314"/>
    <w:rsid w:val="00025202"/>
    <w:rsid w:val="00026C95"/>
    <w:rsid w:val="00031240"/>
    <w:rsid w:val="000315E0"/>
    <w:rsid w:val="000316E5"/>
    <w:rsid w:val="00031CF2"/>
    <w:rsid w:val="00031D7E"/>
    <w:rsid w:val="00031F31"/>
    <w:rsid w:val="0003233D"/>
    <w:rsid w:val="00033090"/>
    <w:rsid w:val="00033813"/>
    <w:rsid w:val="00033856"/>
    <w:rsid w:val="00034106"/>
    <w:rsid w:val="0003414B"/>
    <w:rsid w:val="00034361"/>
    <w:rsid w:val="0003502B"/>
    <w:rsid w:val="0003544C"/>
    <w:rsid w:val="0003561C"/>
    <w:rsid w:val="00035AE2"/>
    <w:rsid w:val="00035C81"/>
    <w:rsid w:val="00035FE7"/>
    <w:rsid w:val="000362D6"/>
    <w:rsid w:val="000366F5"/>
    <w:rsid w:val="00037000"/>
    <w:rsid w:val="00037313"/>
    <w:rsid w:val="00037635"/>
    <w:rsid w:val="00040178"/>
    <w:rsid w:val="0004072C"/>
    <w:rsid w:val="00040834"/>
    <w:rsid w:val="00040A8E"/>
    <w:rsid w:val="00040BEB"/>
    <w:rsid w:val="00040D3D"/>
    <w:rsid w:val="00041310"/>
    <w:rsid w:val="00041953"/>
    <w:rsid w:val="000419FC"/>
    <w:rsid w:val="00041F17"/>
    <w:rsid w:val="00042864"/>
    <w:rsid w:val="0004363F"/>
    <w:rsid w:val="0004373F"/>
    <w:rsid w:val="00043810"/>
    <w:rsid w:val="00044577"/>
    <w:rsid w:val="000445AC"/>
    <w:rsid w:val="00044B68"/>
    <w:rsid w:val="00045282"/>
    <w:rsid w:val="0004536D"/>
    <w:rsid w:val="00045B86"/>
    <w:rsid w:val="000462F9"/>
    <w:rsid w:val="0004639E"/>
    <w:rsid w:val="000469C6"/>
    <w:rsid w:val="00046F26"/>
    <w:rsid w:val="0004704F"/>
    <w:rsid w:val="00047587"/>
    <w:rsid w:val="00047B03"/>
    <w:rsid w:val="00047FC8"/>
    <w:rsid w:val="0005007A"/>
    <w:rsid w:val="0005064D"/>
    <w:rsid w:val="00050675"/>
    <w:rsid w:val="00050BC4"/>
    <w:rsid w:val="00050F85"/>
    <w:rsid w:val="00050FAB"/>
    <w:rsid w:val="000510DD"/>
    <w:rsid w:val="00051166"/>
    <w:rsid w:val="0005189D"/>
    <w:rsid w:val="00051DDD"/>
    <w:rsid w:val="00051F59"/>
    <w:rsid w:val="00052029"/>
    <w:rsid w:val="000524AF"/>
    <w:rsid w:val="00052AF1"/>
    <w:rsid w:val="00052FAA"/>
    <w:rsid w:val="00053123"/>
    <w:rsid w:val="0005368F"/>
    <w:rsid w:val="000537D0"/>
    <w:rsid w:val="00054CA8"/>
    <w:rsid w:val="00055660"/>
    <w:rsid w:val="00055725"/>
    <w:rsid w:val="00055AA9"/>
    <w:rsid w:val="00055CF1"/>
    <w:rsid w:val="00056573"/>
    <w:rsid w:val="00056575"/>
    <w:rsid w:val="00056702"/>
    <w:rsid w:val="000571AE"/>
    <w:rsid w:val="000575FA"/>
    <w:rsid w:val="00057715"/>
    <w:rsid w:val="0005786E"/>
    <w:rsid w:val="00060215"/>
    <w:rsid w:val="000602DC"/>
    <w:rsid w:val="000604BC"/>
    <w:rsid w:val="00060A36"/>
    <w:rsid w:val="00060FB9"/>
    <w:rsid w:val="000619D5"/>
    <w:rsid w:val="00061B22"/>
    <w:rsid w:val="00062195"/>
    <w:rsid w:val="00062841"/>
    <w:rsid w:val="000630F1"/>
    <w:rsid w:val="00063822"/>
    <w:rsid w:val="000639D7"/>
    <w:rsid w:val="0006448D"/>
    <w:rsid w:val="00065139"/>
    <w:rsid w:val="00065ABE"/>
    <w:rsid w:val="00065ACD"/>
    <w:rsid w:val="00065C32"/>
    <w:rsid w:val="00066287"/>
    <w:rsid w:val="00066497"/>
    <w:rsid w:val="0006651D"/>
    <w:rsid w:val="000668E9"/>
    <w:rsid w:val="000669A2"/>
    <w:rsid w:val="00066B92"/>
    <w:rsid w:val="00066BDA"/>
    <w:rsid w:val="00066CFF"/>
    <w:rsid w:val="0006747F"/>
    <w:rsid w:val="00067A03"/>
    <w:rsid w:val="00067F2A"/>
    <w:rsid w:val="00067FA4"/>
    <w:rsid w:val="00070516"/>
    <w:rsid w:val="000705A2"/>
    <w:rsid w:val="000705ED"/>
    <w:rsid w:val="00070893"/>
    <w:rsid w:val="00071669"/>
    <w:rsid w:val="000719FA"/>
    <w:rsid w:val="00071C72"/>
    <w:rsid w:val="00071E97"/>
    <w:rsid w:val="00072662"/>
    <w:rsid w:val="000728C3"/>
    <w:rsid w:val="00073026"/>
    <w:rsid w:val="00073049"/>
    <w:rsid w:val="000743A1"/>
    <w:rsid w:val="0007447F"/>
    <w:rsid w:val="000745F2"/>
    <w:rsid w:val="00074822"/>
    <w:rsid w:val="00074857"/>
    <w:rsid w:val="00074902"/>
    <w:rsid w:val="00074CE0"/>
    <w:rsid w:val="00075375"/>
    <w:rsid w:val="00075A04"/>
    <w:rsid w:val="00075F3D"/>
    <w:rsid w:val="00076184"/>
    <w:rsid w:val="0007654F"/>
    <w:rsid w:val="00076AEF"/>
    <w:rsid w:val="00076C55"/>
    <w:rsid w:val="00077A18"/>
    <w:rsid w:val="00077BE6"/>
    <w:rsid w:val="00077EBF"/>
    <w:rsid w:val="00077FC4"/>
    <w:rsid w:val="0008074E"/>
    <w:rsid w:val="00080C58"/>
    <w:rsid w:val="00081FDB"/>
    <w:rsid w:val="000828EE"/>
    <w:rsid w:val="00082955"/>
    <w:rsid w:val="00083957"/>
    <w:rsid w:val="00083AA4"/>
    <w:rsid w:val="00083DAE"/>
    <w:rsid w:val="00083F25"/>
    <w:rsid w:val="0008455A"/>
    <w:rsid w:val="00084C11"/>
    <w:rsid w:val="00084F64"/>
    <w:rsid w:val="0008529F"/>
    <w:rsid w:val="000852E0"/>
    <w:rsid w:val="00085573"/>
    <w:rsid w:val="000856D7"/>
    <w:rsid w:val="00085E40"/>
    <w:rsid w:val="00085EAF"/>
    <w:rsid w:val="00085F76"/>
    <w:rsid w:val="00086212"/>
    <w:rsid w:val="00086393"/>
    <w:rsid w:val="000865CF"/>
    <w:rsid w:val="0008666A"/>
    <w:rsid w:val="00087339"/>
    <w:rsid w:val="0008794A"/>
    <w:rsid w:val="00090283"/>
    <w:rsid w:val="000904BB"/>
    <w:rsid w:val="00090694"/>
    <w:rsid w:val="0009086E"/>
    <w:rsid w:val="000908E2"/>
    <w:rsid w:val="00090947"/>
    <w:rsid w:val="000909A7"/>
    <w:rsid w:val="00090A62"/>
    <w:rsid w:val="00090A73"/>
    <w:rsid w:val="00090CB0"/>
    <w:rsid w:val="000913A5"/>
    <w:rsid w:val="000916C8"/>
    <w:rsid w:val="00092448"/>
    <w:rsid w:val="00092743"/>
    <w:rsid w:val="00093228"/>
    <w:rsid w:val="00093CCF"/>
    <w:rsid w:val="0009409E"/>
    <w:rsid w:val="00094198"/>
    <w:rsid w:val="00094381"/>
    <w:rsid w:val="00094AD4"/>
    <w:rsid w:val="00094F9B"/>
    <w:rsid w:val="00095425"/>
    <w:rsid w:val="00095DA4"/>
    <w:rsid w:val="0009755C"/>
    <w:rsid w:val="00097778"/>
    <w:rsid w:val="0009789F"/>
    <w:rsid w:val="000979F5"/>
    <w:rsid w:val="00097AE3"/>
    <w:rsid w:val="00097C4A"/>
    <w:rsid w:val="00097E47"/>
    <w:rsid w:val="000A034C"/>
    <w:rsid w:val="000A0ED9"/>
    <w:rsid w:val="000A1354"/>
    <w:rsid w:val="000A1985"/>
    <w:rsid w:val="000A1AEC"/>
    <w:rsid w:val="000A1BD0"/>
    <w:rsid w:val="000A241B"/>
    <w:rsid w:val="000A2834"/>
    <w:rsid w:val="000A2975"/>
    <w:rsid w:val="000A311B"/>
    <w:rsid w:val="000A3407"/>
    <w:rsid w:val="000A3BC9"/>
    <w:rsid w:val="000A4054"/>
    <w:rsid w:val="000A4140"/>
    <w:rsid w:val="000A4234"/>
    <w:rsid w:val="000A42A2"/>
    <w:rsid w:val="000A435C"/>
    <w:rsid w:val="000A4939"/>
    <w:rsid w:val="000A49F2"/>
    <w:rsid w:val="000A4E1B"/>
    <w:rsid w:val="000A5162"/>
    <w:rsid w:val="000A5760"/>
    <w:rsid w:val="000A58C7"/>
    <w:rsid w:val="000A5902"/>
    <w:rsid w:val="000A5FC7"/>
    <w:rsid w:val="000A6639"/>
    <w:rsid w:val="000A69DF"/>
    <w:rsid w:val="000A69F8"/>
    <w:rsid w:val="000A6D3C"/>
    <w:rsid w:val="000A6EF9"/>
    <w:rsid w:val="000A71E3"/>
    <w:rsid w:val="000A7C83"/>
    <w:rsid w:val="000A7D45"/>
    <w:rsid w:val="000A7DBD"/>
    <w:rsid w:val="000A7E7D"/>
    <w:rsid w:val="000A7F3E"/>
    <w:rsid w:val="000B09AB"/>
    <w:rsid w:val="000B1659"/>
    <w:rsid w:val="000B1C2D"/>
    <w:rsid w:val="000B2080"/>
    <w:rsid w:val="000B20A5"/>
    <w:rsid w:val="000B20BA"/>
    <w:rsid w:val="000B27DF"/>
    <w:rsid w:val="000B2A46"/>
    <w:rsid w:val="000B2EF0"/>
    <w:rsid w:val="000B3C62"/>
    <w:rsid w:val="000B4954"/>
    <w:rsid w:val="000B4987"/>
    <w:rsid w:val="000B4D25"/>
    <w:rsid w:val="000B4EF8"/>
    <w:rsid w:val="000B537C"/>
    <w:rsid w:val="000B5BE7"/>
    <w:rsid w:val="000B5F28"/>
    <w:rsid w:val="000B6C92"/>
    <w:rsid w:val="000B6CBF"/>
    <w:rsid w:val="000B6E41"/>
    <w:rsid w:val="000B7845"/>
    <w:rsid w:val="000B7CFB"/>
    <w:rsid w:val="000C0A94"/>
    <w:rsid w:val="000C14A0"/>
    <w:rsid w:val="000C1A06"/>
    <w:rsid w:val="000C1B9E"/>
    <w:rsid w:val="000C1D0F"/>
    <w:rsid w:val="000C20FF"/>
    <w:rsid w:val="000C2C34"/>
    <w:rsid w:val="000C33FE"/>
    <w:rsid w:val="000C3522"/>
    <w:rsid w:val="000C3A1F"/>
    <w:rsid w:val="000C3BCA"/>
    <w:rsid w:val="000C425F"/>
    <w:rsid w:val="000C4297"/>
    <w:rsid w:val="000C4309"/>
    <w:rsid w:val="000C4A11"/>
    <w:rsid w:val="000C5007"/>
    <w:rsid w:val="000C5241"/>
    <w:rsid w:val="000C52ED"/>
    <w:rsid w:val="000C617E"/>
    <w:rsid w:val="000C6304"/>
    <w:rsid w:val="000C6AD0"/>
    <w:rsid w:val="000C6C9F"/>
    <w:rsid w:val="000C764B"/>
    <w:rsid w:val="000C7DE6"/>
    <w:rsid w:val="000C7DE7"/>
    <w:rsid w:val="000D0460"/>
    <w:rsid w:val="000D04D3"/>
    <w:rsid w:val="000D07A7"/>
    <w:rsid w:val="000D09B8"/>
    <w:rsid w:val="000D0F44"/>
    <w:rsid w:val="000D1470"/>
    <w:rsid w:val="000D236D"/>
    <w:rsid w:val="000D2602"/>
    <w:rsid w:val="000D285C"/>
    <w:rsid w:val="000D2BA1"/>
    <w:rsid w:val="000D2D01"/>
    <w:rsid w:val="000D31B5"/>
    <w:rsid w:val="000D34CA"/>
    <w:rsid w:val="000D3C95"/>
    <w:rsid w:val="000D3D6B"/>
    <w:rsid w:val="000D40FC"/>
    <w:rsid w:val="000D4AC4"/>
    <w:rsid w:val="000D4D6A"/>
    <w:rsid w:val="000D5416"/>
    <w:rsid w:val="000D5946"/>
    <w:rsid w:val="000D5B38"/>
    <w:rsid w:val="000D5EB1"/>
    <w:rsid w:val="000D70B1"/>
    <w:rsid w:val="000D71F1"/>
    <w:rsid w:val="000D75B7"/>
    <w:rsid w:val="000D75D7"/>
    <w:rsid w:val="000D766A"/>
    <w:rsid w:val="000D778D"/>
    <w:rsid w:val="000E0286"/>
    <w:rsid w:val="000E02E9"/>
    <w:rsid w:val="000E0CF1"/>
    <w:rsid w:val="000E115E"/>
    <w:rsid w:val="000E17DC"/>
    <w:rsid w:val="000E1A66"/>
    <w:rsid w:val="000E1B13"/>
    <w:rsid w:val="000E2470"/>
    <w:rsid w:val="000E24FD"/>
    <w:rsid w:val="000E258A"/>
    <w:rsid w:val="000E2931"/>
    <w:rsid w:val="000E2DCC"/>
    <w:rsid w:val="000E313A"/>
    <w:rsid w:val="000E3219"/>
    <w:rsid w:val="000E34B4"/>
    <w:rsid w:val="000E3535"/>
    <w:rsid w:val="000E3763"/>
    <w:rsid w:val="000E37E5"/>
    <w:rsid w:val="000E40B1"/>
    <w:rsid w:val="000E46C7"/>
    <w:rsid w:val="000E481A"/>
    <w:rsid w:val="000E55E9"/>
    <w:rsid w:val="000E5BA2"/>
    <w:rsid w:val="000E6760"/>
    <w:rsid w:val="000E6878"/>
    <w:rsid w:val="000E6C3D"/>
    <w:rsid w:val="000E6CD5"/>
    <w:rsid w:val="000E7343"/>
    <w:rsid w:val="000E78A4"/>
    <w:rsid w:val="000E7E87"/>
    <w:rsid w:val="000F071A"/>
    <w:rsid w:val="000F0922"/>
    <w:rsid w:val="000F0BEC"/>
    <w:rsid w:val="000F1387"/>
    <w:rsid w:val="000F13A5"/>
    <w:rsid w:val="000F1EE8"/>
    <w:rsid w:val="000F2023"/>
    <w:rsid w:val="000F2A32"/>
    <w:rsid w:val="000F2A42"/>
    <w:rsid w:val="000F2A99"/>
    <w:rsid w:val="000F36BD"/>
    <w:rsid w:val="000F3D0D"/>
    <w:rsid w:val="000F3DD0"/>
    <w:rsid w:val="000F4126"/>
    <w:rsid w:val="000F4764"/>
    <w:rsid w:val="000F4BF6"/>
    <w:rsid w:val="000F4CBD"/>
    <w:rsid w:val="000F532A"/>
    <w:rsid w:val="000F5FBD"/>
    <w:rsid w:val="000F6719"/>
    <w:rsid w:val="000F71BF"/>
    <w:rsid w:val="000F764B"/>
    <w:rsid w:val="000F77F1"/>
    <w:rsid w:val="001001F6"/>
    <w:rsid w:val="001003ED"/>
    <w:rsid w:val="00100B82"/>
    <w:rsid w:val="0010157C"/>
    <w:rsid w:val="00101B12"/>
    <w:rsid w:val="0010207F"/>
    <w:rsid w:val="001020C8"/>
    <w:rsid w:val="001022B8"/>
    <w:rsid w:val="00102D89"/>
    <w:rsid w:val="00102FAB"/>
    <w:rsid w:val="0010385E"/>
    <w:rsid w:val="00104798"/>
    <w:rsid w:val="001048C4"/>
    <w:rsid w:val="00104958"/>
    <w:rsid w:val="00104AD6"/>
    <w:rsid w:val="00104B54"/>
    <w:rsid w:val="0010571B"/>
    <w:rsid w:val="0010674B"/>
    <w:rsid w:val="001071F1"/>
    <w:rsid w:val="001072DE"/>
    <w:rsid w:val="001077A0"/>
    <w:rsid w:val="001077C2"/>
    <w:rsid w:val="00107884"/>
    <w:rsid w:val="00107ACB"/>
    <w:rsid w:val="00107B58"/>
    <w:rsid w:val="00110009"/>
    <w:rsid w:val="001109DF"/>
    <w:rsid w:val="00110D9D"/>
    <w:rsid w:val="00110E2E"/>
    <w:rsid w:val="001110F2"/>
    <w:rsid w:val="0011140D"/>
    <w:rsid w:val="001115E3"/>
    <w:rsid w:val="00111681"/>
    <w:rsid w:val="001116B9"/>
    <w:rsid w:val="00112451"/>
    <w:rsid w:val="001128DE"/>
    <w:rsid w:val="00112990"/>
    <w:rsid w:val="00112A62"/>
    <w:rsid w:val="00112B35"/>
    <w:rsid w:val="00112E41"/>
    <w:rsid w:val="00112EE3"/>
    <w:rsid w:val="00113155"/>
    <w:rsid w:val="00113B15"/>
    <w:rsid w:val="00114043"/>
    <w:rsid w:val="00114338"/>
    <w:rsid w:val="001144CF"/>
    <w:rsid w:val="00114A2E"/>
    <w:rsid w:val="0011509C"/>
    <w:rsid w:val="001153A8"/>
    <w:rsid w:val="00115AA2"/>
    <w:rsid w:val="00115CA7"/>
    <w:rsid w:val="00116377"/>
    <w:rsid w:val="0011659E"/>
    <w:rsid w:val="001166B8"/>
    <w:rsid w:val="0011692A"/>
    <w:rsid w:val="00116AB8"/>
    <w:rsid w:val="00116FBA"/>
    <w:rsid w:val="00117192"/>
    <w:rsid w:val="00117209"/>
    <w:rsid w:val="00117322"/>
    <w:rsid w:val="00120204"/>
    <w:rsid w:val="00120DEA"/>
    <w:rsid w:val="001216ED"/>
    <w:rsid w:val="0012186B"/>
    <w:rsid w:val="00121FB3"/>
    <w:rsid w:val="00122B1A"/>
    <w:rsid w:val="00122CB5"/>
    <w:rsid w:val="00123126"/>
    <w:rsid w:val="00123C7F"/>
    <w:rsid w:val="00124122"/>
    <w:rsid w:val="00124266"/>
    <w:rsid w:val="00124AAB"/>
    <w:rsid w:val="00124B52"/>
    <w:rsid w:val="00124C5B"/>
    <w:rsid w:val="00124C91"/>
    <w:rsid w:val="001253A1"/>
    <w:rsid w:val="0012561F"/>
    <w:rsid w:val="001256D1"/>
    <w:rsid w:val="001258EA"/>
    <w:rsid w:val="00125BA8"/>
    <w:rsid w:val="00125C48"/>
    <w:rsid w:val="00125F98"/>
    <w:rsid w:val="00126D54"/>
    <w:rsid w:val="00126EFB"/>
    <w:rsid w:val="00127855"/>
    <w:rsid w:val="00127EE2"/>
    <w:rsid w:val="00130C41"/>
    <w:rsid w:val="0013114B"/>
    <w:rsid w:val="001311A8"/>
    <w:rsid w:val="00131203"/>
    <w:rsid w:val="0013132A"/>
    <w:rsid w:val="00131618"/>
    <w:rsid w:val="001316B2"/>
    <w:rsid w:val="00132548"/>
    <w:rsid w:val="001325A5"/>
    <w:rsid w:val="0013271F"/>
    <w:rsid w:val="00132AB6"/>
    <w:rsid w:val="00133052"/>
    <w:rsid w:val="00133153"/>
    <w:rsid w:val="00133191"/>
    <w:rsid w:val="0013347A"/>
    <w:rsid w:val="001338C5"/>
    <w:rsid w:val="001341BB"/>
    <w:rsid w:val="001344DB"/>
    <w:rsid w:val="001349EF"/>
    <w:rsid w:val="00134CF5"/>
    <w:rsid w:val="00134E8E"/>
    <w:rsid w:val="00134EDB"/>
    <w:rsid w:val="001350BE"/>
    <w:rsid w:val="00135459"/>
    <w:rsid w:val="00135696"/>
    <w:rsid w:val="00135CBA"/>
    <w:rsid w:val="00135E3F"/>
    <w:rsid w:val="0013719F"/>
    <w:rsid w:val="001373EE"/>
    <w:rsid w:val="00137A57"/>
    <w:rsid w:val="0014017B"/>
    <w:rsid w:val="001401FA"/>
    <w:rsid w:val="001402E3"/>
    <w:rsid w:val="0014052D"/>
    <w:rsid w:val="00140FF2"/>
    <w:rsid w:val="001411BF"/>
    <w:rsid w:val="00141BF8"/>
    <w:rsid w:val="00141F25"/>
    <w:rsid w:val="00142149"/>
    <w:rsid w:val="0014226B"/>
    <w:rsid w:val="00142876"/>
    <w:rsid w:val="00142B79"/>
    <w:rsid w:val="00143175"/>
    <w:rsid w:val="001431F4"/>
    <w:rsid w:val="00143C99"/>
    <w:rsid w:val="00143DCB"/>
    <w:rsid w:val="00143E34"/>
    <w:rsid w:val="00143F97"/>
    <w:rsid w:val="00144706"/>
    <w:rsid w:val="00144EB5"/>
    <w:rsid w:val="00144FC4"/>
    <w:rsid w:val="00145113"/>
    <w:rsid w:val="0014534C"/>
    <w:rsid w:val="00145555"/>
    <w:rsid w:val="00145718"/>
    <w:rsid w:val="0014584B"/>
    <w:rsid w:val="00147548"/>
    <w:rsid w:val="001475C2"/>
    <w:rsid w:val="0014763E"/>
    <w:rsid w:val="0015003D"/>
    <w:rsid w:val="00150B2A"/>
    <w:rsid w:val="001511EF"/>
    <w:rsid w:val="00152145"/>
    <w:rsid w:val="00152416"/>
    <w:rsid w:val="0015281A"/>
    <w:rsid w:val="00152905"/>
    <w:rsid w:val="00152B62"/>
    <w:rsid w:val="00152D43"/>
    <w:rsid w:val="001532D4"/>
    <w:rsid w:val="0015489A"/>
    <w:rsid w:val="00154A90"/>
    <w:rsid w:val="0015500C"/>
    <w:rsid w:val="00155409"/>
    <w:rsid w:val="001558DA"/>
    <w:rsid w:val="00155B1E"/>
    <w:rsid w:val="0015698E"/>
    <w:rsid w:val="00156A2E"/>
    <w:rsid w:val="00156B73"/>
    <w:rsid w:val="0015707F"/>
    <w:rsid w:val="00157F72"/>
    <w:rsid w:val="00157F73"/>
    <w:rsid w:val="00160269"/>
    <w:rsid w:val="001606A2"/>
    <w:rsid w:val="00160972"/>
    <w:rsid w:val="00160AC5"/>
    <w:rsid w:val="0016162F"/>
    <w:rsid w:val="0016164B"/>
    <w:rsid w:val="00161BD6"/>
    <w:rsid w:val="0016242E"/>
    <w:rsid w:val="0016268B"/>
    <w:rsid w:val="001626CB"/>
    <w:rsid w:val="001628B1"/>
    <w:rsid w:val="0016315A"/>
    <w:rsid w:val="00163369"/>
    <w:rsid w:val="001633BA"/>
    <w:rsid w:val="001637F6"/>
    <w:rsid w:val="00163ADF"/>
    <w:rsid w:val="00164002"/>
    <w:rsid w:val="00164492"/>
    <w:rsid w:val="0016460F"/>
    <w:rsid w:val="0016496B"/>
    <w:rsid w:val="00164ADF"/>
    <w:rsid w:val="00165ACC"/>
    <w:rsid w:val="00165C1C"/>
    <w:rsid w:val="0016629D"/>
    <w:rsid w:val="0016686B"/>
    <w:rsid w:val="0016689D"/>
    <w:rsid w:val="00166ABD"/>
    <w:rsid w:val="001672FA"/>
    <w:rsid w:val="00167372"/>
    <w:rsid w:val="001674BF"/>
    <w:rsid w:val="001675F5"/>
    <w:rsid w:val="0016771F"/>
    <w:rsid w:val="001678AB"/>
    <w:rsid w:val="00167A1F"/>
    <w:rsid w:val="00167CD2"/>
    <w:rsid w:val="00170025"/>
    <w:rsid w:val="0017022C"/>
    <w:rsid w:val="001702D9"/>
    <w:rsid w:val="001707A5"/>
    <w:rsid w:val="00170E12"/>
    <w:rsid w:val="0017127A"/>
    <w:rsid w:val="00171B7A"/>
    <w:rsid w:val="00172184"/>
    <w:rsid w:val="001721D7"/>
    <w:rsid w:val="00172801"/>
    <w:rsid w:val="0017280E"/>
    <w:rsid w:val="00172B27"/>
    <w:rsid w:val="001746AB"/>
    <w:rsid w:val="00174776"/>
    <w:rsid w:val="00174D7B"/>
    <w:rsid w:val="00175113"/>
    <w:rsid w:val="001751EF"/>
    <w:rsid w:val="00175514"/>
    <w:rsid w:val="00175753"/>
    <w:rsid w:val="00175DA6"/>
    <w:rsid w:val="00175DE0"/>
    <w:rsid w:val="00175F4A"/>
    <w:rsid w:val="00176367"/>
    <w:rsid w:val="00176BB3"/>
    <w:rsid w:val="00176DCA"/>
    <w:rsid w:val="00177355"/>
    <w:rsid w:val="00177582"/>
    <w:rsid w:val="00177939"/>
    <w:rsid w:val="00177C16"/>
    <w:rsid w:val="00177EDD"/>
    <w:rsid w:val="001800B5"/>
    <w:rsid w:val="0018017E"/>
    <w:rsid w:val="00180319"/>
    <w:rsid w:val="00180569"/>
    <w:rsid w:val="0018098E"/>
    <w:rsid w:val="001816D8"/>
    <w:rsid w:val="0018199E"/>
    <w:rsid w:val="001819B0"/>
    <w:rsid w:val="00181D54"/>
    <w:rsid w:val="001822D5"/>
    <w:rsid w:val="001823C4"/>
    <w:rsid w:val="00182D5A"/>
    <w:rsid w:val="00182E55"/>
    <w:rsid w:val="00183CF5"/>
    <w:rsid w:val="00183F1D"/>
    <w:rsid w:val="00184031"/>
    <w:rsid w:val="0018527E"/>
    <w:rsid w:val="001852CB"/>
    <w:rsid w:val="001856D8"/>
    <w:rsid w:val="0018573E"/>
    <w:rsid w:val="001859D0"/>
    <w:rsid w:val="00185BF5"/>
    <w:rsid w:val="00185DD2"/>
    <w:rsid w:val="001862F2"/>
    <w:rsid w:val="00186537"/>
    <w:rsid w:val="00187122"/>
    <w:rsid w:val="001873E4"/>
    <w:rsid w:val="001908FD"/>
    <w:rsid w:val="00190AC7"/>
    <w:rsid w:val="00190D60"/>
    <w:rsid w:val="00191059"/>
    <w:rsid w:val="001914B8"/>
    <w:rsid w:val="00191A37"/>
    <w:rsid w:val="00192F96"/>
    <w:rsid w:val="00193872"/>
    <w:rsid w:val="00193B0C"/>
    <w:rsid w:val="001940BE"/>
    <w:rsid w:val="0019467E"/>
    <w:rsid w:val="0019478F"/>
    <w:rsid w:val="001947CA"/>
    <w:rsid w:val="001948FA"/>
    <w:rsid w:val="00194C76"/>
    <w:rsid w:val="00195614"/>
    <w:rsid w:val="00195CD1"/>
    <w:rsid w:val="00195D83"/>
    <w:rsid w:val="0019658D"/>
    <w:rsid w:val="001965B8"/>
    <w:rsid w:val="001976CC"/>
    <w:rsid w:val="00197C7A"/>
    <w:rsid w:val="001A0E2C"/>
    <w:rsid w:val="001A22F8"/>
    <w:rsid w:val="001A246F"/>
    <w:rsid w:val="001A2C38"/>
    <w:rsid w:val="001A321C"/>
    <w:rsid w:val="001A3896"/>
    <w:rsid w:val="001A3A2A"/>
    <w:rsid w:val="001A3B22"/>
    <w:rsid w:val="001A3D64"/>
    <w:rsid w:val="001A4218"/>
    <w:rsid w:val="001A43DF"/>
    <w:rsid w:val="001A4470"/>
    <w:rsid w:val="001A47E1"/>
    <w:rsid w:val="001A4C84"/>
    <w:rsid w:val="001A4E00"/>
    <w:rsid w:val="001A548A"/>
    <w:rsid w:val="001A54A0"/>
    <w:rsid w:val="001A57AA"/>
    <w:rsid w:val="001A5994"/>
    <w:rsid w:val="001A5BEC"/>
    <w:rsid w:val="001A6854"/>
    <w:rsid w:val="001A763D"/>
    <w:rsid w:val="001A7BD3"/>
    <w:rsid w:val="001B08F0"/>
    <w:rsid w:val="001B0C3E"/>
    <w:rsid w:val="001B1EC9"/>
    <w:rsid w:val="001B23DB"/>
    <w:rsid w:val="001B2810"/>
    <w:rsid w:val="001B290A"/>
    <w:rsid w:val="001B2A19"/>
    <w:rsid w:val="001B3517"/>
    <w:rsid w:val="001B394F"/>
    <w:rsid w:val="001B3A21"/>
    <w:rsid w:val="001B3B76"/>
    <w:rsid w:val="001B4611"/>
    <w:rsid w:val="001B4613"/>
    <w:rsid w:val="001B4C76"/>
    <w:rsid w:val="001B5119"/>
    <w:rsid w:val="001B529B"/>
    <w:rsid w:val="001B5A56"/>
    <w:rsid w:val="001B5B05"/>
    <w:rsid w:val="001B5B2D"/>
    <w:rsid w:val="001B60EA"/>
    <w:rsid w:val="001B63F2"/>
    <w:rsid w:val="001B66E4"/>
    <w:rsid w:val="001B6760"/>
    <w:rsid w:val="001B6C92"/>
    <w:rsid w:val="001B6CC5"/>
    <w:rsid w:val="001B6F65"/>
    <w:rsid w:val="001B774A"/>
    <w:rsid w:val="001B7B4D"/>
    <w:rsid w:val="001C040B"/>
    <w:rsid w:val="001C0E54"/>
    <w:rsid w:val="001C1140"/>
    <w:rsid w:val="001C186E"/>
    <w:rsid w:val="001C19FD"/>
    <w:rsid w:val="001C1A0A"/>
    <w:rsid w:val="001C2114"/>
    <w:rsid w:val="001C2532"/>
    <w:rsid w:val="001C2A45"/>
    <w:rsid w:val="001C2A94"/>
    <w:rsid w:val="001C2D49"/>
    <w:rsid w:val="001C2DB4"/>
    <w:rsid w:val="001C3171"/>
    <w:rsid w:val="001C341B"/>
    <w:rsid w:val="001C36DC"/>
    <w:rsid w:val="001C3D9E"/>
    <w:rsid w:val="001C4126"/>
    <w:rsid w:val="001C4325"/>
    <w:rsid w:val="001C4852"/>
    <w:rsid w:val="001C494A"/>
    <w:rsid w:val="001C6486"/>
    <w:rsid w:val="001C6752"/>
    <w:rsid w:val="001C6ED3"/>
    <w:rsid w:val="001C736E"/>
    <w:rsid w:val="001C7594"/>
    <w:rsid w:val="001C7E34"/>
    <w:rsid w:val="001C7E7E"/>
    <w:rsid w:val="001D02DA"/>
    <w:rsid w:val="001D08F4"/>
    <w:rsid w:val="001D0EB5"/>
    <w:rsid w:val="001D158E"/>
    <w:rsid w:val="001D19DC"/>
    <w:rsid w:val="001D1C47"/>
    <w:rsid w:val="001D215C"/>
    <w:rsid w:val="001D222E"/>
    <w:rsid w:val="001D2406"/>
    <w:rsid w:val="001D2B22"/>
    <w:rsid w:val="001D2C5C"/>
    <w:rsid w:val="001D2FDF"/>
    <w:rsid w:val="001D355A"/>
    <w:rsid w:val="001D35F4"/>
    <w:rsid w:val="001D3C6B"/>
    <w:rsid w:val="001D4125"/>
    <w:rsid w:val="001D455A"/>
    <w:rsid w:val="001D5023"/>
    <w:rsid w:val="001D51F3"/>
    <w:rsid w:val="001D536F"/>
    <w:rsid w:val="001D556C"/>
    <w:rsid w:val="001D59DB"/>
    <w:rsid w:val="001D5C17"/>
    <w:rsid w:val="001D6A77"/>
    <w:rsid w:val="001D6BB3"/>
    <w:rsid w:val="001D6D9F"/>
    <w:rsid w:val="001D6DC1"/>
    <w:rsid w:val="001D6E80"/>
    <w:rsid w:val="001D6FF2"/>
    <w:rsid w:val="001D712B"/>
    <w:rsid w:val="001D7944"/>
    <w:rsid w:val="001D7E73"/>
    <w:rsid w:val="001E0531"/>
    <w:rsid w:val="001E0889"/>
    <w:rsid w:val="001E0C12"/>
    <w:rsid w:val="001E0D03"/>
    <w:rsid w:val="001E0E8A"/>
    <w:rsid w:val="001E12CA"/>
    <w:rsid w:val="001E1488"/>
    <w:rsid w:val="001E14FE"/>
    <w:rsid w:val="001E1919"/>
    <w:rsid w:val="001E1EF1"/>
    <w:rsid w:val="001E1EF5"/>
    <w:rsid w:val="001E265E"/>
    <w:rsid w:val="001E269A"/>
    <w:rsid w:val="001E2DA0"/>
    <w:rsid w:val="001E2E11"/>
    <w:rsid w:val="001E2F13"/>
    <w:rsid w:val="001E32E4"/>
    <w:rsid w:val="001E3502"/>
    <w:rsid w:val="001E39CB"/>
    <w:rsid w:val="001E4133"/>
    <w:rsid w:val="001E41B1"/>
    <w:rsid w:val="001E4898"/>
    <w:rsid w:val="001E493C"/>
    <w:rsid w:val="001E4FF8"/>
    <w:rsid w:val="001E5088"/>
    <w:rsid w:val="001E50FB"/>
    <w:rsid w:val="001E5930"/>
    <w:rsid w:val="001E5F7A"/>
    <w:rsid w:val="001E608E"/>
    <w:rsid w:val="001E773A"/>
    <w:rsid w:val="001E783D"/>
    <w:rsid w:val="001E7F54"/>
    <w:rsid w:val="001F03E0"/>
    <w:rsid w:val="001F087E"/>
    <w:rsid w:val="001F0B0A"/>
    <w:rsid w:val="001F0F24"/>
    <w:rsid w:val="001F104B"/>
    <w:rsid w:val="001F104C"/>
    <w:rsid w:val="001F1349"/>
    <w:rsid w:val="001F1C8F"/>
    <w:rsid w:val="001F2123"/>
    <w:rsid w:val="001F293A"/>
    <w:rsid w:val="001F2C26"/>
    <w:rsid w:val="001F2D73"/>
    <w:rsid w:val="001F2F10"/>
    <w:rsid w:val="001F3409"/>
    <w:rsid w:val="001F355E"/>
    <w:rsid w:val="001F3772"/>
    <w:rsid w:val="001F39F0"/>
    <w:rsid w:val="001F3A74"/>
    <w:rsid w:val="001F4822"/>
    <w:rsid w:val="001F4FB1"/>
    <w:rsid w:val="001F569B"/>
    <w:rsid w:val="001F600F"/>
    <w:rsid w:val="001F614E"/>
    <w:rsid w:val="001F64C0"/>
    <w:rsid w:val="001F6997"/>
    <w:rsid w:val="001F6B48"/>
    <w:rsid w:val="001F78C9"/>
    <w:rsid w:val="001F796C"/>
    <w:rsid w:val="001F7FD6"/>
    <w:rsid w:val="00200036"/>
    <w:rsid w:val="002005D8"/>
    <w:rsid w:val="00200CF4"/>
    <w:rsid w:val="00200E74"/>
    <w:rsid w:val="00201222"/>
    <w:rsid w:val="002018EE"/>
    <w:rsid w:val="00201AD8"/>
    <w:rsid w:val="002022B1"/>
    <w:rsid w:val="002025F2"/>
    <w:rsid w:val="002026B4"/>
    <w:rsid w:val="00202BD5"/>
    <w:rsid w:val="00202C0E"/>
    <w:rsid w:val="00202FAB"/>
    <w:rsid w:val="00203334"/>
    <w:rsid w:val="00203A94"/>
    <w:rsid w:val="00203D00"/>
    <w:rsid w:val="002042D0"/>
    <w:rsid w:val="002044C7"/>
    <w:rsid w:val="0020475A"/>
    <w:rsid w:val="002048A4"/>
    <w:rsid w:val="00204B09"/>
    <w:rsid w:val="00204F4F"/>
    <w:rsid w:val="00205210"/>
    <w:rsid w:val="0020580B"/>
    <w:rsid w:val="002062F1"/>
    <w:rsid w:val="002066C6"/>
    <w:rsid w:val="0020688F"/>
    <w:rsid w:val="00206AC6"/>
    <w:rsid w:val="00206C52"/>
    <w:rsid w:val="0020714E"/>
    <w:rsid w:val="00207290"/>
    <w:rsid w:val="0020792B"/>
    <w:rsid w:val="00207C9D"/>
    <w:rsid w:val="00207D89"/>
    <w:rsid w:val="00207F7B"/>
    <w:rsid w:val="0021018F"/>
    <w:rsid w:val="00210250"/>
    <w:rsid w:val="00210933"/>
    <w:rsid w:val="002113B3"/>
    <w:rsid w:val="00211466"/>
    <w:rsid w:val="00211781"/>
    <w:rsid w:val="00211C1A"/>
    <w:rsid w:val="00211FB5"/>
    <w:rsid w:val="0021240B"/>
    <w:rsid w:val="0021251F"/>
    <w:rsid w:val="00212AF6"/>
    <w:rsid w:val="00212BE1"/>
    <w:rsid w:val="00212CA0"/>
    <w:rsid w:val="00213499"/>
    <w:rsid w:val="00214870"/>
    <w:rsid w:val="00214A48"/>
    <w:rsid w:val="00214C7E"/>
    <w:rsid w:val="00214E02"/>
    <w:rsid w:val="00214E5D"/>
    <w:rsid w:val="00215602"/>
    <w:rsid w:val="002159BB"/>
    <w:rsid w:val="0021605C"/>
    <w:rsid w:val="00216452"/>
    <w:rsid w:val="0021663F"/>
    <w:rsid w:val="00216685"/>
    <w:rsid w:val="0021677E"/>
    <w:rsid w:val="002170F4"/>
    <w:rsid w:val="0022028A"/>
    <w:rsid w:val="0022043A"/>
    <w:rsid w:val="00220541"/>
    <w:rsid w:val="0022054A"/>
    <w:rsid w:val="00220739"/>
    <w:rsid w:val="002208F9"/>
    <w:rsid w:val="002209F7"/>
    <w:rsid w:val="00220BDD"/>
    <w:rsid w:val="00221BBB"/>
    <w:rsid w:val="00221D1E"/>
    <w:rsid w:val="00221E92"/>
    <w:rsid w:val="00222BF8"/>
    <w:rsid w:val="00223848"/>
    <w:rsid w:val="00223ADE"/>
    <w:rsid w:val="00223CEA"/>
    <w:rsid w:val="0022415C"/>
    <w:rsid w:val="00224914"/>
    <w:rsid w:val="00224C21"/>
    <w:rsid w:val="002250E5"/>
    <w:rsid w:val="00225460"/>
    <w:rsid w:val="002254C2"/>
    <w:rsid w:val="0022551C"/>
    <w:rsid w:val="002258CF"/>
    <w:rsid w:val="00225A6D"/>
    <w:rsid w:val="00225B94"/>
    <w:rsid w:val="00226070"/>
    <w:rsid w:val="002261C2"/>
    <w:rsid w:val="002261D5"/>
    <w:rsid w:val="002266F3"/>
    <w:rsid w:val="00226D2E"/>
    <w:rsid w:val="00226EA3"/>
    <w:rsid w:val="002276D1"/>
    <w:rsid w:val="00227D79"/>
    <w:rsid w:val="00227D89"/>
    <w:rsid w:val="00227F6D"/>
    <w:rsid w:val="00230C5C"/>
    <w:rsid w:val="00230ED7"/>
    <w:rsid w:val="002313A7"/>
    <w:rsid w:val="002319E8"/>
    <w:rsid w:val="00231F92"/>
    <w:rsid w:val="002321DB"/>
    <w:rsid w:val="0023264B"/>
    <w:rsid w:val="00232BC5"/>
    <w:rsid w:val="00232BEB"/>
    <w:rsid w:val="00232CC1"/>
    <w:rsid w:val="002339FC"/>
    <w:rsid w:val="002346BE"/>
    <w:rsid w:val="00235135"/>
    <w:rsid w:val="0023556A"/>
    <w:rsid w:val="002356E1"/>
    <w:rsid w:val="00235D61"/>
    <w:rsid w:val="00235D67"/>
    <w:rsid w:val="00236031"/>
    <w:rsid w:val="002361D1"/>
    <w:rsid w:val="00236414"/>
    <w:rsid w:val="002366EE"/>
    <w:rsid w:val="00236947"/>
    <w:rsid w:val="00236E3F"/>
    <w:rsid w:val="0024089F"/>
    <w:rsid w:val="00240910"/>
    <w:rsid w:val="002410A5"/>
    <w:rsid w:val="002414CE"/>
    <w:rsid w:val="002419FE"/>
    <w:rsid w:val="002421E9"/>
    <w:rsid w:val="00242468"/>
    <w:rsid w:val="002429BD"/>
    <w:rsid w:val="00242BF4"/>
    <w:rsid w:val="00242C9E"/>
    <w:rsid w:val="00243777"/>
    <w:rsid w:val="00243878"/>
    <w:rsid w:val="002440E1"/>
    <w:rsid w:val="00244196"/>
    <w:rsid w:val="002441D7"/>
    <w:rsid w:val="00244246"/>
    <w:rsid w:val="002442FA"/>
    <w:rsid w:val="00244429"/>
    <w:rsid w:val="002448B0"/>
    <w:rsid w:val="002448B5"/>
    <w:rsid w:val="00244A98"/>
    <w:rsid w:val="00244C67"/>
    <w:rsid w:val="00245071"/>
    <w:rsid w:val="00245840"/>
    <w:rsid w:val="00246230"/>
    <w:rsid w:val="00246533"/>
    <w:rsid w:val="0024747A"/>
    <w:rsid w:val="002476A6"/>
    <w:rsid w:val="00247B4B"/>
    <w:rsid w:val="00247BDE"/>
    <w:rsid w:val="00250701"/>
    <w:rsid w:val="00250732"/>
    <w:rsid w:val="00250753"/>
    <w:rsid w:val="00250AF2"/>
    <w:rsid w:val="00250B67"/>
    <w:rsid w:val="0025104E"/>
    <w:rsid w:val="00251528"/>
    <w:rsid w:val="0025176B"/>
    <w:rsid w:val="002519DE"/>
    <w:rsid w:val="00251BC3"/>
    <w:rsid w:val="00252686"/>
    <w:rsid w:val="00252960"/>
    <w:rsid w:val="00252AC7"/>
    <w:rsid w:val="00252B03"/>
    <w:rsid w:val="00252F56"/>
    <w:rsid w:val="00253262"/>
    <w:rsid w:val="00253815"/>
    <w:rsid w:val="00253D41"/>
    <w:rsid w:val="00253FCF"/>
    <w:rsid w:val="00254415"/>
    <w:rsid w:val="00254511"/>
    <w:rsid w:val="00254CDF"/>
    <w:rsid w:val="00255051"/>
    <w:rsid w:val="00255257"/>
    <w:rsid w:val="00255E4E"/>
    <w:rsid w:val="0025691F"/>
    <w:rsid w:val="00256ED3"/>
    <w:rsid w:val="00256EF0"/>
    <w:rsid w:val="00257029"/>
    <w:rsid w:val="00257357"/>
    <w:rsid w:val="00257939"/>
    <w:rsid w:val="00257DCC"/>
    <w:rsid w:val="00257F1F"/>
    <w:rsid w:val="002603F1"/>
    <w:rsid w:val="00260628"/>
    <w:rsid w:val="00260BA5"/>
    <w:rsid w:val="00260D6D"/>
    <w:rsid w:val="00260DB0"/>
    <w:rsid w:val="002613B2"/>
    <w:rsid w:val="002616BD"/>
    <w:rsid w:val="002616D9"/>
    <w:rsid w:val="00261A94"/>
    <w:rsid w:val="00261B44"/>
    <w:rsid w:val="002621AA"/>
    <w:rsid w:val="002625B3"/>
    <w:rsid w:val="00262882"/>
    <w:rsid w:val="002629A9"/>
    <w:rsid w:val="00262CCC"/>
    <w:rsid w:val="002632BB"/>
    <w:rsid w:val="00263448"/>
    <w:rsid w:val="00263754"/>
    <w:rsid w:val="002639C4"/>
    <w:rsid w:val="00263E3F"/>
    <w:rsid w:val="002643A8"/>
    <w:rsid w:val="0026455B"/>
    <w:rsid w:val="00264699"/>
    <w:rsid w:val="00264C7E"/>
    <w:rsid w:val="00264E37"/>
    <w:rsid w:val="002654D3"/>
    <w:rsid w:val="002658EB"/>
    <w:rsid w:val="00265D9A"/>
    <w:rsid w:val="00265E2A"/>
    <w:rsid w:val="002665C2"/>
    <w:rsid w:val="00266ADC"/>
    <w:rsid w:val="00266C99"/>
    <w:rsid w:val="002673E1"/>
    <w:rsid w:val="00267C26"/>
    <w:rsid w:val="00270097"/>
    <w:rsid w:val="00270A1A"/>
    <w:rsid w:val="00271418"/>
    <w:rsid w:val="002717E7"/>
    <w:rsid w:val="00271C0E"/>
    <w:rsid w:val="00272853"/>
    <w:rsid w:val="00272940"/>
    <w:rsid w:val="00272C36"/>
    <w:rsid w:val="00272CCD"/>
    <w:rsid w:val="00272E47"/>
    <w:rsid w:val="00273945"/>
    <w:rsid w:val="00273B81"/>
    <w:rsid w:val="00274048"/>
    <w:rsid w:val="0027405F"/>
    <w:rsid w:val="00274194"/>
    <w:rsid w:val="00274BA6"/>
    <w:rsid w:val="00274CE7"/>
    <w:rsid w:val="00274DB4"/>
    <w:rsid w:val="002751F9"/>
    <w:rsid w:val="0027575F"/>
    <w:rsid w:val="00275B70"/>
    <w:rsid w:val="00275F7D"/>
    <w:rsid w:val="00275FAB"/>
    <w:rsid w:val="0027728D"/>
    <w:rsid w:val="002772E3"/>
    <w:rsid w:val="00277405"/>
    <w:rsid w:val="00277626"/>
    <w:rsid w:val="0028006B"/>
    <w:rsid w:val="002806CD"/>
    <w:rsid w:val="00280FC5"/>
    <w:rsid w:val="00281175"/>
    <w:rsid w:val="002811DF"/>
    <w:rsid w:val="002813CF"/>
    <w:rsid w:val="002813D4"/>
    <w:rsid w:val="00282593"/>
    <w:rsid w:val="00282EC2"/>
    <w:rsid w:val="002831F5"/>
    <w:rsid w:val="00283406"/>
    <w:rsid w:val="00283C7A"/>
    <w:rsid w:val="00283DA5"/>
    <w:rsid w:val="002849EE"/>
    <w:rsid w:val="00285021"/>
    <w:rsid w:val="0028510E"/>
    <w:rsid w:val="00285C7B"/>
    <w:rsid w:val="00285CB1"/>
    <w:rsid w:val="0028647F"/>
    <w:rsid w:val="002866FC"/>
    <w:rsid w:val="00286F9E"/>
    <w:rsid w:val="00287100"/>
    <w:rsid w:val="002875F9"/>
    <w:rsid w:val="002879CE"/>
    <w:rsid w:val="00287B51"/>
    <w:rsid w:val="00287F0E"/>
    <w:rsid w:val="0029075F"/>
    <w:rsid w:val="00291F0B"/>
    <w:rsid w:val="002922A9"/>
    <w:rsid w:val="002925CA"/>
    <w:rsid w:val="002927C0"/>
    <w:rsid w:val="00292D48"/>
    <w:rsid w:val="002938B8"/>
    <w:rsid w:val="00293944"/>
    <w:rsid w:val="00293977"/>
    <w:rsid w:val="00293B1C"/>
    <w:rsid w:val="00293F78"/>
    <w:rsid w:val="0029445F"/>
    <w:rsid w:val="00294D3D"/>
    <w:rsid w:val="00294FF8"/>
    <w:rsid w:val="00295437"/>
    <w:rsid w:val="0029665B"/>
    <w:rsid w:val="00296731"/>
    <w:rsid w:val="00296C2D"/>
    <w:rsid w:val="00296E1C"/>
    <w:rsid w:val="002973FC"/>
    <w:rsid w:val="002976DA"/>
    <w:rsid w:val="002A0BEF"/>
    <w:rsid w:val="002A1A05"/>
    <w:rsid w:val="002A2379"/>
    <w:rsid w:val="002A2B22"/>
    <w:rsid w:val="002A3A2F"/>
    <w:rsid w:val="002A3AA7"/>
    <w:rsid w:val="002A3AC6"/>
    <w:rsid w:val="002A3B28"/>
    <w:rsid w:val="002A3B40"/>
    <w:rsid w:val="002A3B65"/>
    <w:rsid w:val="002A422A"/>
    <w:rsid w:val="002A4481"/>
    <w:rsid w:val="002A47CD"/>
    <w:rsid w:val="002A4C48"/>
    <w:rsid w:val="002A4EEA"/>
    <w:rsid w:val="002A4F1A"/>
    <w:rsid w:val="002A5344"/>
    <w:rsid w:val="002A57EA"/>
    <w:rsid w:val="002A597A"/>
    <w:rsid w:val="002A5A89"/>
    <w:rsid w:val="002A6586"/>
    <w:rsid w:val="002A6817"/>
    <w:rsid w:val="002A6C3B"/>
    <w:rsid w:val="002A6E3B"/>
    <w:rsid w:val="002A7189"/>
    <w:rsid w:val="002A7354"/>
    <w:rsid w:val="002A77EF"/>
    <w:rsid w:val="002B0523"/>
    <w:rsid w:val="002B0FF9"/>
    <w:rsid w:val="002B1794"/>
    <w:rsid w:val="002B2E14"/>
    <w:rsid w:val="002B2E93"/>
    <w:rsid w:val="002B3259"/>
    <w:rsid w:val="002B32F8"/>
    <w:rsid w:val="002B3523"/>
    <w:rsid w:val="002B3962"/>
    <w:rsid w:val="002B3B9E"/>
    <w:rsid w:val="002B3BF6"/>
    <w:rsid w:val="002B3CD2"/>
    <w:rsid w:val="002B3FAE"/>
    <w:rsid w:val="002B4560"/>
    <w:rsid w:val="002B46FB"/>
    <w:rsid w:val="002B471B"/>
    <w:rsid w:val="002B478E"/>
    <w:rsid w:val="002B4BCB"/>
    <w:rsid w:val="002B525E"/>
    <w:rsid w:val="002B527A"/>
    <w:rsid w:val="002B52E1"/>
    <w:rsid w:val="002B5397"/>
    <w:rsid w:val="002B55CD"/>
    <w:rsid w:val="002B57CD"/>
    <w:rsid w:val="002B5F00"/>
    <w:rsid w:val="002B5FA2"/>
    <w:rsid w:val="002B61AB"/>
    <w:rsid w:val="002B64F0"/>
    <w:rsid w:val="002B6D4C"/>
    <w:rsid w:val="002B74F9"/>
    <w:rsid w:val="002C0018"/>
    <w:rsid w:val="002C05B8"/>
    <w:rsid w:val="002C0608"/>
    <w:rsid w:val="002C0868"/>
    <w:rsid w:val="002C0A9E"/>
    <w:rsid w:val="002C0ADF"/>
    <w:rsid w:val="002C0FCC"/>
    <w:rsid w:val="002C1002"/>
    <w:rsid w:val="002C100A"/>
    <w:rsid w:val="002C116D"/>
    <w:rsid w:val="002C12C0"/>
    <w:rsid w:val="002C1629"/>
    <w:rsid w:val="002C1995"/>
    <w:rsid w:val="002C1AA2"/>
    <w:rsid w:val="002C327D"/>
    <w:rsid w:val="002C3605"/>
    <w:rsid w:val="002C3C01"/>
    <w:rsid w:val="002C4729"/>
    <w:rsid w:val="002C4757"/>
    <w:rsid w:val="002C4C88"/>
    <w:rsid w:val="002C4F60"/>
    <w:rsid w:val="002C503C"/>
    <w:rsid w:val="002C67B4"/>
    <w:rsid w:val="002C6A14"/>
    <w:rsid w:val="002C6B75"/>
    <w:rsid w:val="002C6FB5"/>
    <w:rsid w:val="002C700A"/>
    <w:rsid w:val="002C7AF2"/>
    <w:rsid w:val="002D04A6"/>
    <w:rsid w:val="002D1611"/>
    <w:rsid w:val="002D1635"/>
    <w:rsid w:val="002D1DD3"/>
    <w:rsid w:val="002D21C5"/>
    <w:rsid w:val="002D230D"/>
    <w:rsid w:val="002D25E1"/>
    <w:rsid w:val="002D29A1"/>
    <w:rsid w:val="002D30D5"/>
    <w:rsid w:val="002D3429"/>
    <w:rsid w:val="002D3584"/>
    <w:rsid w:val="002D378A"/>
    <w:rsid w:val="002D3961"/>
    <w:rsid w:val="002D40FC"/>
    <w:rsid w:val="002D4227"/>
    <w:rsid w:val="002D476E"/>
    <w:rsid w:val="002D48F9"/>
    <w:rsid w:val="002D4DC0"/>
    <w:rsid w:val="002D528F"/>
    <w:rsid w:val="002D56D8"/>
    <w:rsid w:val="002D57A3"/>
    <w:rsid w:val="002D5AB7"/>
    <w:rsid w:val="002D6082"/>
    <w:rsid w:val="002D60CF"/>
    <w:rsid w:val="002D6159"/>
    <w:rsid w:val="002D6284"/>
    <w:rsid w:val="002D648F"/>
    <w:rsid w:val="002D65BD"/>
    <w:rsid w:val="002D668F"/>
    <w:rsid w:val="002D697A"/>
    <w:rsid w:val="002D71B4"/>
    <w:rsid w:val="002D74CF"/>
    <w:rsid w:val="002D751E"/>
    <w:rsid w:val="002D76AD"/>
    <w:rsid w:val="002D76D0"/>
    <w:rsid w:val="002D7A13"/>
    <w:rsid w:val="002D7BE6"/>
    <w:rsid w:val="002E04E8"/>
    <w:rsid w:val="002E04F1"/>
    <w:rsid w:val="002E1286"/>
    <w:rsid w:val="002E1305"/>
    <w:rsid w:val="002E186B"/>
    <w:rsid w:val="002E2D3D"/>
    <w:rsid w:val="002E3703"/>
    <w:rsid w:val="002E40F6"/>
    <w:rsid w:val="002E416E"/>
    <w:rsid w:val="002E437A"/>
    <w:rsid w:val="002E47CE"/>
    <w:rsid w:val="002E4D92"/>
    <w:rsid w:val="002E5D30"/>
    <w:rsid w:val="002E707F"/>
    <w:rsid w:val="002E7331"/>
    <w:rsid w:val="002E7AE4"/>
    <w:rsid w:val="002F0A51"/>
    <w:rsid w:val="002F1235"/>
    <w:rsid w:val="002F13FD"/>
    <w:rsid w:val="002F17CE"/>
    <w:rsid w:val="002F2149"/>
    <w:rsid w:val="002F2454"/>
    <w:rsid w:val="002F26D7"/>
    <w:rsid w:val="002F2910"/>
    <w:rsid w:val="002F29A1"/>
    <w:rsid w:val="002F3033"/>
    <w:rsid w:val="002F3133"/>
    <w:rsid w:val="002F3818"/>
    <w:rsid w:val="002F391A"/>
    <w:rsid w:val="002F3C55"/>
    <w:rsid w:val="002F3D7B"/>
    <w:rsid w:val="002F3F71"/>
    <w:rsid w:val="002F46ED"/>
    <w:rsid w:val="002F484E"/>
    <w:rsid w:val="002F510E"/>
    <w:rsid w:val="002F5597"/>
    <w:rsid w:val="002F567F"/>
    <w:rsid w:val="002F5721"/>
    <w:rsid w:val="002F5A6B"/>
    <w:rsid w:val="002F5AA7"/>
    <w:rsid w:val="002F5AAF"/>
    <w:rsid w:val="002F5ED4"/>
    <w:rsid w:val="002F5F18"/>
    <w:rsid w:val="002F66F2"/>
    <w:rsid w:val="002F689E"/>
    <w:rsid w:val="002F72CC"/>
    <w:rsid w:val="002F7646"/>
    <w:rsid w:val="002F768E"/>
    <w:rsid w:val="002F7D3E"/>
    <w:rsid w:val="003000FB"/>
    <w:rsid w:val="003002C3"/>
    <w:rsid w:val="003004DD"/>
    <w:rsid w:val="00300773"/>
    <w:rsid w:val="003012D2"/>
    <w:rsid w:val="003015D2"/>
    <w:rsid w:val="003029F6"/>
    <w:rsid w:val="00302A84"/>
    <w:rsid w:val="00302DAC"/>
    <w:rsid w:val="00302F78"/>
    <w:rsid w:val="00303BD3"/>
    <w:rsid w:val="00304032"/>
    <w:rsid w:val="003048E5"/>
    <w:rsid w:val="00305316"/>
    <w:rsid w:val="00305503"/>
    <w:rsid w:val="00305879"/>
    <w:rsid w:val="00305BE9"/>
    <w:rsid w:val="00305C11"/>
    <w:rsid w:val="00305DA9"/>
    <w:rsid w:val="003060A0"/>
    <w:rsid w:val="003061D3"/>
    <w:rsid w:val="0030682B"/>
    <w:rsid w:val="00307144"/>
    <w:rsid w:val="00307773"/>
    <w:rsid w:val="00307C62"/>
    <w:rsid w:val="003104BF"/>
    <w:rsid w:val="003115B0"/>
    <w:rsid w:val="00311BE4"/>
    <w:rsid w:val="00312645"/>
    <w:rsid w:val="00312D15"/>
    <w:rsid w:val="003133CC"/>
    <w:rsid w:val="00313BB1"/>
    <w:rsid w:val="00313E82"/>
    <w:rsid w:val="00314B00"/>
    <w:rsid w:val="00315120"/>
    <w:rsid w:val="00315256"/>
    <w:rsid w:val="00315257"/>
    <w:rsid w:val="00315A28"/>
    <w:rsid w:val="00315AE4"/>
    <w:rsid w:val="00316083"/>
    <w:rsid w:val="00316191"/>
    <w:rsid w:val="00316277"/>
    <w:rsid w:val="00316A34"/>
    <w:rsid w:val="00316C6B"/>
    <w:rsid w:val="00316E7B"/>
    <w:rsid w:val="003173A9"/>
    <w:rsid w:val="0031744E"/>
    <w:rsid w:val="00317E4E"/>
    <w:rsid w:val="00317E8B"/>
    <w:rsid w:val="00320173"/>
    <w:rsid w:val="00320357"/>
    <w:rsid w:val="0032044C"/>
    <w:rsid w:val="00320461"/>
    <w:rsid w:val="003204A1"/>
    <w:rsid w:val="00320CB4"/>
    <w:rsid w:val="003211D3"/>
    <w:rsid w:val="00322799"/>
    <w:rsid w:val="00322988"/>
    <w:rsid w:val="00322D46"/>
    <w:rsid w:val="003236E8"/>
    <w:rsid w:val="00323DBE"/>
    <w:rsid w:val="003241CF"/>
    <w:rsid w:val="003244C9"/>
    <w:rsid w:val="003248F7"/>
    <w:rsid w:val="00324EC0"/>
    <w:rsid w:val="00325D7D"/>
    <w:rsid w:val="00326409"/>
    <w:rsid w:val="0032662B"/>
    <w:rsid w:val="00326A13"/>
    <w:rsid w:val="00326F26"/>
    <w:rsid w:val="0032732F"/>
    <w:rsid w:val="00327371"/>
    <w:rsid w:val="003279FD"/>
    <w:rsid w:val="00327CE1"/>
    <w:rsid w:val="00327D1C"/>
    <w:rsid w:val="003304C4"/>
    <w:rsid w:val="003309AD"/>
    <w:rsid w:val="003311C4"/>
    <w:rsid w:val="003314EF"/>
    <w:rsid w:val="003316CD"/>
    <w:rsid w:val="0033188A"/>
    <w:rsid w:val="00331F7D"/>
    <w:rsid w:val="0033202A"/>
    <w:rsid w:val="00332319"/>
    <w:rsid w:val="003325C9"/>
    <w:rsid w:val="00332A72"/>
    <w:rsid w:val="00332AFD"/>
    <w:rsid w:val="00332D7F"/>
    <w:rsid w:val="00332E6C"/>
    <w:rsid w:val="003340FF"/>
    <w:rsid w:val="003341DB"/>
    <w:rsid w:val="003343E3"/>
    <w:rsid w:val="0033441B"/>
    <w:rsid w:val="00334591"/>
    <w:rsid w:val="00334897"/>
    <w:rsid w:val="00334A47"/>
    <w:rsid w:val="00334B1E"/>
    <w:rsid w:val="00334B23"/>
    <w:rsid w:val="00334CBD"/>
    <w:rsid w:val="00334D84"/>
    <w:rsid w:val="0033506E"/>
    <w:rsid w:val="003351E6"/>
    <w:rsid w:val="00335BE6"/>
    <w:rsid w:val="00335D28"/>
    <w:rsid w:val="0033600B"/>
    <w:rsid w:val="0033603B"/>
    <w:rsid w:val="00336044"/>
    <w:rsid w:val="0033655A"/>
    <w:rsid w:val="003365D1"/>
    <w:rsid w:val="00337570"/>
    <w:rsid w:val="00337B11"/>
    <w:rsid w:val="00340229"/>
    <w:rsid w:val="00340A26"/>
    <w:rsid w:val="00340C60"/>
    <w:rsid w:val="00340EDA"/>
    <w:rsid w:val="0034100C"/>
    <w:rsid w:val="003419C8"/>
    <w:rsid w:val="00341A63"/>
    <w:rsid w:val="00341A7A"/>
    <w:rsid w:val="00341E10"/>
    <w:rsid w:val="00342488"/>
    <w:rsid w:val="003427B6"/>
    <w:rsid w:val="00342963"/>
    <w:rsid w:val="00342D9C"/>
    <w:rsid w:val="00343345"/>
    <w:rsid w:val="003433C3"/>
    <w:rsid w:val="00343822"/>
    <w:rsid w:val="0034385B"/>
    <w:rsid w:val="003439F7"/>
    <w:rsid w:val="00343D04"/>
    <w:rsid w:val="0034404E"/>
    <w:rsid w:val="003444D6"/>
    <w:rsid w:val="00344963"/>
    <w:rsid w:val="00344EF1"/>
    <w:rsid w:val="00345042"/>
    <w:rsid w:val="00345A99"/>
    <w:rsid w:val="00346372"/>
    <w:rsid w:val="003464B3"/>
    <w:rsid w:val="003465E6"/>
    <w:rsid w:val="00346876"/>
    <w:rsid w:val="00346959"/>
    <w:rsid w:val="00347042"/>
    <w:rsid w:val="003471BA"/>
    <w:rsid w:val="003473F8"/>
    <w:rsid w:val="0034753A"/>
    <w:rsid w:val="00347C1D"/>
    <w:rsid w:val="00347C7F"/>
    <w:rsid w:val="00347E77"/>
    <w:rsid w:val="003500A9"/>
    <w:rsid w:val="003503E5"/>
    <w:rsid w:val="00350CFF"/>
    <w:rsid w:val="00351391"/>
    <w:rsid w:val="00351B21"/>
    <w:rsid w:val="00351E93"/>
    <w:rsid w:val="0035246D"/>
    <w:rsid w:val="003524B0"/>
    <w:rsid w:val="003524EA"/>
    <w:rsid w:val="00352501"/>
    <w:rsid w:val="003525C3"/>
    <w:rsid w:val="003528F5"/>
    <w:rsid w:val="00352A49"/>
    <w:rsid w:val="00352DD6"/>
    <w:rsid w:val="00352E85"/>
    <w:rsid w:val="00353209"/>
    <w:rsid w:val="0035393F"/>
    <w:rsid w:val="00353A1C"/>
    <w:rsid w:val="00353ABA"/>
    <w:rsid w:val="00353E22"/>
    <w:rsid w:val="00353FAF"/>
    <w:rsid w:val="00353FF1"/>
    <w:rsid w:val="003541C2"/>
    <w:rsid w:val="003541DE"/>
    <w:rsid w:val="0035469E"/>
    <w:rsid w:val="00354966"/>
    <w:rsid w:val="003550E6"/>
    <w:rsid w:val="00355946"/>
    <w:rsid w:val="00355C04"/>
    <w:rsid w:val="00355F9F"/>
    <w:rsid w:val="0035657E"/>
    <w:rsid w:val="00356AF7"/>
    <w:rsid w:val="00356F21"/>
    <w:rsid w:val="00357352"/>
    <w:rsid w:val="0035794F"/>
    <w:rsid w:val="00357964"/>
    <w:rsid w:val="00357CBC"/>
    <w:rsid w:val="003601BA"/>
    <w:rsid w:val="00360540"/>
    <w:rsid w:val="0036059B"/>
    <w:rsid w:val="00360792"/>
    <w:rsid w:val="00360D37"/>
    <w:rsid w:val="003614D6"/>
    <w:rsid w:val="00361578"/>
    <w:rsid w:val="00362365"/>
    <w:rsid w:val="00362938"/>
    <w:rsid w:val="003631BC"/>
    <w:rsid w:val="00363F43"/>
    <w:rsid w:val="0036438A"/>
    <w:rsid w:val="003649D2"/>
    <w:rsid w:val="00364EAB"/>
    <w:rsid w:val="00364FFD"/>
    <w:rsid w:val="0036534F"/>
    <w:rsid w:val="0036611E"/>
    <w:rsid w:val="003664F8"/>
    <w:rsid w:val="003669B4"/>
    <w:rsid w:val="00366A90"/>
    <w:rsid w:val="00366B4A"/>
    <w:rsid w:val="003674E3"/>
    <w:rsid w:val="00367CEA"/>
    <w:rsid w:val="00367DB8"/>
    <w:rsid w:val="00367E37"/>
    <w:rsid w:val="00367F2E"/>
    <w:rsid w:val="00367F61"/>
    <w:rsid w:val="00370B62"/>
    <w:rsid w:val="003710D1"/>
    <w:rsid w:val="0037135A"/>
    <w:rsid w:val="00371666"/>
    <w:rsid w:val="003719E0"/>
    <w:rsid w:val="00371C82"/>
    <w:rsid w:val="003724E3"/>
    <w:rsid w:val="003724E6"/>
    <w:rsid w:val="003729B8"/>
    <w:rsid w:val="00372B6E"/>
    <w:rsid w:val="00373736"/>
    <w:rsid w:val="0037389A"/>
    <w:rsid w:val="00373944"/>
    <w:rsid w:val="00373D26"/>
    <w:rsid w:val="00373F9F"/>
    <w:rsid w:val="00374B35"/>
    <w:rsid w:val="00374FD6"/>
    <w:rsid w:val="003750F7"/>
    <w:rsid w:val="00375B25"/>
    <w:rsid w:val="00375B95"/>
    <w:rsid w:val="00375FB4"/>
    <w:rsid w:val="003761F4"/>
    <w:rsid w:val="00376395"/>
    <w:rsid w:val="00376542"/>
    <w:rsid w:val="00376CD8"/>
    <w:rsid w:val="00377F04"/>
    <w:rsid w:val="00380038"/>
    <w:rsid w:val="003809D4"/>
    <w:rsid w:val="003809FE"/>
    <w:rsid w:val="00380B0E"/>
    <w:rsid w:val="00380B1F"/>
    <w:rsid w:val="00380DD3"/>
    <w:rsid w:val="00381197"/>
    <w:rsid w:val="00381632"/>
    <w:rsid w:val="00381EFD"/>
    <w:rsid w:val="003821B4"/>
    <w:rsid w:val="003824FD"/>
    <w:rsid w:val="00382768"/>
    <w:rsid w:val="00383B8C"/>
    <w:rsid w:val="003840E1"/>
    <w:rsid w:val="003845D3"/>
    <w:rsid w:val="00384653"/>
    <w:rsid w:val="00384B9B"/>
    <w:rsid w:val="003850AC"/>
    <w:rsid w:val="00385114"/>
    <w:rsid w:val="003856D8"/>
    <w:rsid w:val="00385CDA"/>
    <w:rsid w:val="00385D83"/>
    <w:rsid w:val="003861E4"/>
    <w:rsid w:val="0038668C"/>
    <w:rsid w:val="00386878"/>
    <w:rsid w:val="00386B32"/>
    <w:rsid w:val="00386C0B"/>
    <w:rsid w:val="00386C24"/>
    <w:rsid w:val="00386F70"/>
    <w:rsid w:val="00387174"/>
    <w:rsid w:val="00387876"/>
    <w:rsid w:val="0038787F"/>
    <w:rsid w:val="003903D2"/>
    <w:rsid w:val="00390426"/>
    <w:rsid w:val="0039171B"/>
    <w:rsid w:val="003917D9"/>
    <w:rsid w:val="00391868"/>
    <w:rsid w:val="00391FF9"/>
    <w:rsid w:val="0039379E"/>
    <w:rsid w:val="00393FCF"/>
    <w:rsid w:val="00394007"/>
    <w:rsid w:val="003941DD"/>
    <w:rsid w:val="0039432C"/>
    <w:rsid w:val="00394705"/>
    <w:rsid w:val="003947E5"/>
    <w:rsid w:val="0039499F"/>
    <w:rsid w:val="00395156"/>
    <w:rsid w:val="00395D11"/>
    <w:rsid w:val="00396326"/>
    <w:rsid w:val="00396475"/>
    <w:rsid w:val="0039649D"/>
    <w:rsid w:val="003965B3"/>
    <w:rsid w:val="0039671C"/>
    <w:rsid w:val="00396C82"/>
    <w:rsid w:val="00396F2B"/>
    <w:rsid w:val="00397109"/>
    <w:rsid w:val="0039734F"/>
    <w:rsid w:val="00397534"/>
    <w:rsid w:val="003978FF"/>
    <w:rsid w:val="003A0286"/>
    <w:rsid w:val="003A06E3"/>
    <w:rsid w:val="003A0B07"/>
    <w:rsid w:val="003A0D59"/>
    <w:rsid w:val="003A1240"/>
    <w:rsid w:val="003A1D51"/>
    <w:rsid w:val="003A1E5C"/>
    <w:rsid w:val="003A224E"/>
    <w:rsid w:val="003A2AD2"/>
    <w:rsid w:val="003A2D31"/>
    <w:rsid w:val="003A34D6"/>
    <w:rsid w:val="003A369C"/>
    <w:rsid w:val="003A3F75"/>
    <w:rsid w:val="003A43B7"/>
    <w:rsid w:val="003A47E4"/>
    <w:rsid w:val="003A5808"/>
    <w:rsid w:val="003A5841"/>
    <w:rsid w:val="003A5B18"/>
    <w:rsid w:val="003A5F85"/>
    <w:rsid w:val="003A67EB"/>
    <w:rsid w:val="003A691B"/>
    <w:rsid w:val="003A6AD5"/>
    <w:rsid w:val="003A743F"/>
    <w:rsid w:val="003B0865"/>
    <w:rsid w:val="003B09B2"/>
    <w:rsid w:val="003B0F62"/>
    <w:rsid w:val="003B126D"/>
    <w:rsid w:val="003B169F"/>
    <w:rsid w:val="003B1F98"/>
    <w:rsid w:val="003B2215"/>
    <w:rsid w:val="003B2751"/>
    <w:rsid w:val="003B2AB1"/>
    <w:rsid w:val="003B2FDA"/>
    <w:rsid w:val="003B3F7E"/>
    <w:rsid w:val="003B4A7E"/>
    <w:rsid w:val="003B4CA3"/>
    <w:rsid w:val="003B537E"/>
    <w:rsid w:val="003B555F"/>
    <w:rsid w:val="003B556E"/>
    <w:rsid w:val="003B5907"/>
    <w:rsid w:val="003B599D"/>
    <w:rsid w:val="003B5C50"/>
    <w:rsid w:val="003B62CD"/>
    <w:rsid w:val="003B686C"/>
    <w:rsid w:val="003B69F8"/>
    <w:rsid w:val="003B6CEB"/>
    <w:rsid w:val="003B70CA"/>
    <w:rsid w:val="003B795A"/>
    <w:rsid w:val="003C0AEF"/>
    <w:rsid w:val="003C0D87"/>
    <w:rsid w:val="003C0DF0"/>
    <w:rsid w:val="003C1B45"/>
    <w:rsid w:val="003C1EB0"/>
    <w:rsid w:val="003C2104"/>
    <w:rsid w:val="003C22B3"/>
    <w:rsid w:val="003C27E4"/>
    <w:rsid w:val="003C2B50"/>
    <w:rsid w:val="003C2EAF"/>
    <w:rsid w:val="003C341B"/>
    <w:rsid w:val="003C36AC"/>
    <w:rsid w:val="003C371D"/>
    <w:rsid w:val="003C4894"/>
    <w:rsid w:val="003C49BF"/>
    <w:rsid w:val="003C4D1D"/>
    <w:rsid w:val="003C4EAF"/>
    <w:rsid w:val="003C4F5C"/>
    <w:rsid w:val="003C569A"/>
    <w:rsid w:val="003C5730"/>
    <w:rsid w:val="003C59EB"/>
    <w:rsid w:val="003C5B2C"/>
    <w:rsid w:val="003C5B65"/>
    <w:rsid w:val="003C5C13"/>
    <w:rsid w:val="003C6939"/>
    <w:rsid w:val="003C6A43"/>
    <w:rsid w:val="003C7167"/>
    <w:rsid w:val="003C75B0"/>
    <w:rsid w:val="003C7923"/>
    <w:rsid w:val="003C7A3C"/>
    <w:rsid w:val="003C7A48"/>
    <w:rsid w:val="003C7A6F"/>
    <w:rsid w:val="003C7B70"/>
    <w:rsid w:val="003D00FF"/>
    <w:rsid w:val="003D0572"/>
    <w:rsid w:val="003D0718"/>
    <w:rsid w:val="003D08C0"/>
    <w:rsid w:val="003D0D31"/>
    <w:rsid w:val="003D11E9"/>
    <w:rsid w:val="003D1351"/>
    <w:rsid w:val="003D1564"/>
    <w:rsid w:val="003D16AF"/>
    <w:rsid w:val="003D1948"/>
    <w:rsid w:val="003D1EDA"/>
    <w:rsid w:val="003D21A2"/>
    <w:rsid w:val="003D2C15"/>
    <w:rsid w:val="003D31E3"/>
    <w:rsid w:val="003D34E8"/>
    <w:rsid w:val="003D3A05"/>
    <w:rsid w:val="003D3B20"/>
    <w:rsid w:val="003D40DB"/>
    <w:rsid w:val="003D45FF"/>
    <w:rsid w:val="003D59B8"/>
    <w:rsid w:val="003D5A16"/>
    <w:rsid w:val="003D5A54"/>
    <w:rsid w:val="003D641A"/>
    <w:rsid w:val="003D6E07"/>
    <w:rsid w:val="003D6E4F"/>
    <w:rsid w:val="003D6FAD"/>
    <w:rsid w:val="003D760D"/>
    <w:rsid w:val="003D7778"/>
    <w:rsid w:val="003D7A83"/>
    <w:rsid w:val="003D7EB7"/>
    <w:rsid w:val="003D7EFF"/>
    <w:rsid w:val="003E0102"/>
    <w:rsid w:val="003E018D"/>
    <w:rsid w:val="003E02FD"/>
    <w:rsid w:val="003E07FE"/>
    <w:rsid w:val="003E0B8D"/>
    <w:rsid w:val="003E0C9B"/>
    <w:rsid w:val="003E0E6B"/>
    <w:rsid w:val="003E1759"/>
    <w:rsid w:val="003E18BA"/>
    <w:rsid w:val="003E22C5"/>
    <w:rsid w:val="003E26FD"/>
    <w:rsid w:val="003E2715"/>
    <w:rsid w:val="003E2D55"/>
    <w:rsid w:val="003E2F1D"/>
    <w:rsid w:val="003E3B62"/>
    <w:rsid w:val="003E3C50"/>
    <w:rsid w:val="003E41B7"/>
    <w:rsid w:val="003E42EA"/>
    <w:rsid w:val="003E4CD7"/>
    <w:rsid w:val="003E4DFB"/>
    <w:rsid w:val="003E4FA2"/>
    <w:rsid w:val="003E5CC4"/>
    <w:rsid w:val="003E5F27"/>
    <w:rsid w:val="003E62B0"/>
    <w:rsid w:val="003E67F4"/>
    <w:rsid w:val="003E6D3D"/>
    <w:rsid w:val="003E71CF"/>
    <w:rsid w:val="003E74B0"/>
    <w:rsid w:val="003E7A48"/>
    <w:rsid w:val="003E7A8B"/>
    <w:rsid w:val="003E7BE8"/>
    <w:rsid w:val="003F0325"/>
    <w:rsid w:val="003F046E"/>
    <w:rsid w:val="003F0527"/>
    <w:rsid w:val="003F10C1"/>
    <w:rsid w:val="003F1297"/>
    <w:rsid w:val="003F137C"/>
    <w:rsid w:val="003F1CA1"/>
    <w:rsid w:val="003F1E4A"/>
    <w:rsid w:val="003F2191"/>
    <w:rsid w:val="003F2216"/>
    <w:rsid w:val="003F2389"/>
    <w:rsid w:val="003F2E34"/>
    <w:rsid w:val="003F3659"/>
    <w:rsid w:val="003F3ADA"/>
    <w:rsid w:val="003F3BF5"/>
    <w:rsid w:val="003F3EB3"/>
    <w:rsid w:val="003F4670"/>
    <w:rsid w:val="003F4927"/>
    <w:rsid w:val="003F4BCC"/>
    <w:rsid w:val="003F4DBB"/>
    <w:rsid w:val="003F4F81"/>
    <w:rsid w:val="003F4F88"/>
    <w:rsid w:val="003F50F9"/>
    <w:rsid w:val="003F57D6"/>
    <w:rsid w:val="003F57DD"/>
    <w:rsid w:val="003F5BA0"/>
    <w:rsid w:val="003F5BA7"/>
    <w:rsid w:val="003F6257"/>
    <w:rsid w:val="003F627C"/>
    <w:rsid w:val="003F62FD"/>
    <w:rsid w:val="003F6423"/>
    <w:rsid w:val="003F6D76"/>
    <w:rsid w:val="003F730D"/>
    <w:rsid w:val="003F7ECB"/>
    <w:rsid w:val="0040049A"/>
    <w:rsid w:val="004009A3"/>
    <w:rsid w:val="00400DE0"/>
    <w:rsid w:val="00400EB7"/>
    <w:rsid w:val="00401441"/>
    <w:rsid w:val="00401AF0"/>
    <w:rsid w:val="00402061"/>
    <w:rsid w:val="004021A1"/>
    <w:rsid w:val="004027C7"/>
    <w:rsid w:val="0040320B"/>
    <w:rsid w:val="00403629"/>
    <w:rsid w:val="00403F16"/>
    <w:rsid w:val="00404477"/>
    <w:rsid w:val="00404503"/>
    <w:rsid w:val="004047DD"/>
    <w:rsid w:val="00404856"/>
    <w:rsid w:val="00404E72"/>
    <w:rsid w:val="0040600A"/>
    <w:rsid w:val="0040602F"/>
    <w:rsid w:val="00406364"/>
    <w:rsid w:val="004063F1"/>
    <w:rsid w:val="004064A2"/>
    <w:rsid w:val="004064A3"/>
    <w:rsid w:val="00406840"/>
    <w:rsid w:val="00406DB2"/>
    <w:rsid w:val="00407E95"/>
    <w:rsid w:val="0041008E"/>
    <w:rsid w:val="00410386"/>
    <w:rsid w:val="00410C33"/>
    <w:rsid w:val="00410EC0"/>
    <w:rsid w:val="00412398"/>
    <w:rsid w:val="00412DA1"/>
    <w:rsid w:val="00412DD4"/>
    <w:rsid w:val="00412DE3"/>
    <w:rsid w:val="004133E4"/>
    <w:rsid w:val="004137CB"/>
    <w:rsid w:val="004139DF"/>
    <w:rsid w:val="00413D3B"/>
    <w:rsid w:val="00414728"/>
    <w:rsid w:val="00414A66"/>
    <w:rsid w:val="0041538D"/>
    <w:rsid w:val="004163D2"/>
    <w:rsid w:val="00416679"/>
    <w:rsid w:val="0041669B"/>
    <w:rsid w:val="00416767"/>
    <w:rsid w:val="00416D13"/>
    <w:rsid w:val="00416D39"/>
    <w:rsid w:val="00416E4A"/>
    <w:rsid w:val="00417260"/>
    <w:rsid w:val="004173BA"/>
    <w:rsid w:val="00417A07"/>
    <w:rsid w:val="00417B5D"/>
    <w:rsid w:val="00417DAB"/>
    <w:rsid w:val="00420A48"/>
    <w:rsid w:val="00420E9E"/>
    <w:rsid w:val="004214A9"/>
    <w:rsid w:val="004216E6"/>
    <w:rsid w:val="00421BDE"/>
    <w:rsid w:val="00421D9F"/>
    <w:rsid w:val="0042222B"/>
    <w:rsid w:val="0042223C"/>
    <w:rsid w:val="00422C99"/>
    <w:rsid w:val="004237D4"/>
    <w:rsid w:val="00423C03"/>
    <w:rsid w:val="004247CB"/>
    <w:rsid w:val="004248BA"/>
    <w:rsid w:val="00424B10"/>
    <w:rsid w:val="00425158"/>
    <w:rsid w:val="00425216"/>
    <w:rsid w:val="004252CF"/>
    <w:rsid w:val="00426471"/>
    <w:rsid w:val="0042660F"/>
    <w:rsid w:val="004266E1"/>
    <w:rsid w:val="00426A4E"/>
    <w:rsid w:val="00426A51"/>
    <w:rsid w:val="00426B2B"/>
    <w:rsid w:val="00427157"/>
    <w:rsid w:val="00427897"/>
    <w:rsid w:val="00427A39"/>
    <w:rsid w:val="00427A65"/>
    <w:rsid w:val="00427C1E"/>
    <w:rsid w:val="00427E80"/>
    <w:rsid w:val="00430D4D"/>
    <w:rsid w:val="00432326"/>
    <w:rsid w:val="00432673"/>
    <w:rsid w:val="0043287E"/>
    <w:rsid w:val="00432D0B"/>
    <w:rsid w:val="00432F49"/>
    <w:rsid w:val="00433035"/>
    <w:rsid w:val="004331B5"/>
    <w:rsid w:val="004336A7"/>
    <w:rsid w:val="0043384E"/>
    <w:rsid w:val="00433A78"/>
    <w:rsid w:val="00433BC6"/>
    <w:rsid w:val="00434181"/>
    <w:rsid w:val="00434531"/>
    <w:rsid w:val="00434B92"/>
    <w:rsid w:val="00435842"/>
    <w:rsid w:val="004358AE"/>
    <w:rsid w:val="00435E3A"/>
    <w:rsid w:val="0043673B"/>
    <w:rsid w:val="00436AB1"/>
    <w:rsid w:val="00436B2A"/>
    <w:rsid w:val="00436CAF"/>
    <w:rsid w:val="00436D5F"/>
    <w:rsid w:val="00436FA1"/>
    <w:rsid w:val="00437032"/>
    <w:rsid w:val="004377F2"/>
    <w:rsid w:val="0044021D"/>
    <w:rsid w:val="004402B2"/>
    <w:rsid w:val="004406BE"/>
    <w:rsid w:val="00440915"/>
    <w:rsid w:val="00440E66"/>
    <w:rsid w:val="00440FCB"/>
    <w:rsid w:val="00441131"/>
    <w:rsid w:val="004412FB"/>
    <w:rsid w:val="00441CB9"/>
    <w:rsid w:val="00442095"/>
    <w:rsid w:val="004425EB"/>
    <w:rsid w:val="004427DB"/>
    <w:rsid w:val="0044297F"/>
    <w:rsid w:val="00442ED8"/>
    <w:rsid w:val="004447E3"/>
    <w:rsid w:val="00444D40"/>
    <w:rsid w:val="00444D46"/>
    <w:rsid w:val="00444FF7"/>
    <w:rsid w:val="00445429"/>
    <w:rsid w:val="0044576E"/>
    <w:rsid w:val="00445D1C"/>
    <w:rsid w:val="00445DED"/>
    <w:rsid w:val="00445E19"/>
    <w:rsid w:val="00445FBA"/>
    <w:rsid w:val="0044665B"/>
    <w:rsid w:val="0044731B"/>
    <w:rsid w:val="00447C6B"/>
    <w:rsid w:val="00450138"/>
    <w:rsid w:val="00450202"/>
    <w:rsid w:val="004507BE"/>
    <w:rsid w:val="00450857"/>
    <w:rsid w:val="00450B1D"/>
    <w:rsid w:val="00450DCF"/>
    <w:rsid w:val="00450F55"/>
    <w:rsid w:val="00451837"/>
    <w:rsid w:val="00451B2F"/>
    <w:rsid w:val="00452266"/>
    <w:rsid w:val="00453047"/>
    <w:rsid w:val="00453349"/>
    <w:rsid w:val="00453720"/>
    <w:rsid w:val="00453D47"/>
    <w:rsid w:val="00453EF1"/>
    <w:rsid w:val="00454268"/>
    <w:rsid w:val="004542E9"/>
    <w:rsid w:val="00454CC5"/>
    <w:rsid w:val="00455022"/>
    <w:rsid w:val="004554A0"/>
    <w:rsid w:val="004557B3"/>
    <w:rsid w:val="0045596E"/>
    <w:rsid w:val="00455AAE"/>
    <w:rsid w:val="00455AC4"/>
    <w:rsid w:val="00455B48"/>
    <w:rsid w:val="00457116"/>
    <w:rsid w:val="00457390"/>
    <w:rsid w:val="00457A39"/>
    <w:rsid w:val="00457A3C"/>
    <w:rsid w:val="00457E94"/>
    <w:rsid w:val="00457F6B"/>
    <w:rsid w:val="00460145"/>
    <w:rsid w:val="00460272"/>
    <w:rsid w:val="00460785"/>
    <w:rsid w:val="00460840"/>
    <w:rsid w:val="00460988"/>
    <w:rsid w:val="004609E1"/>
    <w:rsid w:val="00460A4E"/>
    <w:rsid w:val="0046138A"/>
    <w:rsid w:val="00461588"/>
    <w:rsid w:val="0046168A"/>
    <w:rsid w:val="0046168F"/>
    <w:rsid w:val="00461836"/>
    <w:rsid w:val="004619C7"/>
    <w:rsid w:val="00462710"/>
    <w:rsid w:val="004628EF"/>
    <w:rsid w:val="00462E42"/>
    <w:rsid w:val="004630DE"/>
    <w:rsid w:val="00463395"/>
    <w:rsid w:val="00463546"/>
    <w:rsid w:val="004635AF"/>
    <w:rsid w:val="004637F7"/>
    <w:rsid w:val="00463880"/>
    <w:rsid w:val="00464EC8"/>
    <w:rsid w:val="00465315"/>
    <w:rsid w:val="0046575C"/>
    <w:rsid w:val="00466342"/>
    <w:rsid w:val="004669A9"/>
    <w:rsid w:val="004672A8"/>
    <w:rsid w:val="00467462"/>
    <w:rsid w:val="00467D41"/>
    <w:rsid w:val="00467E14"/>
    <w:rsid w:val="004702E6"/>
    <w:rsid w:val="004703EB"/>
    <w:rsid w:val="004705B4"/>
    <w:rsid w:val="00470D0F"/>
    <w:rsid w:val="00470E70"/>
    <w:rsid w:val="004713C8"/>
    <w:rsid w:val="00471D4E"/>
    <w:rsid w:val="0047217E"/>
    <w:rsid w:val="00472480"/>
    <w:rsid w:val="00472724"/>
    <w:rsid w:val="00472F59"/>
    <w:rsid w:val="00473899"/>
    <w:rsid w:val="00473CF4"/>
    <w:rsid w:val="00473F7B"/>
    <w:rsid w:val="00474877"/>
    <w:rsid w:val="004748C2"/>
    <w:rsid w:val="004748C7"/>
    <w:rsid w:val="004757ED"/>
    <w:rsid w:val="00475A4B"/>
    <w:rsid w:val="00475EE4"/>
    <w:rsid w:val="00476C32"/>
    <w:rsid w:val="00476DD9"/>
    <w:rsid w:val="004770A6"/>
    <w:rsid w:val="004779DF"/>
    <w:rsid w:val="00480CD5"/>
    <w:rsid w:val="00480D19"/>
    <w:rsid w:val="004811AA"/>
    <w:rsid w:val="00481302"/>
    <w:rsid w:val="00481AB2"/>
    <w:rsid w:val="00482322"/>
    <w:rsid w:val="004829A5"/>
    <w:rsid w:val="00482E6A"/>
    <w:rsid w:val="00482F22"/>
    <w:rsid w:val="004835C3"/>
    <w:rsid w:val="0048391C"/>
    <w:rsid w:val="004839B6"/>
    <w:rsid w:val="004839E6"/>
    <w:rsid w:val="00483AA9"/>
    <w:rsid w:val="00483D8B"/>
    <w:rsid w:val="00484339"/>
    <w:rsid w:val="004843C1"/>
    <w:rsid w:val="00484576"/>
    <w:rsid w:val="004845AF"/>
    <w:rsid w:val="00484A3C"/>
    <w:rsid w:val="004879ED"/>
    <w:rsid w:val="00487A0C"/>
    <w:rsid w:val="00487D61"/>
    <w:rsid w:val="00487D72"/>
    <w:rsid w:val="00490618"/>
    <w:rsid w:val="004908FF"/>
    <w:rsid w:val="00490C93"/>
    <w:rsid w:val="004911E5"/>
    <w:rsid w:val="00491677"/>
    <w:rsid w:val="00491858"/>
    <w:rsid w:val="004921CC"/>
    <w:rsid w:val="0049231A"/>
    <w:rsid w:val="00492DAC"/>
    <w:rsid w:val="004937C3"/>
    <w:rsid w:val="0049403A"/>
    <w:rsid w:val="004947BF"/>
    <w:rsid w:val="004947EE"/>
    <w:rsid w:val="004949CD"/>
    <w:rsid w:val="00494A4A"/>
    <w:rsid w:val="00494AB0"/>
    <w:rsid w:val="00494C66"/>
    <w:rsid w:val="00494EE6"/>
    <w:rsid w:val="00495133"/>
    <w:rsid w:val="00495202"/>
    <w:rsid w:val="0049583A"/>
    <w:rsid w:val="00495971"/>
    <w:rsid w:val="00495B6E"/>
    <w:rsid w:val="00495E9A"/>
    <w:rsid w:val="00495F92"/>
    <w:rsid w:val="0049641C"/>
    <w:rsid w:val="004964E0"/>
    <w:rsid w:val="00496BB4"/>
    <w:rsid w:val="00496C24"/>
    <w:rsid w:val="004975AD"/>
    <w:rsid w:val="0049782D"/>
    <w:rsid w:val="00497B4F"/>
    <w:rsid w:val="004A08C8"/>
    <w:rsid w:val="004A0AED"/>
    <w:rsid w:val="004A1086"/>
    <w:rsid w:val="004A1516"/>
    <w:rsid w:val="004A1A0B"/>
    <w:rsid w:val="004A2070"/>
    <w:rsid w:val="004A231F"/>
    <w:rsid w:val="004A2643"/>
    <w:rsid w:val="004A2651"/>
    <w:rsid w:val="004A26FB"/>
    <w:rsid w:val="004A299D"/>
    <w:rsid w:val="004A2B87"/>
    <w:rsid w:val="004A3165"/>
    <w:rsid w:val="004A3397"/>
    <w:rsid w:val="004A366A"/>
    <w:rsid w:val="004A36D4"/>
    <w:rsid w:val="004A37A2"/>
    <w:rsid w:val="004A3E47"/>
    <w:rsid w:val="004A46CD"/>
    <w:rsid w:val="004A4D70"/>
    <w:rsid w:val="004A4F6E"/>
    <w:rsid w:val="004A557F"/>
    <w:rsid w:val="004A55D8"/>
    <w:rsid w:val="004A647F"/>
    <w:rsid w:val="004A66DF"/>
    <w:rsid w:val="004A695D"/>
    <w:rsid w:val="004A70B8"/>
    <w:rsid w:val="004A73C0"/>
    <w:rsid w:val="004A73E7"/>
    <w:rsid w:val="004A769B"/>
    <w:rsid w:val="004B0279"/>
    <w:rsid w:val="004B04C1"/>
    <w:rsid w:val="004B09F1"/>
    <w:rsid w:val="004B0BFD"/>
    <w:rsid w:val="004B10B3"/>
    <w:rsid w:val="004B1719"/>
    <w:rsid w:val="004B1A3F"/>
    <w:rsid w:val="004B2B65"/>
    <w:rsid w:val="004B2BF7"/>
    <w:rsid w:val="004B2FB4"/>
    <w:rsid w:val="004B335F"/>
    <w:rsid w:val="004B41CF"/>
    <w:rsid w:val="004B4836"/>
    <w:rsid w:val="004B485D"/>
    <w:rsid w:val="004B5173"/>
    <w:rsid w:val="004B5523"/>
    <w:rsid w:val="004B5546"/>
    <w:rsid w:val="004B573D"/>
    <w:rsid w:val="004B61CB"/>
    <w:rsid w:val="004B68D2"/>
    <w:rsid w:val="004B731B"/>
    <w:rsid w:val="004B7495"/>
    <w:rsid w:val="004B779B"/>
    <w:rsid w:val="004C037E"/>
    <w:rsid w:val="004C06B4"/>
    <w:rsid w:val="004C0BAC"/>
    <w:rsid w:val="004C0D61"/>
    <w:rsid w:val="004C1041"/>
    <w:rsid w:val="004C10A7"/>
    <w:rsid w:val="004C10FB"/>
    <w:rsid w:val="004C11B2"/>
    <w:rsid w:val="004C137B"/>
    <w:rsid w:val="004C1830"/>
    <w:rsid w:val="004C1A72"/>
    <w:rsid w:val="004C1DD4"/>
    <w:rsid w:val="004C24C1"/>
    <w:rsid w:val="004C28DD"/>
    <w:rsid w:val="004C2C82"/>
    <w:rsid w:val="004C3185"/>
    <w:rsid w:val="004C3406"/>
    <w:rsid w:val="004C3643"/>
    <w:rsid w:val="004C3938"/>
    <w:rsid w:val="004C3EF4"/>
    <w:rsid w:val="004C42E4"/>
    <w:rsid w:val="004C4F8F"/>
    <w:rsid w:val="004C5018"/>
    <w:rsid w:val="004C558B"/>
    <w:rsid w:val="004C57F1"/>
    <w:rsid w:val="004C59D5"/>
    <w:rsid w:val="004C5A04"/>
    <w:rsid w:val="004C5C5E"/>
    <w:rsid w:val="004C5DE7"/>
    <w:rsid w:val="004C6090"/>
    <w:rsid w:val="004C63A2"/>
    <w:rsid w:val="004C64A9"/>
    <w:rsid w:val="004C663E"/>
    <w:rsid w:val="004C71F7"/>
    <w:rsid w:val="004C732F"/>
    <w:rsid w:val="004C74EA"/>
    <w:rsid w:val="004C76C5"/>
    <w:rsid w:val="004C7A8D"/>
    <w:rsid w:val="004D0AD4"/>
    <w:rsid w:val="004D0B5F"/>
    <w:rsid w:val="004D0D5D"/>
    <w:rsid w:val="004D0F02"/>
    <w:rsid w:val="004D189F"/>
    <w:rsid w:val="004D18C0"/>
    <w:rsid w:val="004D1929"/>
    <w:rsid w:val="004D1FF4"/>
    <w:rsid w:val="004D2658"/>
    <w:rsid w:val="004D2A49"/>
    <w:rsid w:val="004D2D2F"/>
    <w:rsid w:val="004D33BE"/>
    <w:rsid w:val="004D387A"/>
    <w:rsid w:val="004D3A10"/>
    <w:rsid w:val="004D3D25"/>
    <w:rsid w:val="004D47DC"/>
    <w:rsid w:val="004D4857"/>
    <w:rsid w:val="004D49FF"/>
    <w:rsid w:val="004D51D9"/>
    <w:rsid w:val="004D52BC"/>
    <w:rsid w:val="004D5BB9"/>
    <w:rsid w:val="004D6230"/>
    <w:rsid w:val="004D62CA"/>
    <w:rsid w:val="004D6326"/>
    <w:rsid w:val="004D76FF"/>
    <w:rsid w:val="004E0CB5"/>
    <w:rsid w:val="004E0E62"/>
    <w:rsid w:val="004E126C"/>
    <w:rsid w:val="004E171B"/>
    <w:rsid w:val="004E1B17"/>
    <w:rsid w:val="004E1CD7"/>
    <w:rsid w:val="004E1EA1"/>
    <w:rsid w:val="004E2038"/>
    <w:rsid w:val="004E2794"/>
    <w:rsid w:val="004E2841"/>
    <w:rsid w:val="004E292B"/>
    <w:rsid w:val="004E326A"/>
    <w:rsid w:val="004E33DF"/>
    <w:rsid w:val="004E3585"/>
    <w:rsid w:val="004E35F9"/>
    <w:rsid w:val="004E3AF5"/>
    <w:rsid w:val="004E3AFA"/>
    <w:rsid w:val="004E3BC7"/>
    <w:rsid w:val="004E3DF3"/>
    <w:rsid w:val="004E3EBC"/>
    <w:rsid w:val="004E40BC"/>
    <w:rsid w:val="004E466B"/>
    <w:rsid w:val="004E4B0C"/>
    <w:rsid w:val="004E5A58"/>
    <w:rsid w:val="004E6746"/>
    <w:rsid w:val="004E69D9"/>
    <w:rsid w:val="004E6DF0"/>
    <w:rsid w:val="004E7738"/>
    <w:rsid w:val="004F081C"/>
    <w:rsid w:val="004F087A"/>
    <w:rsid w:val="004F0CAB"/>
    <w:rsid w:val="004F0DE6"/>
    <w:rsid w:val="004F10D4"/>
    <w:rsid w:val="004F1C75"/>
    <w:rsid w:val="004F2303"/>
    <w:rsid w:val="004F245E"/>
    <w:rsid w:val="004F274B"/>
    <w:rsid w:val="004F2D7B"/>
    <w:rsid w:val="004F40D0"/>
    <w:rsid w:val="004F4A6D"/>
    <w:rsid w:val="004F4CC3"/>
    <w:rsid w:val="004F52B1"/>
    <w:rsid w:val="004F55A4"/>
    <w:rsid w:val="004F5658"/>
    <w:rsid w:val="004F5F9E"/>
    <w:rsid w:val="004F6A7A"/>
    <w:rsid w:val="004F6B51"/>
    <w:rsid w:val="004F6CF5"/>
    <w:rsid w:val="004F6F5D"/>
    <w:rsid w:val="0050043B"/>
    <w:rsid w:val="0050051A"/>
    <w:rsid w:val="00500C8F"/>
    <w:rsid w:val="00500CFF"/>
    <w:rsid w:val="00500F3C"/>
    <w:rsid w:val="00501612"/>
    <w:rsid w:val="0050165B"/>
    <w:rsid w:val="00501869"/>
    <w:rsid w:val="005018E5"/>
    <w:rsid w:val="00502373"/>
    <w:rsid w:val="00502586"/>
    <w:rsid w:val="00502758"/>
    <w:rsid w:val="00502AD8"/>
    <w:rsid w:val="00502DE0"/>
    <w:rsid w:val="00502F32"/>
    <w:rsid w:val="00502FA8"/>
    <w:rsid w:val="0050327A"/>
    <w:rsid w:val="00503527"/>
    <w:rsid w:val="005036C3"/>
    <w:rsid w:val="005036C4"/>
    <w:rsid w:val="005039F7"/>
    <w:rsid w:val="00503B9E"/>
    <w:rsid w:val="00503E6F"/>
    <w:rsid w:val="005043F2"/>
    <w:rsid w:val="0050448B"/>
    <w:rsid w:val="00504F1D"/>
    <w:rsid w:val="005050DB"/>
    <w:rsid w:val="00505228"/>
    <w:rsid w:val="00505DB2"/>
    <w:rsid w:val="00507376"/>
    <w:rsid w:val="00510174"/>
    <w:rsid w:val="00510484"/>
    <w:rsid w:val="0051097E"/>
    <w:rsid w:val="0051101F"/>
    <w:rsid w:val="005119DB"/>
    <w:rsid w:val="00512DB7"/>
    <w:rsid w:val="005130A6"/>
    <w:rsid w:val="00513627"/>
    <w:rsid w:val="005138DB"/>
    <w:rsid w:val="005138FB"/>
    <w:rsid w:val="00514DC9"/>
    <w:rsid w:val="005158C5"/>
    <w:rsid w:val="00516041"/>
    <w:rsid w:val="00516FFA"/>
    <w:rsid w:val="00517F30"/>
    <w:rsid w:val="00517F81"/>
    <w:rsid w:val="00520406"/>
    <w:rsid w:val="0052044D"/>
    <w:rsid w:val="005204FD"/>
    <w:rsid w:val="00520989"/>
    <w:rsid w:val="00520E79"/>
    <w:rsid w:val="00521150"/>
    <w:rsid w:val="005214F9"/>
    <w:rsid w:val="00521934"/>
    <w:rsid w:val="00521B27"/>
    <w:rsid w:val="00521EDB"/>
    <w:rsid w:val="00521F76"/>
    <w:rsid w:val="005221D4"/>
    <w:rsid w:val="00522CBB"/>
    <w:rsid w:val="005230A8"/>
    <w:rsid w:val="00523759"/>
    <w:rsid w:val="00523F26"/>
    <w:rsid w:val="00523FA5"/>
    <w:rsid w:val="00524048"/>
    <w:rsid w:val="00524473"/>
    <w:rsid w:val="00524DBA"/>
    <w:rsid w:val="00524DD5"/>
    <w:rsid w:val="005250F7"/>
    <w:rsid w:val="005252FE"/>
    <w:rsid w:val="00525586"/>
    <w:rsid w:val="00525E88"/>
    <w:rsid w:val="0052610D"/>
    <w:rsid w:val="0052628D"/>
    <w:rsid w:val="005268F0"/>
    <w:rsid w:val="00526B8F"/>
    <w:rsid w:val="0052764C"/>
    <w:rsid w:val="00527675"/>
    <w:rsid w:val="005277D0"/>
    <w:rsid w:val="00527C2C"/>
    <w:rsid w:val="005302DE"/>
    <w:rsid w:val="005303A7"/>
    <w:rsid w:val="00530CF1"/>
    <w:rsid w:val="005311C3"/>
    <w:rsid w:val="005313D8"/>
    <w:rsid w:val="00531EC1"/>
    <w:rsid w:val="00532121"/>
    <w:rsid w:val="00532298"/>
    <w:rsid w:val="0053231E"/>
    <w:rsid w:val="00532D12"/>
    <w:rsid w:val="005334C1"/>
    <w:rsid w:val="0053443B"/>
    <w:rsid w:val="00534D5A"/>
    <w:rsid w:val="00534FF8"/>
    <w:rsid w:val="00534FFC"/>
    <w:rsid w:val="005351FC"/>
    <w:rsid w:val="005354F9"/>
    <w:rsid w:val="0053550A"/>
    <w:rsid w:val="00535A89"/>
    <w:rsid w:val="00535C6B"/>
    <w:rsid w:val="00536222"/>
    <w:rsid w:val="0053623B"/>
    <w:rsid w:val="0053635C"/>
    <w:rsid w:val="00536B81"/>
    <w:rsid w:val="00536FA4"/>
    <w:rsid w:val="0053777D"/>
    <w:rsid w:val="005378C0"/>
    <w:rsid w:val="00537BE1"/>
    <w:rsid w:val="0054033B"/>
    <w:rsid w:val="005408CC"/>
    <w:rsid w:val="00540981"/>
    <w:rsid w:val="00540A29"/>
    <w:rsid w:val="00540AE9"/>
    <w:rsid w:val="005419FD"/>
    <w:rsid w:val="00542C21"/>
    <w:rsid w:val="00542CC9"/>
    <w:rsid w:val="0054315E"/>
    <w:rsid w:val="0054339E"/>
    <w:rsid w:val="00543703"/>
    <w:rsid w:val="005437B8"/>
    <w:rsid w:val="00543C62"/>
    <w:rsid w:val="00543F34"/>
    <w:rsid w:val="005440F8"/>
    <w:rsid w:val="0054427C"/>
    <w:rsid w:val="00544899"/>
    <w:rsid w:val="00544F26"/>
    <w:rsid w:val="00545131"/>
    <w:rsid w:val="0054554C"/>
    <w:rsid w:val="005455A8"/>
    <w:rsid w:val="005456C1"/>
    <w:rsid w:val="00546052"/>
    <w:rsid w:val="00546099"/>
    <w:rsid w:val="00546493"/>
    <w:rsid w:val="005467A5"/>
    <w:rsid w:val="00546898"/>
    <w:rsid w:val="005469AD"/>
    <w:rsid w:val="005469FA"/>
    <w:rsid w:val="00546A40"/>
    <w:rsid w:val="00546CF7"/>
    <w:rsid w:val="00546E17"/>
    <w:rsid w:val="00546F5C"/>
    <w:rsid w:val="005477B8"/>
    <w:rsid w:val="005501FC"/>
    <w:rsid w:val="00550276"/>
    <w:rsid w:val="00551376"/>
    <w:rsid w:val="00551D82"/>
    <w:rsid w:val="00552426"/>
    <w:rsid w:val="005524AC"/>
    <w:rsid w:val="005527C3"/>
    <w:rsid w:val="00553063"/>
    <w:rsid w:val="0055339D"/>
    <w:rsid w:val="005535DA"/>
    <w:rsid w:val="00554436"/>
    <w:rsid w:val="00554529"/>
    <w:rsid w:val="00554688"/>
    <w:rsid w:val="00554856"/>
    <w:rsid w:val="00555B55"/>
    <w:rsid w:val="00555E5B"/>
    <w:rsid w:val="0055636A"/>
    <w:rsid w:val="0055651C"/>
    <w:rsid w:val="005568E9"/>
    <w:rsid w:val="00556C41"/>
    <w:rsid w:val="00556F57"/>
    <w:rsid w:val="0055704C"/>
    <w:rsid w:val="005603B7"/>
    <w:rsid w:val="00560652"/>
    <w:rsid w:val="005608D5"/>
    <w:rsid w:val="00560A3F"/>
    <w:rsid w:val="00560C58"/>
    <w:rsid w:val="005611B4"/>
    <w:rsid w:val="00561902"/>
    <w:rsid w:val="00561C4E"/>
    <w:rsid w:val="005621A2"/>
    <w:rsid w:val="00562A0F"/>
    <w:rsid w:val="00562BB8"/>
    <w:rsid w:val="005630CF"/>
    <w:rsid w:val="0056317A"/>
    <w:rsid w:val="00563B1C"/>
    <w:rsid w:val="00564001"/>
    <w:rsid w:val="0056405E"/>
    <w:rsid w:val="00564108"/>
    <w:rsid w:val="005643BA"/>
    <w:rsid w:val="0056448F"/>
    <w:rsid w:val="005645FA"/>
    <w:rsid w:val="00564B27"/>
    <w:rsid w:val="00564DFA"/>
    <w:rsid w:val="0056523B"/>
    <w:rsid w:val="005653C2"/>
    <w:rsid w:val="005653FC"/>
    <w:rsid w:val="0056549E"/>
    <w:rsid w:val="005659B6"/>
    <w:rsid w:val="00565E74"/>
    <w:rsid w:val="00566135"/>
    <w:rsid w:val="005668D6"/>
    <w:rsid w:val="005668F7"/>
    <w:rsid w:val="00566BCB"/>
    <w:rsid w:val="00567616"/>
    <w:rsid w:val="005676D1"/>
    <w:rsid w:val="005700D3"/>
    <w:rsid w:val="005707AC"/>
    <w:rsid w:val="00570A44"/>
    <w:rsid w:val="00570F1C"/>
    <w:rsid w:val="00570F4F"/>
    <w:rsid w:val="0057113F"/>
    <w:rsid w:val="0057126D"/>
    <w:rsid w:val="00571652"/>
    <w:rsid w:val="00571DA6"/>
    <w:rsid w:val="00571F20"/>
    <w:rsid w:val="00571F43"/>
    <w:rsid w:val="005722E6"/>
    <w:rsid w:val="00572D03"/>
    <w:rsid w:val="00572D2B"/>
    <w:rsid w:val="00573783"/>
    <w:rsid w:val="00574308"/>
    <w:rsid w:val="00574B29"/>
    <w:rsid w:val="00574BF1"/>
    <w:rsid w:val="00574D57"/>
    <w:rsid w:val="00574EA9"/>
    <w:rsid w:val="00575273"/>
    <w:rsid w:val="005766CB"/>
    <w:rsid w:val="00577071"/>
    <w:rsid w:val="00577615"/>
    <w:rsid w:val="005778DD"/>
    <w:rsid w:val="005779B5"/>
    <w:rsid w:val="0058017E"/>
    <w:rsid w:val="00580AE5"/>
    <w:rsid w:val="00580FC6"/>
    <w:rsid w:val="00581041"/>
    <w:rsid w:val="005811B0"/>
    <w:rsid w:val="00581222"/>
    <w:rsid w:val="0058195B"/>
    <w:rsid w:val="00581A19"/>
    <w:rsid w:val="00581BDD"/>
    <w:rsid w:val="00581BE7"/>
    <w:rsid w:val="00582485"/>
    <w:rsid w:val="005826A3"/>
    <w:rsid w:val="005828B1"/>
    <w:rsid w:val="00582AC8"/>
    <w:rsid w:val="00582F2F"/>
    <w:rsid w:val="00583A93"/>
    <w:rsid w:val="00584053"/>
    <w:rsid w:val="005846C3"/>
    <w:rsid w:val="00584D0A"/>
    <w:rsid w:val="00584FEB"/>
    <w:rsid w:val="005855C0"/>
    <w:rsid w:val="00585DAE"/>
    <w:rsid w:val="00586197"/>
    <w:rsid w:val="005861EB"/>
    <w:rsid w:val="005867C8"/>
    <w:rsid w:val="0058681E"/>
    <w:rsid w:val="00587110"/>
    <w:rsid w:val="0058736D"/>
    <w:rsid w:val="005875ED"/>
    <w:rsid w:val="00587DF8"/>
    <w:rsid w:val="0059022B"/>
    <w:rsid w:val="00590289"/>
    <w:rsid w:val="00590826"/>
    <w:rsid w:val="00590BB8"/>
    <w:rsid w:val="00590D4E"/>
    <w:rsid w:val="00590E79"/>
    <w:rsid w:val="00591981"/>
    <w:rsid w:val="00591C39"/>
    <w:rsid w:val="00592229"/>
    <w:rsid w:val="0059278C"/>
    <w:rsid w:val="00592802"/>
    <w:rsid w:val="00592BE9"/>
    <w:rsid w:val="00593148"/>
    <w:rsid w:val="005931CE"/>
    <w:rsid w:val="005932F8"/>
    <w:rsid w:val="00593335"/>
    <w:rsid w:val="0059359C"/>
    <w:rsid w:val="00593CB7"/>
    <w:rsid w:val="00593D23"/>
    <w:rsid w:val="00594034"/>
    <w:rsid w:val="005944B3"/>
    <w:rsid w:val="00594684"/>
    <w:rsid w:val="00594871"/>
    <w:rsid w:val="00594AB5"/>
    <w:rsid w:val="00594B12"/>
    <w:rsid w:val="00595003"/>
    <w:rsid w:val="005954A5"/>
    <w:rsid w:val="0059563E"/>
    <w:rsid w:val="0059593D"/>
    <w:rsid w:val="00595F0D"/>
    <w:rsid w:val="005965F8"/>
    <w:rsid w:val="00596F71"/>
    <w:rsid w:val="005971CA"/>
    <w:rsid w:val="005976DC"/>
    <w:rsid w:val="005979F6"/>
    <w:rsid w:val="005A0B42"/>
    <w:rsid w:val="005A0D27"/>
    <w:rsid w:val="005A0F8B"/>
    <w:rsid w:val="005A1025"/>
    <w:rsid w:val="005A10CF"/>
    <w:rsid w:val="005A1216"/>
    <w:rsid w:val="005A1479"/>
    <w:rsid w:val="005A156E"/>
    <w:rsid w:val="005A16D5"/>
    <w:rsid w:val="005A1E99"/>
    <w:rsid w:val="005A2015"/>
    <w:rsid w:val="005A20B3"/>
    <w:rsid w:val="005A2176"/>
    <w:rsid w:val="005A22D6"/>
    <w:rsid w:val="005A2A82"/>
    <w:rsid w:val="005A2E85"/>
    <w:rsid w:val="005A2F7F"/>
    <w:rsid w:val="005A3035"/>
    <w:rsid w:val="005A312D"/>
    <w:rsid w:val="005A326D"/>
    <w:rsid w:val="005A32B2"/>
    <w:rsid w:val="005A34CF"/>
    <w:rsid w:val="005A37EA"/>
    <w:rsid w:val="005A42EF"/>
    <w:rsid w:val="005A441C"/>
    <w:rsid w:val="005A5187"/>
    <w:rsid w:val="005A54A7"/>
    <w:rsid w:val="005A5B74"/>
    <w:rsid w:val="005A6052"/>
    <w:rsid w:val="005A6736"/>
    <w:rsid w:val="005A6CDD"/>
    <w:rsid w:val="005A6D09"/>
    <w:rsid w:val="005A6E22"/>
    <w:rsid w:val="005A7386"/>
    <w:rsid w:val="005A742F"/>
    <w:rsid w:val="005A7941"/>
    <w:rsid w:val="005A79B1"/>
    <w:rsid w:val="005A7EE4"/>
    <w:rsid w:val="005B01D1"/>
    <w:rsid w:val="005B07B9"/>
    <w:rsid w:val="005B0AF5"/>
    <w:rsid w:val="005B0D69"/>
    <w:rsid w:val="005B109E"/>
    <w:rsid w:val="005B116E"/>
    <w:rsid w:val="005B11DF"/>
    <w:rsid w:val="005B14F7"/>
    <w:rsid w:val="005B1964"/>
    <w:rsid w:val="005B2031"/>
    <w:rsid w:val="005B2AAC"/>
    <w:rsid w:val="005B2C6E"/>
    <w:rsid w:val="005B3E2C"/>
    <w:rsid w:val="005B3F12"/>
    <w:rsid w:val="005B41EB"/>
    <w:rsid w:val="005B4345"/>
    <w:rsid w:val="005B4910"/>
    <w:rsid w:val="005B4C33"/>
    <w:rsid w:val="005B4FAA"/>
    <w:rsid w:val="005B52B5"/>
    <w:rsid w:val="005B5DC0"/>
    <w:rsid w:val="005B634D"/>
    <w:rsid w:val="005B663C"/>
    <w:rsid w:val="005B6A32"/>
    <w:rsid w:val="005B6A82"/>
    <w:rsid w:val="005B6D13"/>
    <w:rsid w:val="005B6EE4"/>
    <w:rsid w:val="005B7283"/>
    <w:rsid w:val="005B740C"/>
    <w:rsid w:val="005C03C3"/>
    <w:rsid w:val="005C0ACD"/>
    <w:rsid w:val="005C0BBE"/>
    <w:rsid w:val="005C1405"/>
    <w:rsid w:val="005C1714"/>
    <w:rsid w:val="005C1B3E"/>
    <w:rsid w:val="005C20D1"/>
    <w:rsid w:val="005C222A"/>
    <w:rsid w:val="005C259E"/>
    <w:rsid w:val="005C2A92"/>
    <w:rsid w:val="005C2B5B"/>
    <w:rsid w:val="005C30A7"/>
    <w:rsid w:val="005C3B2E"/>
    <w:rsid w:val="005C4733"/>
    <w:rsid w:val="005C4E38"/>
    <w:rsid w:val="005C55C2"/>
    <w:rsid w:val="005C6277"/>
    <w:rsid w:val="005C671A"/>
    <w:rsid w:val="005C6790"/>
    <w:rsid w:val="005C6DE9"/>
    <w:rsid w:val="005C7D5F"/>
    <w:rsid w:val="005C7D67"/>
    <w:rsid w:val="005C7DCB"/>
    <w:rsid w:val="005D04B1"/>
    <w:rsid w:val="005D0871"/>
    <w:rsid w:val="005D0C5E"/>
    <w:rsid w:val="005D0D70"/>
    <w:rsid w:val="005D0FA6"/>
    <w:rsid w:val="005D1554"/>
    <w:rsid w:val="005D19FF"/>
    <w:rsid w:val="005D1ADA"/>
    <w:rsid w:val="005D1D08"/>
    <w:rsid w:val="005D1D30"/>
    <w:rsid w:val="005D1FF6"/>
    <w:rsid w:val="005D2311"/>
    <w:rsid w:val="005D2479"/>
    <w:rsid w:val="005D24BC"/>
    <w:rsid w:val="005D2CF3"/>
    <w:rsid w:val="005D2E0D"/>
    <w:rsid w:val="005D305A"/>
    <w:rsid w:val="005D38BA"/>
    <w:rsid w:val="005D3BEA"/>
    <w:rsid w:val="005D3E22"/>
    <w:rsid w:val="005D42C5"/>
    <w:rsid w:val="005D461D"/>
    <w:rsid w:val="005D4644"/>
    <w:rsid w:val="005D4886"/>
    <w:rsid w:val="005D4DCD"/>
    <w:rsid w:val="005D4EE7"/>
    <w:rsid w:val="005D53B0"/>
    <w:rsid w:val="005D53C9"/>
    <w:rsid w:val="005D55B5"/>
    <w:rsid w:val="005D58AB"/>
    <w:rsid w:val="005D5AB4"/>
    <w:rsid w:val="005D64BC"/>
    <w:rsid w:val="005D6B9C"/>
    <w:rsid w:val="005D6BEA"/>
    <w:rsid w:val="005D6F02"/>
    <w:rsid w:val="005D70BF"/>
    <w:rsid w:val="005D7357"/>
    <w:rsid w:val="005E00D3"/>
    <w:rsid w:val="005E075A"/>
    <w:rsid w:val="005E0986"/>
    <w:rsid w:val="005E1344"/>
    <w:rsid w:val="005E1359"/>
    <w:rsid w:val="005E16D7"/>
    <w:rsid w:val="005E1D3F"/>
    <w:rsid w:val="005E1F24"/>
    <w:rsid w:val="005E2ABB"/>
    <w:rsid w:val="005E3503"/>
    <w:rsid w:val="005E3965"/>
    <w:rsid w:val="005E3B0A"/>
    <w:rsid w:val="005E3BA2"/>
    <w:rsid w:val="005E3BB7"/>
    <w:rsid w:val="005E481C"/>
    <w:rsid w:val="005E4901"/>
    <w:rsid w:val="005E4952"/>
    <w:rsid w:val="005E4C56"/>
    <w:rsid w:val="005E4E60"/>
    <w:rsid w:val="005E553D"/>
    <w:rsid w:val="005E5BB6"/>
    <w:rsid w:val="005E6B00"/>
    <w:rsid w:val="005E6DF3"/>
    <w:rsid w:val="005E6F5E"/>
    <w:rsid w:val="005E736E"/>
    <w:rsid w:val="005F0A71"/>
    <w:rsid w:val="005F0F12"/>
    <w:rsid w:val="005F101B"/>
    <w:rsid w:val="005F1099"/>
    <w:rsid w:val="005F112C"/>
    <w:rsid w:val="005F115B"/>
    <w:rsid w:val="005F1E0B"/>
    <w:rsid w:val="005F2518"/>
    <w:rsid w:val="005F25C6"/>
    <w:rsid w:val="005F2DB7"/>
    <w:rsid w:val="005F314C"/>
    <w:rsid w:val="005F35B3"/>
    <w:rsid w:val="005F3845"/>
    <w:rsid w:val="005F38C5"/>
    <w:rsid w:val="005F40AA"/>
    <w:rsid w:val="005F416B"/>
    <w:rsid w:val="005F46A8"/>
    <w:rsid w:val="005F4BA2"/>
    <w:rsid w:val="005F4BAB"/>
    <w:rsid w:val="005F4C92"/>
    <w:rsid w:val="005F5008"/>
    <w:rsid w:val="005F506C"/>
    <w:rsid w:val="005F534C"/>
    <w:rsid w:val="005F570E"/>
    <w:rsid w:val="005F5DAE"/>
    <w:rsid w:val="005F5E07"/>
    <w:rsid w:val="005F6425"/>
    <w:rsid w:val="005F698B"/>
    <w:rsid w:val="005F7089"/>
    <w:rsid w:val="005F7230"/>
    <w:rsid w:val="005F7EE8"/>
    <w:rsid w:val="00600868"/>
    <w:rsid w:val="00600891"/>
    <w:rsid w:val="00600B40"/>
    <w:rsid w:val="00601D6E"/>
    <w:rsid w:val="00601E27"/>
    <w:rsid w:val="00602075"/>
    <w:rsid w:val="006036F5"/>
    <w:rsid w:val="00603D50"/>
    <w:rsid w:val="00603D8D"/>
    <w:rsid w:val="00604399"/>
    <w:rsid w:val="006045E0"/>
    <w:rsid w:val="006053D2"/>
    <w:rsid w:val="006059B7"/>
    <w:rsid w:val="00605E53"/>
    <w:rsid w:val="00606CCE"/>
    <w:rsid w:val="0060776B"/>
    <w:rsid w:val="0060783E"/>
    <w:rsid w:val="00607D84"/>
    <w:rsid w:val="00607EC4"/>
    <w:rsid w:val="00610B38"/>
    <w:rsid w:val="00610B84"/>
    <w:rsid w:val="00610E75"/>
    <w:rsid w:val="006112DB"/>
    <w:rsid w:val="00611789"/>
    <w:rsid w:val="00611844"/>
    <w:rsid w:val="00611B29"/>
    <w:rsid w:val="00611E13"/>
    <w:rsid w:val="00611E95"/>
    <w:rsid w:val="0061247A"/>
    <w:rsid w:val="006126F0"/>
    <w:rsid w:val="006131DC"/>
    <w:rsid w:val="00613359"/>
    <w:rsid w:val="006139F2"/>
    <w:rsid w:val="00613DDD"/>
    <w:rsid w:val="006140D4"/>
    <w:rsid w:val="00614967"/>
    <w:rsid w:val="006149FE"/>
    <w:rsid w:val="0061502B"/>
    <w:rsid w:val="0061510B"/>
    <w:rsid w:val="006160CF"/>
    <w:rsid w:val="006161AE"/>
    <w:rsid w:val="00616363"/>
    <w:rsid w:val="0061638A"/>
    <w:rsid w:val="0061676F"/>
    <w:rsid w:val="00616EEE"/>
    <w:rsid w:val="00617B52"/>
    <w:rsid w:val="00617C5F"/>
    <w:rsid w:val="00617CD0"/>
    <w:rsid w:val="00617EA2"/>
    <w:rsid w:val="00617EB0"/>
    <w:rsid w:val="006200A6"/>
    <w:rsid w:val="00620345"/>
    <w:rsid w:val="006204B2"/>
    <w:rsid w:val="00620C21"/>
    <w:rsid w:val="0062102E"/>
    <w:rsid w:val="00621300"/>
    <w:rsid w:val="006215FE"/>
    <w:rsid w:val="006216E0"/>
    <w:rsid w:val="00621FDB"/>
    <w:rsid w:val="0062201D"/>
    <w:rsid w:val="00622690"/>
    <w:rsid w:val="00622717"/>
    <w:rsid w:val="006243A3"/>
    <w:rsid w:val="006245A7"/>
    <w:rsid w:val="00624E80"/>
    <w:rsid w:val="00625704"/>
    <w:rsid w:val="00625CA8"/>
    <w:rsid w:val="00625DC1"/>
    <w:rsid w:val="00625E10"/>
    <w:rsid w:val="0062623F"/>
    <w:rsid w:val="006264DA"/>
    <w:rsid w:val="00626666"/>
    <w:rsid w:val="0062729C"/>
    <w:rsid w:val="00627D20"/>
    <w:rsid w:val="00627ED6"/>
    <w:rsid w:val="0063101C"/>
    <w:rsid w:val="00631397"/>
    <w:rsid w:val="00632610"/>
    <w:rsid w:val="00633132"/>
    <w:rsid w:val="00633320"/>
    <w:rsid w:val="0063343B"/>
    <w:rsid w:val="00633999"/>
    <w:rsid w:val="00633AA2"/>
    <w:rsid w:val="00633C35"/>
    <w:rsid w:val="00633EF3"/>
    <w:rsid w:val="006347D9"/>
    <w:rsid w:val="006348A7"/>
    <w:rsid w:val="00634CC1"/>
    <w:rsid w:val="00634E71"/>
    <w:rsid w:val="0063551E"/>
    <w:rsid w:val="006356EE"/>
    <w:rsid w:val="00635894"/>
    <w:rsid w:val="0063591B"/>
    <w:rsid w:val="0063593F"/>
    <w:rsid w:val="00635BB4"/>
    <w:rsid w:val="00635E80"/>
    <w:rsid w:val="00635F3A"/>
    <w:rsid w:val="0063610B"/>
    <w:rsid w:val="00636B68"/>
    <w:rsid w:val="00636BBD"/>
    <w:rsid w:val="00636DD4"/>
    <w:rsid w:val="00636E5D"/>
    <w:rsid w:val="00637021"/>
    <w:rsid w:val="00637342"/>
    <w:rsid w:val="006374CE"/>
    <w:rsid w:val="0064029B"/>
    <w:rsid w:val="006403C7"/>
    <w:rsid w:val="0064058C"/>
    <w:rsid w:val="00640DDF"/>
    <w:rsid w:val="00640E24"/>
    <w:rsid w:val="00641093"/>
    <w:rsid w:val="0064150B"/>
    <w:rsid w:val="00641528"/>
    <w:rsid w:val="00641702"/>
    <w:rsid w:val="0064173D"/>
    <w:rsid w:val="006423C7"/>
    <w:rsid w:val="00642D4A"/>
    <w:rsid w:val="00642D4C"/>
    <w:rsid w:val="00643430"/>
    <w:rsid w:val="00643885"/>
    <w:rsid w:val="0064397D"/>
    <w:rsid w:val="00644065"/>
    <w:rsid w:val="00644095"/>
    <w:rsid w:val="006440F0"/>
    <w:rsid w:val="006441AE"/>
    <w:rsid w:val="00644652"/>
    <w:rsid w:val="0064482E"/>
    <w:rsid w:val="00645197"/>
    <w:rsid w:val="006455B6"/>
    <w:rsid w:val="006456D7"/>
    <w:rsid w:val="006458F3"/>
    <w:rsid w:val="00645CCC"/>
    <w:rsid w:val="00645EF6"/>
    <w:rsid w:val="00645F8F"/>
    <w:rsid w:val="00646056"/>
    <w:rsid w:val="0064646F"/>
    <w:rsid w:val="0064696D"/>
    <w:rsid w:val="0064772F"/>
    <w:rsid w:val="006478B9"/>
    <w:rsid w:val="00647906"/>
    <w:rsid w:val="00647D80"/>
    <w:rsid w:val="00647F82"/>
    <w:rsid w:val="006506A1"/>
    <w:rsid w:val="00650751"/>
    <w:rsid w:val="006507D7"/>
    <w:rsid w:val="00650C98"/>
    <w:rsid w:val="00650EB6"/>
    <w:rsid w:val="0065141C"/>
    <w:rsid w:val="00651709"/>
    <w:rsid w:val="0065190C"/>
    <w:rsid w:val="00651DDF"/>
    <w:rsid w:val="00651E9D"/>
    <w:rsid w:val="0065244A"/>
    <w:rsid w:val="00652906"/>
    <w:rsid w:val="0065299F"/>
    <w:rsid w:val="00652D08"/>
    <w:rsid w:val="00652DB0"/>
    <w:rsid w:val="00653662"/>
    <w:rsid w:val="00653A64"/>
    <w:rsid w:val="00653AFA"/>
    <w:rsid w:val="00653DDD"/>
    <w:rsid w:val="00653E49"/>
    <w:rsid w:val="00654179"/>
    <w:rsid w:val="00654246"/>
    <w:rsid w:val="00654623"/>
    <w:rsid w:val="006549D6"/>
    <w:rsid w:val="00654CDA"/>
    <w:rsid w:val="00654D15"/>
    <w:rsid w:val="006550D9"/>
    <w:rsid w:val="0065528E"/>
    <w:rsid w:val="00655567"/>
    <w:rsid w:val="00655BCF"/>
    <w:rsid w:val="00656310"/>
    <w:rsid w:val="0065663C"/>
    <w:rsid w:val="00656A88"/>
    <w:rsid w:val="0065753F"/>
    <w:rsid w:val="006578B8"/>
    <w:rsid w:val="006600BE"/>
    <w:rsid w:val="00660AE7"/>
    <w:rsid w:val="00660D87"/>
    <w:rsid w:val="00660E16"/>
    <w:rsid w:val="0066108D"/>
    <w:rsid w:val="006612ED"/>
    <w:rsid w:val="0066174B"/>
    <w:rsid w:val="00661AA7"/>
    <w:rsid w:val="0066242A"/>
    <w:rsid w:val="00662B2E"/>
    <w:rsid w:val="00663450"/>
    <w:rsid w:val="00663923"/>
    <w:rsid w:val="00664037"/>
    <w:rsid w:val="00664857"/>
    <w:rsid w:val="006648FD"/>
    <w:rsid w:val="00665F9E"/>
    <w:rsid w:val="006662DA"/>
    <w:rsid w:val="00666356"/>
    <w:rsid w:val="006666CA"/>
    <w:rsid w:val="00666721"/>
    <w:rsid w:val="0066741F"/>
    <w:rsid w:val="00667EA6"/>
    <w:rsid w:val="00670129"/>
    <w:rsid w:val="006702A4"/>
    <w:rsid w:val="006707BF"/>
    <w:rsid w:val="00670C5E"/>
    <w:rsid w:val="00670E2E"/>
    <w:rsid w:val="00670E84"/>
    <w:rsid w:val="00670EC6"/>
    <w:rsid w:val="00671064"/>
    <w:rsid w:val="0067153F"/>
    <w:rsid w:val="00671854"/>
    <w:rsid w:val="00671917"/>
    <w:rsid w:val="00671AFC"/>
    <w:rsid w:val="00671C2A"/>
    <w:rsid w:val="00671E65"/>
    <w:rsid w:val="0067231F"/>
    <w:rsid w:val="00672818"/>
    <w:rsid w:val="006728CE"/>
    <w:rsid w:val="00672FCA"/>
    <w:rsid w:val="00673957"/>
    <w:rsid w:val="00673DC3"/>
    <w:rsid w:val="00673FF3"/>
    <w:rsid w:val="00674718"/>
    <w:rsid w:val="00674A57"/>
    <w:rsid w:val="00674BC5"/>
    <w:rsid w:val="00674F35"/>
    <w:rsid w:val="006753CA"/>
    <w:rsid w:val="0067565C"/>
    <w:rsid w:val="00675BA8"/>
    <w:rsid w:val="00675D06"/>
    <w:rsid w:val="00675DC3"/>
    <w:rsid w:val="00675FD4"/>
    <w:rsid w:val="00676003"/>
    <w:rsid w:val="00676323"/>
    <w:rsid w:val="00676B82"/>
    <w:rsid w:val="00677D98"/>
    <w:rsid w:val="00677EB8"/>
    <w:rsid w:val="00680ADB"/>
    <w:rsid w:val="00680DF5"/>
    <w:rsid w:val="00681469"/>
    <w:rsid w:val="0068165A"/>
    <w:rsid w:val="006817FD"/>
    <w:rsid w:val="00681A68"/>
    <w:rsid w:val="00681BA4"/>
    <w:rsid w:val="00681D92"/>
    <w:rsid w:val="00682D3D"/>
    <w:rsid w:val="00682D6E"/>
    <w:rsid w:val="00683166"/>
    <w:rsid w:val="006838CF"/>
    <w:rsid w:val="00683B0F"/>
    <w:rsid w:val="00683F4E"/>
    <w:rsid w:val="00683FA3"/>
    <w:rsid w:val="0068401A"/>
    <w:rsid w:val="00684170"/>
    <w:rsid w:val="0068431B"/>
    <w:rsid w:val="00684FB2"/>
    <w:rsid w:val="0068514C"/>
    <w:rsid w:val="006855C3"/>
    <w:rsid w:val="006868A7"/>
    <w:rsid w:val="006879E1"/>
    <w:rsid w:val="00687C08"/>
    <w:rsid w:val="00690001"/>
    <w:rsid w:val="00690023"/>
    <w:rsid w:val="00690CEC"/>
    <w:rsid w:val="00690D28"/>
    <w:rsid w:val="00691E55"/>
    <w:rsid w:val="00692BE3"/>
    <w:rsid w:val="006934E8"/>
    <w:rsid w:val="006935A7"/>
    <w:rsid w:val="00693B65"/>
    <w:rsid w:val="00693B95"/>
    <w:rsid w:val="00693F25"/>
    <w:rsid w:val="006944EE"/>
    <w:rsid w:val="00694838"/>
    <w:rsid w:val="00694873"/>
    <w:rsid w:val="00695854"/>
    <w:rsid w:val="00696266"/>
    <w:rsid w:val="006966F6"/>
    <w:rsid w:val="00696CE2"/>
    <w:rsid w:val="006976E2"/>
    <w:rsid w:val="00697991"/>
    <w:rsid w:val="006A0826"/>
    <w:rsid w:val="006A0E20"/>
    <w:rsid w:val="006A1814"/>
    <w:rsid w:val="006A1994"/>
    <w:rsid w:val="006A1C92"/>
    <w:rsid w:val="006A200C"/>
    <w:rsid w:val="006A2554"/>
    <w:rsid w:val="006A2657"/>
    <w:rsid w:val="006A26E7"/>
    <w:rsid w:val="006A287C"/>
    <w:rsid w:val="006A28D0"/>
    <w:rsid w:val="006A352F"/>
    <w:rsid w:val="006A35CB"/>
    <w:rsid w:val="006A38E7"/>
    <w:rsid w:val="006A3981"/>
    <w:rsid w:val="006A3BA4"/>
    <w:rsid w:val="006A4122"/>
    <w:rsid w:val="006A45E5"/>
    <w:rsid w:val="006A4F01"/>
    <w:rsid w:val="006A5897"/>
    <w:rsid w:val="006A61FF"/>
    <w:rsid w:val="006A63F9"/>
    <w:rsid w:val="006A6822"/>
    <w:rsid w:val="006A691A"/>
    <w:rsid w:val="006A7645"/>
    <w:rsid w:val="006B00CA"/>
    <w:rsid w:val="006B0140"/>
    <w:rsid w:val="006B0504"/>
    <w:rsid w:val="006B0561"/>
    <w:rsid w:val="006B0B93"/>
    <w:rsid w:val="006B0D2F"/>
    <w:rsid w:val="006B0E1A"/>
    <w:rsid w:val="006B0EF3"/>
    <w:rsid w:val="006B0F1C"/>
    <w:rsid w:val="006B0F72"/>
    <w:rsid w:val="006B178F"/>
    <w:rsid w:val="006B1886"/>
    <w:rsid w:val="006B1DD6"/>
    <w:rsid w:val="006B1DE3"/>
    <w:rsid w:val="006B2890"/>
    <w:rsid w:val="006B2F28"/>
    <w:rsid w:val="006B3323"/>
    <w:rsid w:val="006B34ED"/>
    <w:rsid w:val="006B4756"/>
    <w:rsid w:val="006B4CFC"/>
    <w:rsid w:val="006B56ED"/>
    <w:rsid w:val="006B5A30"/>
    <w:rsid w:val="006B5EAC"/>
    <w:rsid w:val="006B6F77"/>
    <w:rsid w:val="006B6FCA"/>
    <w:rsid w:val="006B733D"/>
    <w:rsid w:val="006B763A"/>
    <w:rsid w:val="006B7CB4"/>
    <w:rsid w:val="006B7E48"/>
    <w:rsid w:val="006C0B4C"/>
    <w:rsid w:val="006C0CB1"/>
    <w:rsid w:val="006C140F"/>
    <w:rsid w:val="006C1FB9"/>
    <w:rsid w:val="006C221E"/>
    <w:rsid w:val="006C250E"/>
    <w:rsid w:val="006C2B16"/>
    <w:rsid w:val="006C3CE3"/>
    <w:rsid w:val="006C41A8"/>
    <w:rsid w:val="006C43D0"/>
    <w:rsid w:val="006C4541"/>
    <w:rsid w:val="006C46A4"/>
    <w:rsid w:val="006C46FF"/>
    <w:rsid w:val="006C4943"/>
    <w:rsid w:val="006C499D"/>
    <w:rsid w:val="006C533B"/>
    <w:rsid w:val="006C5947"/>
    <w:rsid w:val="006C6069"/>
    <w:rsid w:val="006C675C"/>
    <w:rsid w:val="006C6CCC"/>
    <w:rsid w:val="006C6F0F"/>
    <w:rsid w:val="006C7070"/>
    <w:rsid w:val="006C7475"/>
    <w:rsid w:val="006C74B0"/>
    <w:rsid w:val="006C751A"/>
    <w:rsid w:val="006C761F"/>
    <w:rsid w:val="006D017D"/>
    <w:rsid w:val="006D0292"/>
    <w:rsid w:val="006D07EF"/>
    <w:rsid w:val="006D1062"/>
    <w:rsid w:val="006D271C"/>
    <w:rsid w:val="006D295C"/>
    <w:rsid w:val="006D2B14"/>
    <w:rsid w:val="006D2F8A"/>
    <w:rsid w:val="006D35C5"/>
    <w:rsid w:val="006D3722"/>
    <w:rsid w:val="006D3960"/>
    <w:rsid w:val="006D3C14"/>
    <w:rsid w:val="006D4173"/>
    <w:rsid w:val="006D44BF"/>
    <w:rsid w:val="006D4852"/>
    <w:rsid w:val="006D4A67"/>
    <w:rsid w:val="006D635A"/>
    <w:rsid w:val="006D6B8C"/>
    <w:rsid w:val="006D6C02"/>
    <w:rsid w:val="006D7098"/>
    <w:rsid w:val="006D71D4"/>
    <w:rsid w:val="006D796C"/>
    <w:rsid w:val="006D79AF"/>
    <w:rsid w:val="006D7ACB"/>
    <w:rsid w:val="006E02AE"/>
    <w:rsid w:val="006E02E7"/>
    <w:rsid w:val="006E0312"/>
    <w:rsid w:val="006E06B3"/>
    <w:rsid w:val="006E0D8E"/>
    <w:rsid w:val="006E0FE0"/>
    <w:rsid w:val="006E1097"/>
    <w:rsid w:val="006E12C7"/>
    <w:rsid w:val="006E17FC"/>
    <w:rsid w:val="006E182E"/>
    <w:rsid w:val="006E1B0A"/>
    <w:rsid w:val="006E1C02"/>
    <w:rsid w:val="006E1F4E"/>
    <w:rsid w:val="006E209B"/>
    <w:rsid w:val="006E24A9"/>
    <w:rsid w:val="006E26FA"/>
    <w:rsid w:val="006E3E87"/>
    <w:rsid w:val="006E47B0"/>
    <w:rsid w:val="006E4FBD"/>
    <w:rsid w:val="006E539B"/>
    <w:rsid w:val="006E5441"/>
    <w:rsid w:val="006E5487"/>
    <w:rsid w:val="006E5FEF"/>
    <w:rsid w:val="006E6090"/>
    <w:rsid w:val="006E6860"/>
    <w:rsid w:val="006E6981"/>
    <w:rsid w:val="006E7210"/>
    <w:rsid w:val="006E7539"/>
    <w:rsid w:val="006E7714"/>
    <w:rsid w:val="006E77A3"/>
    <w:rsid w:val="006E77E7"/>
    <w:rsid w:val="006E7D2D"/>
    <w:rsid w:val="006E7ED9"/>
    <w:rsid w:val="006F05BA"/>
    <w:rsid w:val="006F060D"/>
    <w:rsid w:val="006F08C4"/>
    <w:rsid w:val="006F0A70"/>
    <w:rsid w:val="006F0AD4"/>
    <w:rsid w:val="006F0E6C"/>
    <w:rsid w:val="006F1D50"/>
    <w:rsid w:val="006F1DB7"/>
    <w:rsid w:val="006F216F"/>
    <w:rsid w:val="006F250E"/>
    <w:rsid w:val="006F2AAC"/>
    <w:rsid w:val="006F2CF1"/>
    <w:rsid w:val="006F2D42"/>
    <w:rsid w:val="006F2FF5"/>
    <w:rsid w:val="006F3277"/>
    <w:rsid w:val="006F3524"/>
    <w:rsid w:val="006F4153"/>
    <w:rsid w:val="006F4526"/>
    <w:rsid w:val="006F4A48"/>
    <w:rsid w:val="006F51FF"/>
    <w:rsid w:val="006F5771"/>
    <w:rsid w:val="006F5978"/>
    <w:rsid w:val="006F5A20"/>
    <w:rsid w:val="006F5CE5"/>
    <w:rsid w:val="006F5EDB"/>
    <w:rsid w:val="006F697A"/>
    <w:rsid w:val="006F6C71"/>
    <w:rsid w:val="006F6D87"/>
    <w:rsid w:val="006F75C5"/>
    <w:rsid w:val="006F7796"/>
    <w:rsid w:val="006F7921"/>
    <w:rsid w:val="006F7BF1"/>
    <w:rsid w:val="00700ED2"/>
    <w:rsid w:val="00701004"/>
    <w:rsid w:val="007016A5"/>
    <w:rsid w:val="00702108"/>
    <w:rsid w:val="007024B2"/>
    <w:rsid w:val="00702EB9"/>
    <w:rsid w:val="00702EEF"/>
    <w:rsid w:val="0070301B"/>
    <w:rsid w:val="00703038"/>
    <w:rsid w:val="00703416"/>
    <w:rsid w:val="007036BD"/>
    <w:rsid w:val="00703E9A"/>
    <w:rsid w:val="00704562"/>
    <w:rsid w:val="0070477A"/>
    <w:rsid w:val="0070484B"/>
    <w:rsid w:val="007049D8"/>
    <w:rsid w:val="00704AB9"/>
    <w:rsid w:val="00704D89"/>
    <w:rsid w:val="007050C6"/>
    <w:rsid w:val="00705508"/>
    <w:rsid w:val="0070560D"/>
    <w:rsid w:val="00705744"/>
    <w:rsid w:val="00705BEC"/>
    <w:rsid w:val="00706017"/>
    <w:rsid w:val="007061A8"/>
    <w:rsid w:val="007066E5"/>
    <w:rsid w:val="00706C61"/>
    <w:rsid w:val="00706E12"/>
    <w:rsid w:val="00706EE6"/>
    <w:rsid w:val="00707202"/>
    <w:rsid w:val="007073F7"/>
    <w:rsid w:val="00707E92"/>
    <w:rsid w:val="00710850"/>
    <w:rsid w:val="00710A11"/>
    <w:rsid w:val="00710C30"/>
    <w:rsid w:val="00711E2F"/>
    <w:rsid w:val="00711EE0"/>
    <w:rsid w:val="0071268E"/>
    <w:rsid w:val="00712951"/>
    <w:rsid w:val="007129B9"/>
    <w:rsid w:val="00712F3C"/>
    <w:rsid w:val="00713BAF"/>
    <w:rsid w:val="00713BB1"/>
    <w:rsid w:val="0071464C"/>
    <w:rsid w:val="00714DDB"/>
    <w:rsid w:val="00715538"/>
    <w:rsid w:val="007157ED"/>
    <w:rsid w:val="00715B02"/>
    <w:rsid w:val="00715B39"/>
    <w:rsid w:val="00715EDD"/>
    <w:rsid w:val="00715F6B"/>
    <w:rsid w:val="007161BD"/>
    <w:rsid w:val="00716839"/>
    <w:rsid w:val="00716BEC"/>
    <w:rsid w:val="00716F0A"/>
    <w:rsid w:val="00716FAF"/>
    <w:rsid w:val="00717082"/>
    <w:rsid w:val="007171B1"/>
    <w:rsid w:val="00717AFA"/>
    <w:rsid w:val="00717D84"/>
    <w:rsid w:val="00720006"/>
    <w:rsid w:val="00720096"/>
    <w:rsid w:val="0072056D"/>
    <w:rsid w:val="00720BE9"/>
    <w:rsid w:val="00720CA8"/>
    <w:rsid w:val="00720FD5"/>
    <w:rsid w:val="00721123"/>
    <w:rsid w:val="00721A59"/>
    <w:rsid w:val="00721D39"/>
    <w:rsid w:val="00721F5C"/>
    <w:rsid w:val="00722B63"/>
    <w:rsid w:val="00722C6A"/>
    <w:rsid w:val="00722D1E"/>
    <w:rsid w:val="007232B0"/>
    <w:rsid w:val="00723878"/>
    <w:rsid w:val="007239DA"/>
    <w:rsid w:val="0072400C"/>
    <w:rsid w:val="00724040"/>
    <w:rsid w:val="0072442C"/>
    <w:rsid w:val="00724432"/>
    <w:rsid w:val="00724782"/>
    <w:rsid w:val="00724D38"/>
    <w:rsid w:val="00725723"/>
    <w:rsid w:val="0072576D"/>
    <w:rsid w:val="007257AD"/>
    <w:rsid w:val="00725E6F"/>
    <w:rsid w:val="00725ED2"/>
    <w:rsid w:val="0072627D"/>
    <w:rsid w:val="007264D9"/>
    <w:rsid w:val="00726973"/>
    <w:rsid w:val="00727099"/>
    <w:rsid w:val="00727249"/>
    <w:rsid w:val="0072757A"/>
    <w:rsid w:val="007275DD"/>
    <w:rsid w:val="0072793A"/>
    <w:rsid w:val="00727C30"/>
    <w:rsid w:val="00727D9D"/>
    <w:rsid w:val="00730052"/>
    <w:rsid w:val="00730109"/>
    <w:rsid w:val="00730669"/>
    <w:rsid w:val="00730C54"/>
    <w:rsid w:val="00731275"/>
    <w:rsid w:val="00731294"/>
    <w:rsid w:val="007312C1"/>
    <w:rsid w:val="00732593"/>
    <w:rsid w:val="00732918"/>
    <w:rsid w:val="00732E78"/>
    <w:rsid w:val="0073380A"/>
    <w:rsid w:val="00733A74"/>
    <w:rsid w:val="00733BFA"/>
    <w:rsid w:val="00734092"/>
    <w:rsid w:val="00734A7B"/>
    <w:rsid w:val="0073611D"/>
    <w:rsid w:val="00736C76"/>
    <w:rsid w:val="00736CF8"/>
    <w:rsid w:val="007374D3"/>
    <w:rsid w:val="007402FB"/>
    <w:rsid w:val="00740354"/>
    <w:rsid w:val="0074046C"/>
    <w:rsid w:val="00740600"/>
    <w:rsid w:val="007407A1"/>
    <w:rsid w:val="007408C4"/>
    <w:rsid w:val="00740C82"/>
    <w:rsid w:val="00740E71"/>
    <w:rsid w:val="00740FD1"/>
    <w:rsid w:val="007417D1"/>
    <w:rsid w:val="00741AC0"/>
    <w:rsid w:val="00741C0C"/>
    <w:rsid w:val="00742148"/>
    <w:rsid w:val="0074300D"/>
    <w:rsid w:val="0074317F"/>
    <w:rsid w:val="007435BE"/>
    <w:rsid w:val="00743FB8"/>
    <w:rsid w:val="0074439A"/>
    <w:rsid w:val="00744474"/>
    <w:rsid w:val="0074447B"/>
    <w:rsid w:val="0074456D"/>
    <w:rsid w:val="00744A74"/>
    <w:rsid w:val="00744AEF"/>
    <w:rsid w:val="0074506E"/>
    <w:rsid w:val="007452C4"/>
    <w:rsid w:val="0074543B"/>
    <w:rsid w:val="007455B1"/>
    <w:rsid w:val="00745807"/>
    <w:rsid w:val="00745ABB"/>
    <w:rsid w:val="00745E28"/>
    <w:rsid w:val="00746434"/>
    <w:rsid w:val="007464A0"/>
    <w:rsid w:val="00746B44"/>
    <w:rsid w:val="00746E09"/>
    <w:rsid w:val="007474B7"/>
    <w:rsid w:val="00747614"/>
    <w:rsid w:val="00747897"/>
    <w:rsid w:val="00747C4C"/>
    <w:rsid w:val="00747E33"/>
    <w:rsid w:val="00747ECF"/>
    <w:rsid w:val="0075000A"/>
    <w:rsid w:val="00750B98"/>
    <w:rsid w:val="00751100"/>
    <w:rsid w:val="007516D4"/>
    <w:rsid w:val="00751845"/>
    <w:rsid w:val="007518CD"/>
    <w:rsid w:val="00751D3F"/>
    <w:rsid w:val="00751DCB"/>
    <w:rsid w:val="007520BF"/>
    <w:rsid w:val="00752B9B"/>
    <w:rsid w:val="00752BF1"/>
    <w:rsid w:val="00752F45"/>
    <w:rsid w:val="00753966"/>
    <w:rsid w:val="00753EE3"/>
    <w:rsid w:val="00753F18"/>
    <w:rsid w:val="007540D1"/>
    <w:rsid w:val="0075442F"/>
    <w:rsid w:val="007546B5"/>
    <w:rsid w:val="00754A9A"/>
    <w:rsid w:val="007556C9"/>
    <w:rsid w:val="00755945"/>
    <w:rsid w:val="00755F4F"/>
    <w:rsid w:val="00756432"/>
    <w:rsid w:val="007564C9"/>
    <w:rsid w:val="00756B27"/>
    <w:rsid w:val="007603AE"/>
    <w:rsid w:val="00760942"/>
    <w:rsid w:val="00761274"/>
    <w:rsid w:val="007613DE"/>
    <w:rsid w:val="007616E1"/>
    <w:rsid w:val="007619EC"/>
    <w:rsid w:val="00761AC4"/>
    <w:rsid w:val="0076207B"/>
    <w:rsid w:val="00762310"/>
    <w:rsid w:val="00762861"/>
    <w:rsid w:val="00762867"/>
    <w:rsid w:val="00762A24"/>
    <w:rsid w:val="00762BB9"/>
    <w:rsid w:val="00762E82"/>
    <w:rsid w:val="00762F2B"/>
    <w:rsid w:val="00763511"/>
    <w:rsid w:val="00763C3E"/>
    <w:rsid w:val="00763E2B"/>
    <w:rsid w:val="00763EB9"/>
    <w:rsid w:val="00764604"/>
    <w:rsid w:val="007649C6"/>
    <w:rsid w:val="00764F84"/>
    <w:rsid w:val="00765CCF"/>
    <w:rsid w:val="00765CD8"/>
    <w:rsid w:val="00765D38"/>
    <w:rsid w:val="00765F3F"/>
    <w:rsid w:val="007662E3"/>
    <w:rsid w:val="00766B04"/>
    <w:rsid w:val="0076728F"/>
    <w:rsid w:val="00767464"/>
    <w:rsid w:val="0076746A"/>
    <w:rsid w:val="00767D3C"/>
    <w:rsid w:val="00770816"/>
    <w:rsid w:val="00770AB8"/>
    <w:rsid w:val="00770F8B"/>
    <w:rsid w:val="00771026"/>
    <w:rsid w:val="007712FA"/>
    <w:rsid w:val="00771F7A"/>
    <w:rsid w:val="00772137"/>
    <w:rsid w:val="0077235A"/>
    <w:rsid w:val="00772B25"/>
    <w:rsid w:val="00772E05"/>
    <w:rsid w:val="00772FD4"/>
    <w:rsid w:val="00773081"/>
    <w:rsid w:val="00773088"/>
    <w:rsid w:val="00773444"/>
    <w:rsid w:val="00773644"/>
    <w:rsid w:val="007739C1"/>
    <w:rsid w:val="00773CF9"/>
    <w:rsid w:val="00773D0D"/>
    <w:rsid w:val="00773D92"/>
    <w:rsid w:val="00774081"/>
    <w:rsid w:val="007742B9"/>
    <w:rsid w:val="0077457B"/>
    <w:rsid w:val="00774A32"/>
    <w:rsid w:val="00774A41"/>
    <w:rsid w:val="00774B9A"/>
    <w:rsid w:val="00774E5C"/>
    <w:rsid w:val="00775481"/>
    <w:rsid w:val="0077576B"/>
    <w:rsid w:val="007758C0"/>
    <w:rsid w:val="0077593B"/>
    <w:rsid w:val="00776121"/>
    <w:rsid w:val="007761CF"/>
    <w:rsid w:val="007762B2"/>
    <w:rsid w:val="00776A9B"/>
    <w:rsid w:val="00776BCE"/>
    <w:rsid w:val="00777008"/>
    <w:rsid w:val="007770DC"/>
    <w:rsid w:val="007775C4"/>
    <w:rsid w:val="00777673"/>
    <w:rsid w:val="00777A5B"/>
    <w:rsid w:val="00777B79"/>
    <w:rsid w:val="00777E69"/>
    <w:rsid w:val="0078071B"/>
    <w:rsid w:val="00780ADC"/>
    <w:rsid w:val="00780AE4"/>
    <w:rsid w:val="00780E82"/>
    <w:rsid w:val="0078127B"/>
    <w:rsid w:val="007812AA"/>
    <w:rsid w:val="00781449"/>
    <w:rsid w:val="007821B6"/>
    <w:rsid w:val="007824AC"/>
    <w:rsid w:val="007828BE"/>
    <w:rsid w:val="00782FC4"/>
    <w:rsid w:val="00783763"/>
    <w:rsid w:val="007837C7"/>
    <w:rsid w:val="00783C52"/>
    <w:rsid w:val="00784137"/>
    <w:rsid w:val="00785908"/>
    <w:rsid w:val="00785992"/>
    <w:rsid w:val="00785D3A"/>
    <w:rsid w:val="00785D56"/>
    <w:rsid w:val="00786A2B"/>
    <w:rsid w:val="007876C0"/>
    <w:rsid w:val="00787706"/>
    <w:rsid w:val="00787925"/>
    <w:rsid w:val="00787A59"/>
    <w:rsid w:val="00787D7B"/>
    <w:rsid w:val="007902C1"/>
    <w:rsid w:val="00790422"/>
    <w:rsid w:val="007904B6"/>
    <w:rsid w:val="00790743"/>
    <w:rsid w:val="0079114B"/>
    <w:rsid w:val="007912F7"/>
    <w:rsid w:val="0079193A"/>
    <w:rsid w:val="00791A8C"/>
    <w:rsid w:val="00791ECE"/>
    <w:rsid w:val="007921BF"/>
    <w:rsid w:val="00792699"/>
    <w:rsid w:val="0079284C"/>
    <w:rsid w:val="007929E4"/>
    <w:rsid w:val="00792BE5"/>
    <w:rsid w:val="00792C47"/>
    <w:rsid w:val="00792D7E"/>
    <w:rsid w:val="00792E5A"/>
    <w:rsid w:val="0079321C"/>
    <w:rsid w:val="00793692"/>
    <w:rsid w:val="00793D76"/>
    <w:rsid w:val="00794EDF"/>
    <w:rsid w:val="007951A6"/>
    <w:rsid w:val="0079574F"/>
    <w:rsid w:val="00795EBC"/>
    <w:rsid w:val="0079616D"/>
    <w:rsid w:val="007965C8"/>
    <w:rsid w:val="007968C2"/>
    <w:rsid w:val="0079695B"/>
    <w:rsid w:val="00796AD9"/>
    <w:rsid w:val="00796C84"/>
    <w:rsid w:val="00796E3B"/>
    <w:rsid w:val="00796F04"/>
    <w:rsid w:val="007978ED"/>
    <w:rsid w:val="007979CF"/>
    <w:rsid w:val="00797C97"/>
    <w:rsid w:val="007A033D"/>
    <w:rsid w:val="007A0FBD"/>
    <w:rsid w:val="007A19FB"/>
    <w:rsid w:val="007A1D31"/>
    <w:rsid w:val="007A2119"/>
    <w:rsid w:val="007A224C"/>
    <w:rsid w:val="007A23E0"/>
    <w:rsid w:val="007A2772"/>
    <w:rsid w:val="007A2BAF"/>
    <w:rsid w:val="007A31CD"/>
    <w:rsid w:val="007A3285"/>
    <w:rsid w:val="007A32E5"/>
    <w:rsid w:val="007A3672"/>
    <w:rsid w:val="007A3874"/>
    <w:rsid w:val="007A3A9A"/>
    <w:rsid w:val="007A45F4"/>
    <w:rsid w:val="007A48F5"/>
    <w:rsid w:val="007A4DE0"/>
    <w:rsid w:val="007A5137"/>
    <w:rsid w:val="007A5790"/>
    <w:rsid w:val="007A5ACC"/>
    <w:rsid w:val="007A5D2F"/>
    <w:rsid w:val="007A62D3"/>
    <w:rsid w:val="007A66C7"/>
    <w:rsid w:val="007A706A"/>
    <w:rsid w:val="007A73D9"/>
    <w:rsid w:val="007A7540"/>
    <w:rsid w:val="007A7C19"/>
    <w:rsid w:val="007A7F1E"/>
    <w:rsid w:val="007B0108"/>
    <w:rsid w:val="007B130C"/>
    <w:rsid w:val="007B139C"/>
    <w:rsid w:val="007B1B3D"/>
    <w:rsid w:val="007B1C9F"/>
    <w:rsid w:val="007B2FEB"/>
    <w:rsid w:val="007B31F7"/>
    <w:rsid w:val="007B338A"/>
    <w:rsid w:val="007B38E1"/>
    <w:rsid w:val="007B3939"/>
    <w:rsid w:val="007B3951"/>
    <w:rsid w:val="007B423E"/>
    <w:rsid w:val="007B4344"/>
    <w:rsid w:val="007B46C6"/>
    <w:rsid w:val="007B4910"/>
    <w:rsid w:val="007B500D"/>
    <w:rsid w:val="007B5251"/>
    <w:rsid w:val="007B527F"/>
    <w:rsid w:val="007B569F"/>
    <w:rsid w:val="007B595B"/>
    <w:rsid w:val="007B5DBF"/>
    <w:rsid w:val="007B5E70"/>
    <w:rsid w:val="007B6260"/>
    <w:rsid w:val="007B6427"/>
    <w:rsid w:val="007B676D"/>
    <w:rsid w:val="007B7816"/>
    <w:rsid w:val="007B7821"/>
    <w:rsid w:val="007B79D2"/>
    <w:rsid w:val="007B7CF7"/>
    <w:rsid w:val="007C02BD"/>
    <w:rsid w:val="007C0450"/>
    <w:rsid w:val="007C0479"/>
    <w:rsid w:val="007C05FD"/>
    <w:rsid w:val="007C0628"/>
    <w:rsid w:val="007C0811"/>
    <w:rsid w:val="007C0C8A"/>
    <w:rsid w:val="007C0DA0"/>
    <w:rsid w:val="007C1030"/>
    <w:rsid w:val="007C15FC"/>
    <w:rsid w:val="007C1BAB"/>
    <w:rsid w:val="007C1ED5"/>
    <w:rsid w:val="007C2244"/>
    <w:rsid w:val="007C2E75"/>
    <w:rsid w:val="007C3050"/>
    <w:rsid w:val="007C3099"/>
    <w:rsid w:val="007C30A7"/>
    <w:rsid w:val="007C30DC"/>
    <w:rsid w:val="007C3605"/>
    <w:rsid w:val="007C4419"/>
    <w:rsid w:val="007C47BA"/>
    <w:rsid w:val="007C4977"/>
    <w:rsid w:val="007C49D9"/>
    <w:rsid w:val="007C5588"/>
    <w:rsid w:val="007C5BF4"/>
    <w:rsid w:val="007C6685"/>
    <w:rsid w:val="007C66F0"/>
    <w:rsid w:val="007C67D4"/>
    <w:rsid w:val="007C6842"/>
    <w:rsid w:val="007C7999"/>
    <w:rsid w:val="007C7A6F"/>
    <w:rsid w:val="007C7C9D"/>
    <w:rsid w:val="007C7F12"/>
    <w:rsid w:val="007D06B4"/>
    <w:rsid w:val="007D09E2"/>
    <w:rsid w:val="007D09EC"/>
    <w:rsid w:val="007D0A9E"/>
    <w:rsid w:val="007D1139"/>
    <w:rsid w:val="007D1320"/>
    <w:rsid w:val="007D13A2"/>
    <w:rsid w:val="007D146A"/>
    <w:rsid w:val="007D157B"/>
    <w:rsid w:val="007D1870"/>
    <w:rsid w:val="007D24B4"/>
    <w:rsid w:val="007D251A"/>
    <w:rsid w:val="007D27D1"/>
    <w:rsid w:val="007D29DD"/>
    <w:rsid w:val="007D2EA9"/>
    <w:rsid w:val="007D3288"/>
    <w:rsid w:val="007D3350"/>
    <w:rsid w:val="007D3503"/>
    <w:rsid w:val="007D37FE"/>
    <w:rsid w:val="007D39B0"/>
    <w:rsid w:val="007D3A52"/>
    <w:rsid w:val="007D3B34"/>
    <w:rsid w:val="007D3CC1"/>
    <w:rsid w:val="007D3E99"/>
    <w:rsid w:val="007D4D14"/>
    <w:rsid w:val="007D4D53"/>
    <w:rsid w:val="007D4EAF"/>
    <w:rsid w:val="007D5C6F"/>
    <w:rsid w:val="007D634A"/>
    <w:rsid w:val="007D63F3"/>
    <w:rsid w:val="007D650B"/>
    <w:rsid w:val="007D691A"/>
    <w:rsid w:val="007D6BB7"/>
    <w:rsid w:val="007D6DF8"/>
    <w:rsid w:val="007D7D06"/>
    <w:rsid w:val="007E00A3"/>
    <w:rsid w:val="007E03D5"/>
    <w:rsid w:val="007E075E"/>
    <w:rsid w:val="007E0822"/>
    <w:rsid w:val="007E139C"/>
    <w:rsid w:val="007E1483"/>
    <w:rsid w:val="007E1898"/>
    <w:rsid w:val="007E1FD5"/>
    <w:rsid w:val="007E2983"/>
    <w:rsid w:val="007E2A4B"/>
    <w:rsid w:val="007E31DD"/>
    <w:rsid w:val="007E36C0"/>
    <w:rsid w:val="007E3978"/>
    <w:rsid w:val="007E45F9"/>
    <w:rsid w:val="007E4812"/>
    <w:rsid w:val="007E486A"/>
    <w:rsid w:val="007E553B"/>
    <w:rsid w:val="007E5AF8"/>
    <w:rsid w:val="007E5F19"/>
    <w:rsid w:val="007E5FC3"/>
    <w:rsid w:val="007E63A4"/>
    <w:rsid w:val="007E6522"/>
    <w:rsid w:val="007E6A08"/>
    <w:rsid w:val="007E6B23"/>
    <w:rsid w:val="007E6CA9"/>
    <w:rsid w:val="007E710C"/>
    <w:rsid w:val="007E7214"/>
    <w:rsid w:val="007E78EA"/>
    <w:rsid w:val="007E7DEF"/>
    <w:rsid w:val="007F0024"/>
    <w:rsid w:val="007F006C"/>
    <w:rsid w:val="007F046C"/>
    <w:rsid w:val="007F04FE"/>
    <w:rsid w:val="007F1029"/>
    <w:rsid w:val="007F10CA"/>
    <w:rsid w:val="007F12F6"/>
    <w:rsid w:val="007F1ABD"/>
    <w:rsid w:val="007F21A1"/>
    <w:rsid w:val="007F2587"/>
    <w:rsid w:val="007F26FC"/>
    <w:rsid w:val="007F2770"/>
    <w:rsid w:val="007F2C6A"/>
    <w:rsid w:val="007F2D02"/>
    <w:rsid w:val="007F31C0"/>
    <w:rsid w:val="007F3256"/>
    <w:rsid w:val="007F4299"/>
    <w:rsid w:val="007F650C"/>
    <w:rsid w:val="007F6D3C"/>
    <w:rsid w:val="007F7689"/>
    <w:rsid w:val="007F77EF"/>
    <w:rsid w:val="007F7A59"/>
    <w:rsid w:val="0080024D"/>
    <w:rsid w:val="00800943"/>
    <w:rsid w:val="00800B68"/>
    <w:rsid w:val="00801326"/>
    <w:rsid w:val="00801597"/>
    <w:rsid w:val="008017E6"/>
    <w:rsid w:val="00801854"/>
    <w:rsid w:val="0080187B"/>
    <w:rsid w:val="00801D51"/>
    <w:rsid w:val="008024B0"/>
    <w:rsid w:val="008028AD"/>
    <w:rsid w:val="00802CBD"/>
    <w:rsid w:val="00802EFF"/>
    <w:rsid w:val="00803422"/>
    <w:rsid w:val="00803538"/>
    <w:rsid w:val="008044E5"/>
    <w:rsid w:val="0080462F"/>
    <w:rsid w:val="008046D9"/>
    <w:rsid w:val="00804A54"/>
    <w:rsid w:val="00804BBC"/>
    <w:rsid w:val="00804C50"/>
    <w:rsid w:val="008058E0"/>
    <w:rsid w:val="00805ECC"/>
    <w:rsid w:val="0080666A"/>
    <w:rsid w:val="00806727"/>
    <w:rsid w:val="008074C9"/>
    <w:rsid w:val="0080785F"/>
    <w:rsid w:val="00810270"/>
    <w:rsid w:val="00810A1C"/>
    <w:rsid w:val="00810FD8"/>
    <w:rsid w:val="00811886"/>
    <w:rsid w:val="00811979"/>
    <w:rsid w:val="00811A25"/>
    <w:rsid w:val="00811FAC"/>
    <w:rsid w:val="00812E43"/>
    <w:rsid w:val="0081395A"/>
    <w:rsid w:val="00813D9C"/>
    <w:rsid w:val="00813E67"/>
    <w:rsid w:val="00813ECF"/>
    <w:rsid w:val="008145A2"/>
    <w:rsid w:val="00814696"/>
    <w:rsid w:val="00814FF5"/>
    <w:rsid w:val="008153C5"/>
    <w:rsid w:val="008168EA"/>
    <w:rsid w:val="00816CE2"/>
    <w:rsid w:val="00817038"/>
    <w:rsid w:val="00817697"/>
    <w:rsid w:val="00820897"/>
    <w:rsid w:val="008216B0"/>
    <w:rsid w:val="00822024"/>
    <w:rsid w:val="008228C9"/>
    <w:rsid w:val="00823455"/>
    <w:rsid w:val="00824024"/>
    <w:rsid w:val="0082489D"/>
    <w:rsid w:val="00824D55"/>
    <w:rsid w:val="00824F5E"/>
    <w:rsid w:val="008253B9"/>
    <w:rsid w:val="008256C5"/>
    <w:rsid w:val="008257E4"/>
    <w:rsid w:val="00825863"/>
    <w:rsid w:val="008270C8"/>
    <w:rsid w:val="008273F0"/>
    <w:rsid w:val="008274FB"/>
    <w:rsid w:val="0082763E"/>
    <w:rsid w:val="008276CB"/>
    <w:rsid w:val="00827AE8"/>
    <w:rsid w:val="00830411"/>
    <w:rsid w:val="00830B78"/>
    <w:rsid w:val="008315D4"/>
    <w:rsid w:val="0083168D"/>
    <w:rsid w:val="00831C12"/>
    <w:rsid w:val="00831EB6"/>
    <w:rsid w:val="0083234C"/>
    <w:rsid w:val="00832409"/>
    <w:rsid w:val="00832C23"/>
    <w:rsid w:val="00832DC2"/>
    <w:rsid w:val="00832E65"/>
    <w:rsid w:val="00833109"/>
    <w:rsid w:val="00833392"/>
    <w:rsid w:val="00833C22"/>
    <w:rsid w:val="00833C54"/>
    <w:rsid w:val="00833FC7"/>
    <w:rsid w:val="008347B9"/>
    <w:rsid w:val="00834EE9"/>
    <w:rsid w:val="008353EC"/>
    <w:rsid w:val="0083612A"/>
    <w:rsid w:val="008361A1"/>
    <w:rsid w:val="008361B0"/>
    <w:rsid w:val="00836E77"/>
    <w:rsid w:val="008379AB"/>
    <w:rsid w:val="008402ED"/>
    <w:rsid w:val="00840551"/>
    <w:rsid w:val="00841313"/>
    <w:rsid w:val="008417EF"/>
    <w:rsid w:val="008419BC"/>
    <w:rsid w:val="00841D7E"/>
    <w:rsid w:val="00842675"/>
    <w:rsid w:val="008432C7"/>
    <w:rsid w:val="008438A1"/>
    <w:rsid w:val="00843B8C"/>
    <w:rsid w:val="00844395"/>
    <w:rsid w:val="00844727"/>
    <w:rsid w:val="00844B28"/>
    <w:rsid w:val="00844F85"/>
    <w:rsid w:val="00845063"/>
    <w:rsid w:val="008450F1"/>
    <w:rsid w:val="00845295"/>
    <w:rsid w:val="00845397"/>
    <w:rsid w:val="00846753"/>
    <w:rsid w:val="00846C53"/>
    <w:rsid w:val="00846F15"/>
    <w:rsid w:val="00847056"/>
    <w:rsid w:val="00847459"/>
    <w:rsid w:val="00847994"/>
    <w:rsid w:val="00847B5B"/>
    <w:rsid w:val="008503E5"/>
    <w:rsid w:val="008509EA"/>
    <w:rsid w:val="00850F76"/>
    <w:rsid w:val="00851086"/>
    <w:rsid w:val="008510EB"/>
    <w:rsid w:val="0085112E"/>
    <w:rsid w:val="0085139D"/>
    <w:rsid w:val="0085174D"/>
    <w:rsid w:val="00851CBF"/>
    <w:rsid w:val="00852415"/>
    <w:rsid w:val="00852488"/>
    <w:rsid w:val="008524AC"/>
    <w:rsid w:val="00852767"/>
    <w:rsid w:val="00852999"/>
    <w:rsid w:val="00852DAF"/>
    <w:rsid w:val="00852E69"/>
    <w:rsid w:val="00852EF4"/>
    <w:rsid w:val="00853239"/>
    <w:rsid w:val="00853542"/>
    <w:rsid w:val="0085392A"/>
    <w:rsid w:val="00853BA9"/>
    <w:rsid w:val="00853E8C"/>
    <w:rsid w:val="00853F50"/>
    <w:rsid w:val="008540FE"/>
    <w:rsid w:val="0085441E"/>
    <w:rsid w:val="008545D8"/>
    <w:rsid w:val="0085460B"/>
    <w:rsid w:val="00854B46"/>
    <w:rsid w:val="00856103"/>
    <w:rsid w:val="00857170"/>
    <w:rsid w:val="00857213"/>
    <w:rsid w:val="00857DC2"/>
    <w:rsid w:val="008600E4"/>
    <w:rsid w:val="00860278"/>
    <w:rsid w:val="008603D1"/>
    <w:rsid w:val="008607C2"/>
    <w:rsid w:val="00860F26"/>
    <w:rsid w:val="0086113F"/>
    <w:rsid w:val="00861368"/>
    <w:rsid w:val="008614FF"/>
    <w:rsid w:val="008618CF"/>
    <w:rsid w:val="008619BF"/>
    <w:rsid w:val="00861A21"/>
    <w:rsid w:val="0086228D"/>
    <w:rsid w:val="008622C0"/>
    <w:rsid w:val="00862466"/>
    <w:rsid w:val="008637F3"/>
    <w:rsid w:val="00863FB1"/>
    <w:rsid w:val="008640E9"/>
    <w:rsid w:val="00864938"/>
    <w:rsid w:val="008649ED"/>
    <w:rsid w:val="00864CF9"/>
    <w:rsid w:val="00864CFC"/>
    <w:rsid w:val="008652A2"/>
    <w:rsid w:val="008652C1"/>
    <w:rsid w:val="0086576D"/>
    <w:rsid w:val="00865AEF"/>
    <w:rsid w:val="00865C56"/>
    <w:rsid w:val="00865D9B"/>
    <w:rsid w:val="00865DE7"/>
    <w:rsid w:val="0086631D"/>
    <w:rsid w:val="0086633C"/>
    <w:rsid w:val="0086637D"/>
    <w:rsid w:val="00866454"/>
    <w:rsid w:val="0086658F"/>
    <w:rsid w:val="00866A80"/>
    <w:rsid w:val="00867072"/>
    <w:rsid w:val="0086715D"/>
    <w:rsid w:val="00867742"/>
    <w:rsid w:val="00870243"/>
    <w:rsid w:val="0087026A"/>
    <w:rsid w:val="008706D6"/>
    <w:rsid w:val="008707A0"/>
    <w:rsid w:val="00870979"/>
    <w:rsid w:val="0087138A"/>
    <w:rsid w:val="00871503"/>
    <w:rsid w:val="00872B9E"/>
    <w:rsid w:val="00872C64"/>
    <w:rsid w:val="00872E43"/>
    <w:rsid w:val="008737EB"/>
    <w:rsid w:val="00873ABF"/>
    <w:rsid w:val="0087468D"/>
    <w:rsid w:val="00874772"/>
    <w:rsid w:val="008747B1"/>
    <w:rsid w:val="00874D86"/>
    <w:rsid w:val="00874EED"/>
    <w:rsid w:val="0087511A"/>
    <w:rsid w:val="008758F9"/>
    <w:rsid w:val="00875D45"/>
    <w:rsid w:val="00875EA3"/>
    <w:rsid w:val="0087694C"/>
    <w:rsid w:val="00876E35"/>
    <w:rsid w:val="00876EC5"/>
    <w:rsid w:val="00877218"/>
    <w:rsid w:val="008772B3"/>
    <w:rsid w:val="008776E3"/>
    <w:rsid w:val="00877974"/>
    <w:rsid w:val="00877A4B"/>
    <w:rsid w:val="00877B38"/>
    <w:rsid w:val="00877D39"/>
    <w:rsid w:val="0088006C"/>
    <w:rsid w:val="00880078"/>
    <w:rsid w:val="00880110"/>
    <w:rsid w:val="00880C19"/>
    <w:rsid w:val="008810BF"/>
    <w:rsid w:val="00881507"/>
    <w:rsid w:val="008817AA"/>
    <w:rsid w:val="00881857"/>
    <w:rsid w:val="008818B5"/>
    <w:rsid w:val="00881A81"/>
    <w:rsid w:val="00882365"/>
    <w:rsid w:val="00882478"/>
    <w:rsid w:val="00882580"/>
    <w:rsid w:val="00882741"/>
    <w:rsid w:val="00882AA9"/>
    <w:rsid w:val="00882F90"/>
    <w:rsid w:val="008836E0"/>
    <w:rsid w:val="00883703"/>
    <w:rsid w:val="00883809"/>
    <w:rsid w:val="00883BDB"/>
    <w:rsid w:val="008845B7"/>
    <w:rsid w:val="0088493D"/>
    <w:rsid w:val="0088505A"/>
    <w:rsid w:val="008853DC"/>
    <w:rsid w:val="008853E5"/>
    <w:rsid w:val="008857E7"/>
    <w:rsid w:val="00885D36"/>
    <w:rsid w:val="00885EC9"/>
    <w:rsid w:val="00885FA8"/>
    <w:rsid w:val="00887081"/>
    <w:rsid w:val="0088715B"/>
    <w:rsid w:val="00890093"/>
    <w:rsid w:val="008900F0"/>
    <w:rsid w:val="0089038B"/>
    <w:rsid w:val="00890C4C"/>
    <w:rsid w:val="008915F5"/>
    <w:rsid w:val="00891B50"/>
    <w:rsid w:val="00891B91"/>
    <w:rsid w:val="00891DE6"/>
    <w:rsid w:val="00891F70"/>
    <w:rsid w:val="008925C7"/>
    <w:rsid w:val="00892D5F"/>
    <w:rsid w:val="00892F37"/>
    <w:rsid w:val="00892F9F"/>
    <w:rsid w:val="00893291"/>
    <w:rsid w:val="008938CF"/>
    <w:rsid w:val="00893E19"/>
    <w:rsid w:val="008948C5"/>
    <w:rsid w:val="00894A42"/>
    <w:rsid w:val="00894E37"/>
    <w:rsid w:val="00894F25"/>
    <w:rsid w:val="00895667"/>
    <w:rsid w:val="008956D9"/>
    <w:rsid w:val="00895B56"/>
    <w:rsid w:val="00896070"/>
    <w:rsid w:val="008967E1"/>
    <w:rsid w:val="00896D6A"/>
    <w:rsid w:val="008970E0"/>
    <w:rsid w:val="008970FE"/>
    <w:rsid w:val="008974F9"/>
    <w:rsid w:val="00897702"/>
    <w:rsid w:val="008A0207"/>
    <w:rsid w:val="008A05B4"/>
    <w:rsid w:val="008A072F"/>
    <w:rsid w:val="008A0812"/>
    <w:rsid w:val="008A0A6B"/>
    <w:rsid w:val="008A0EBB"/>
    <w:rsid w:val="008A1128"/>
    <w:rsid w:val="008A1426"/>
    <w:rsid w:val="008A1536"/>
    <w:rsid w:val="008A1599"/>
    <w:rsid w:val="008A15B1"/>
    <w:rsid w:val="008A17FB"/>
    <w:rsid w:val="008A1894"/>
    <w:rsid w:val="008A21DB"/>
    <w:rsid w:val="008A24C2"/>
    <w:rsid w:val="008A2598"/>
    <w:rsid w:val="008A26A6"/>
    <w:rsid w:val="008A2773"/>
    <w:rsid w:val="008A3114"/>
    <w:rsid w:val="008A3384"/>
    <w:rsid w:val="008A433E"/>
    <w:rsid w:val="008A48F4"/>
    <w:rsid w:val="008A4C8F"/>
    <w:rsid w:val="008A4C9D"/>
    <w:rsid w:val="008A5CBE"/>
    <w:rsid w:val="008A5D54"/>
    <w:rsid w:val="008A66A2"/>
    <w:rsid w:val="008A6D2E"/>
    <w:rsid w:val="008A724A"/>
    <w:rsid w:val="008A768D"/>
    <w:rsid w:val="008A7F5C"/>
    <w:rsid w:val="008B01CB"/>
    <w:rsid w:val="008B0289"/>
    <w:rsid w:val="008B0617"/>
    <w:rsid w:val="008B163C"/>
    <w:rsid w:val="008B17ED"/>
    <w:rsid w:val="008B185D"/>
    <w:rsid w:val="008B1A87"/>
    <w:rsid w:val="008B1FF5"/>
    <w:rsid w:val="008B2A33"/>
    <w:rsid w:val="008B2A91"/>
    <w:rsid w:val="008B2B0D"/>
    <w:rsid w:val="008B2B97"/>
    <w:rsid w:val="008B2BF4"/>
    <w:rsid w:val="008B2D13"/>
    <w:rsid w:val="008B3100"/>
    <w:rsid w:val="008B37DA"/>
    <w:rsid w:val="008B3853"/>
    <w:rsid w:val="008B40ED"/>
    <w:rsid w:val="008B48A5"/>
    <w:rsid w:val="008B490C"/>
    <w:rsid w:val="008B586B"/>
    <w:rsid w:val="008B5908"/>
    <w:rsid w:val="008B5B50"/>
    <w:rsid w:val="008B5F50"/>
    <w:rsid w:val="008B652F"/>
    <w:rsid w:val="008B656E"/>
    <w:rsid w:val="008B73D9"/>
    <w:rsid w:val="008C01AC"/>
    <w:rsid w:val="008C0431"/>
    <w:rsid w:val="008C08BD"/>
    <w:rsid w:val="008C08D7"/>
    <w:rsid w:val="008C0A54"/>
    <w:rsid w:val="008C1028"/>
    <w:rsid w:val="008C1988"/>
    <w:rsid w:val="008C280F"/>
    <w:rsid w:val="008C30BC"/>
    <w:rsid w:val="008C321A"/>
    <w:rsid w:val="008C323E"/>
    <w:rsid w:val="008C370C"/>
    <w:rsid w:val="008C39EC"/>
    <w:rsid w:val="008C3A1B"/>
    <w:rsid w:val="008C3C36"/>
    <w:rsid w:val="008C4DDC"/>
    <w:rsid w:val="008C5249"/>
    <w:rsid w:val="008C52D9"/>
    <w:rsid w:val="008C5762"/>
    <w:rsid w:val="008C5B04"/>
    <w:rsid w:val="008C5D63"/>
    <w:rsid w:val="008C6330"/>
    <w:rsid w:val="008C633D"/>
    <w:rsid w:val="008C6857"/>
    <w:rsid w:val="008C6C77"/>
    <w:rsid w:val="008C7111"/>
    <w:rsid w:val="008C787D"/>
    <w:rsid w:val="008C7D1D"/>
    <w:rsid w:val="008D0445"/>
    <w:rsid w:val="008D0849"/>
    <w:rsid w:val="008D0884"/>
    <w:rsid w:val="008D0AC8"/>
    <w:rsid w:val="008D12AA"/>
    <w:rsid w:val="008D1376"/>
    <w:rsid w:val="008D1388"/>
    <w:rsid w:val="008D1487"/>
    <w:rsid w:val="008D15A6"/>
    <w:rsid w:val="008D169C"/>
    <w:rsid w:val="008D215E"/>
    <w:rsid w:val="008D226C"/>
    <w:rsid w:val="008D27C1"/>
    <w:rsid w:val="008D2C46"/>
    <w:rsid w:val="008D2DB2"/>
    <w:rsid w:val="008D3AC5"/>
    <w:rsid w:val="008D4529"/>
    <w:rsid w:val="008D4655"/>
    <w:rsid w:val="008D4705"/>
    <w:rsid w:val="008D592A"/>
    <w:rsid w:val="008D5BB7"/>
    <w:rsid w:val="008D5C55"/>
    <w:rsid w:val="008D6B29"/>
    <w:rsid w:val="008D6BE1"/>
    <w:rsid w:val="008D6D83"/>
    <w:rsid w:val="008D71BC"/>
    <w:rsid w:val="008E069D"/>
    <w:rsid w:val="008E0A9F"/>
    <w:rsid w:val="008E1000"/>
    <w:rsid w:val="008E169D"/>
    <w:rsid w:val="008E195E"/>
    <w:rsid w:val="008E1B9C"/>
    <w:rsid w:val="008E1F04"/>
    <w:rsid w:val="008E257C"/>
    <w:rsid w:val="008E28E1"/>
    <w:rsid w:val="008E29D5"/>
    <w:rsid w:val="008E2EAA"/>
    <w:rsid w:val="008E2FAD"/>
    <w:rsid w:val="008E3207"/>
    <w:rsid w:val="008E426C"/>
    <w:rsid w:val="008E4348"/>
    <w:rsid w:val="008E44C6"/>
    <w:rsid w:val="008E4782"/>
    <w:rsid w:val="008E4BE4"/>
    <w:rsid w:val="008E4F5D"/>
    <w:rsid w:val="008E4FB9"/>
    <w:rsid w:val="008E595A"/>
    <w:rsid w:val="008E6226"/>
    <w:rsid w:val="008E6434"/>
    <w:rsid w:val="008E6644"/>
    <w:rsid w:val="008E6C1E"/>
    <w:rsid w:val="008E6EB2"/>
    <w:rsid w:val="008E7319"/>
    <w:rsid w:val="008E7F3F"/>
    <w:rsid w:val="008F0AE1"/>
    <w:rsid w:val="008F17E4"/>
    <w:rsid w:val="008F205E"/>
    <w:rsid w:val="008F20C3"/>
    <w:rsid w:val="008F2100"/>
    <w:rsid w:val="008F21D1"/>
    <w:rsid w:val="008F22CA"/>
    <w:rsid w:val="008F2A94"/>
    <w:rsid w:val="008F2AB4"/>
    <w:rsid w:val="008F2D7A"/>
    <w:rsid w:val="008F346F"/>
    <w:rsid w:val="008F3AF3"/>
    <w:rsid w:val="008F3CF5"/>
    <w:rsid w:val="008F3DE2"/>
    <w:rsid w:val="008F429F"/>
    <w:rsid w:val="008F485A"/>
    <w:rsid w:val="008F4C40"/>
    <w:rsid w:val="008F5418"/>
    <w:rsid w:val="008F5B70"/>
    <w:rsid w:val="008F5F98"/>
    <w:rsid w:val="008F609B"/>
    <w:rsid w:val="008F64EB"/>
    <w:rsid w:val="008F6DB6"/>
    <w:rsid w:val="008F72A5"/>
    <w:rsid w:val="008F7566"/>
    <w:rsid w:val="008F765F"/>
    <w:rsid w:val="008F7FC4"/>
    <w:rsid w:val="009002F0"/>
    <w:rsid w:val="00900F84"/>
    <w:rsid w:val="00901475"/>
    <w:rsid w:val="00901FA5"/>
    <w:rsid w:val="009020F0"/>
    <w:rsid w:val="009023D2"/>
    <w:rsid w:val="00902AF0"/>
    <w:rsid w:val="00902E8B"/>
    <w:rsid w:val="0090349A"/>
    <w:rsid w:val="0090383E"/>
    <w:rsid w:val="00903F1A"/>
    <w:rsid w:val="00903F53"/>
    <w:rsid w:val="0090406D"/>
    <w:rsid w:val="00904175"/>
    <w:rsid w:val="009046FA"/>
    <w:rsid w:val="009047ED"/>
    <w:rsid w:val="00904AAC"/>
    <w:rsid w:val="0090509A"/>
    <w:rsid w:val="00905461"/>
    <w:rsid w:val="00905B83"/>
    <w:rsid w:val="0090652A"/>
    <w:rsid w:val="009066E0"/>
    <w:rsid w:val="00906948"/>
    <w:rsid w:val="00906F2F"/>
    <w:rsid w:val="00906FCF"/>
    <w:rsid w:val="00907080"/>
    <w:rsid w:val="00907B71"/>
    <w:rsid w:val="00907CD4"/>
    <w:rsid w:val="00907E94"/>
    <w:rsid w:val="0091019B"/>
    <w:rsid w:val="00910CD0"/>
    <w:rsid w:val="00910DAC"/>
    <w:rsid w:val="00911059"/>
    <w:rsid w:val="00911B42"/>
    <w:rsid w:val="00911C30"/>
    <w:rsid w:val="009128BB"/>
    <w:rsid w:val="00912D4B"/>
    <w:rsid w:val="009132A2"/>
    <w:rsid w:val="0091398E"/>
    <w:rsid w:val="00913A80"/>
    <w:rsid w:val="00913BC6"/>
    <w:rsid w:val="00914D73"/>
    <w:rsid w:val="00915730"/>
    <w:rsid w:val="009160BF"/>
    <w:rsid w:val="00916C3C"/>
    <w:rsid w:val="0091716D"/>
    <w:rsid w:val="00917586"/>
    <w:rsid w:val="00917D9D"/>
    <w:rsid w:val="00917EC9"/>
    <w:rsid w:val="0092087E"/>
    <w:rsid w:val="00920B44"/>
    <w:rsid w:val="009211F3"/>
    <w:rsid w:val="009211FF"/>
    <w:rsid w:val="00921B23"/>
    <w:rsid w:val="00921C31"/>
    <w:rsid w:val="00922CEF"/>
    <w:rsid w:val="0092397B"/>
    <w:rsid w:val="009239D0"/>
    <w:rsid w:val="00924006"/>
    <w:rsid w:val="009240EF"/>
    <w:rsid w:val="00924421"/>
    <w:rsid w:val="0092481C"/>
    <w:rsid w:val="00924C21"/>
    <w:rsid w:val="0092523F"/>
    <w:rsid w:val="00925289"/>
    <w:rsid w:val="00925508"/>
    <w:rsid w:val="009257D3"/>
    <w:rsid w:val="00925AB7"/>
    <w:rsid w:val="00925DE9"/>
    <w:rsid w:val="009266F3"/>
    <w:rsid w:val="00926827"/>
    <w:rsid w:val="00927436"/>
    <w:rsid w:val="00927777"/>
    <w:rsid w:val="009278D8"/>
    <w:rsid w:val="00927F95"/>
    <w:rsid w:val="009300F2"/>
    <w:rsid w:val="009302B7"/>
    <w:rsid w:val="00930A1D"/>
    <w:rsid w:val="009322C5"/>
    <w:rsid w:val="0093315C"/>
    <w:rsid w:val="0093320C"/>
    <w:rsid w:val="00933313"/>
    <w:rsid w:val="00933985"/>
    <w:rsid w:val="00933DEB"/>
    <w:rsid w:val="00933E92"/>
    <w:rsid w:val="009340FE"/>
    <w:rsid w:val="0093493E"/>
    <w:rsid w:val="00934DF7"/>
    <w:rsid w:val="00934E59"/>
    <w:rsid w:val="009350B9"/>
    <w:rsid w:val="009354DF"/>
    <w:rsid w:val="0093611E"/>
    <w:rsid w:val="00936126"/>
    <w:rsid w:val="009363DD"/>
    <w:rsid w:val="00936B65"/>
    <w:rsid w:val="00936EDD"/>
    <w:rsid w:val="009371BA"/>
    <w:rsid w:val="00937203"/>
    <w:rsid w:val="009375AC"/>
    <w:rsid w:val="00937600"/>
    <w:rsid w:val="00937F97"/>
    <w:rsid w:val="00940354"/>
    <w:rsid w:val="00940417"/>
    <w:rsid w:val="009407F3"/>
    <w:rsid w:val="00940876"/>
    <w:rsid w:val="00941B42"/>
    <w:rsid w:val="00941D1B"/>
    <w:rsid w:val="00942154"/>
    <w:rsid w:val="009422AB"/>
    <w:rsid w:val="0094332E"/>
    <w:rsid w:val="0094380F"/>
    <w:rsid w:val="00943923"/>
    <w:rsid w:val="009439BD"/>
    <w:rsid w:val="00943F30"/>
    <w:rsid w:val="00944252"/>
    <w:rsid w:val="00944529"/>
    <w:rsid w:val="009446A8"/>
    <w:rsid w:val="00944F67"/>
    <w:rsid w:val="00945443"/>
    <w:rsid w:val="009459CF"/>
    <w:rsid w:val="00946CDB"/>
    <w:rsid w:val="00946F1C"/>
    <w:rsid w:val="00946F75"/>
    <w:rsid w:val="0094701E"/>
    <w:rsid w:val="0094718C"/>
    <w:rsid w:val="00947227"/>
    <w:rsid w:val="0094745C"/>
    <w:rsid w:val="00947D58"/>
    <w:rsid w:val="00947F62"/>
    <w:rsid w:val="00950591"/>
    <w:rsid w:val="0095079A"/>
    <w:rsid w:val="00950A22"/>
    <w:rsid w:val="00950A9C"/>
    <w:rsid w:val="00950B53"/>
    <w:rsid w:val="00950F79"/>
    <w:rsid w:val="009514C7"/>
    <w:rsid w:val="0095153C"/>
    <w:rsid w:val="00951821"/>
    <w:rsid w:val="00951AB1"/>
    <w:rsid w:val="009520AE"/>
    <w:rsid w:val="009525B7"/>
    <w:rsid w:val="00952C54"/>
    <w:rsid w:val="00952F69"/>
    <w:rsid w:val="009532BE"/>
    <w:rsid w:val="009538D3"/>
    <w:rsid w:val="00953A35"/>
    <w:rsid w:val="00953EC4"/>
    <w:rsid w:val="0095439C"/>
    <w:rsid w:val="00954424"/>
    <w:rsid w:val="0095474E"/>
    <w:rsid w:val="00954845"/>
    <w:rsid w:val="00954929"/>
    <w:rsid w:val="0095538F"/>
    <w:rsid w:val="00955A6E"/>
    <w:rsid w:val="00955B23"/>
    <w:rsid w:val="00956259"/>
    <w:rsid w:val="00956857"/>
    <w:rsid w:val="00956F35"/>
    <w:rsid w:val="0095755E"/>
    <w:rsid w:val="00961964"/>
    <w:rsid w:val="00962192"/>
    <w:rsid w:val="00962ABF"/>
    <w:rsid w:val="00962E51"/>
    <w:rsid w:val="00963D97"/>
    <w:rsid w:val="00964A4E"/>
    <w:rsid w:val="00964A71"/>
    <w:rsid w:val="00964B2D"/>
    <w:rsid w:val="00964FEC"/>
    <w:rsid w:val="00965749"/>
    <w:rsid w:val="00965D63"/>
    <w:rsid w:val="00966373"/>
    <w:rsid w:val="00966DCA"/>
    <w:rsid w:val="00967072"/>
    <w:rsid w:val="009672DD"/>
    <w:rsid w:val="009677D6"/>
    <w:rsid w:val="00967CA9"/>
    <w:rsid w:val="009708A5"/>
    <w:rsid w:val="00970B01"/>
    <w:rsid w:val="00971086"/>
    <w:rsid w:val="009710D4"/>
    <w:rsid w:val="009711FB"/>
    <w:rsid w:val="00971248"/>
    <w:rsid w:val="009718BC"/>
    <w:rsid w:val="00971A9B"/>
    <w:rsid w:val="00971DAC"/>
    <w:rsid w:val="009721A4"/>
    <w:rsid w:val="009727C3"/>
    <w:rsid w:val="0097282A"/>
    <w:rsid w:val="00972AED"/>
    <w:rsid w:val="00972D0E"/>
    <w:rsid w:val="00972F67"/>
    <w:rsid w:val="009734A4"/>
    <w:rsid w:val="009736F5"/>
    <w:rsid w:val="00973772"/>
    <w:rsid w:val="00973BCD"/>
    <w:rsid w:val="00973CF2"/>
    <w:rsid w:val="00973EC8"/>
    <w:rsid w:val="00973FEB"/>
    <w:rsid w:val="0097408E"/>
    <w:rsid w:val="0097470D"/>
    <w:rsid w:val="009747C2"/>
    <w:rsid w:val="00974EDE"/>
    <w:rsid w:val="00975858"/>
    <w:rsid w:val="00975A9A"/>
    <w:rsid w:val="00975E5C"/>
    <w:rsid w:val="009762D5"/>
    <w:rsid w:val="0097678A"/>
    <w:rsid w:val="00976A3A"/>
    <w:rsid w:val="00976AB2"/>
    <w:rsid w:val="00976E82"/>
    <w:rsid w:val="00977646"/>
    <w:rsid w:val="00977B57"/>
    <w:rsid w:val="00980245"/>
    <w:rsid w:val="0098057A"/>
    <w:rsid w:val="00980C08"/>
    <w:rsid w:val="009814DF"/>
    <w:rsid w:val="0098171C"/>
    <w:rsid w:val="00981841"/>
    <w:rsid w:val="00982013"/>
    <w:rsid w:val="00982A87"/>
    <w:rsid w:val="00982B58"/>
    <w:rsid w:val="00982F8D"/>
    <w:rsid w:val="00983245"/>
    <w:rsid w:val="00983520"/>
    <w:rsid w:val="0098366F"/>
    <w:rsid w:val="009836CA"/>
    <w:rsid w:val="00983A47"/>
    <w:rsid w:val="00983A80"/>
    <w:rsid w:val="00983B22"/>
    <w:rsid w:val="00984F99"/>
    <w:rsid w:val="00985698"/>
    <w:rsid w:val="00985A07"/>
    <w:rsid w:val="00985E6D"/>
    <w:rsid w:val="009861D6"/>
    <w:rsid w:val="009862C2"/>
    <w:rsid w:val="009866A9"/>
    <w:rsid w:val="0098676B"/>
    <w:rsid w:val="009870F6"/>
    <w:rsid w:val="0098763E"/>
    <w:rsid w:val="00987EBD"/>
    <w:rsid w:val="00990174"/>
    <w:rsid w:val="009902AF"/>
    <w:rsid w:val="009907AE"/>
    <w:rsid w:val="00990B23"/>
    <w:rsid w:val="00991133"/>
    <w:rsid w:val="00991435"/>
    <w:rsid w:val="00991CF7"/>
    <w:rsid w:val="009921F9"/>
    <w:rsid w:val="0099248C"/>
    <w:rsid w:val="00992970"/>
    <w:rsid w:val="00992F49"/>
    <w:rsid w:val="009930CB"/>
    <w:rsid w:val="009932B6"/>
    <w:rsid w:val="009932FB"/>
    <w:rsid w:val="00993B9E"/>
    <w:rsid w:val="00993EF1"/>
    <w:rsid w:val="009941FF"/>
    <w:rsid w:val="0099453B"/>
    <w:rsid w:val="00994E80"/>
    <w:rsid w:val="009958EC"/>
    <w:rsid w:val="00995F27"/>
    <w:rsid w:val="00995F74"/>
    <w:rsid w:val="009960EE"/>
    <w:rsid w:val="00996170"/>
    <w:rsid w:val="0099659D"/>
    <w:rsid w:val="00996A99"/>
    <w:rsid w:val="00996CA8"/>
    <w:rsid w:val="00997557"/>
    <w:rsid w:val="00997B18"/>
    <w:rsid w:val="00997BF2"/>
    <w:rsid w:val="009A0028"/>
    <w:rsid w:val="009A048E"/>
    <w:rsid w:val="009A07D6"/>
    <w:rsid w:val="009A0ADC"/>
    <w:rsid w:val="009A0B31"/>
    <w:rsid w:val="009A0CD8"/>
    <w:rsid w:val="009A17FD"/>
    <w:rsid w:val="009A1DB1"/>
    <w:rsid w:val="009A1F86"/>
    <w:rsid w:val="009A2541"/>
    <w:rsid w:val="009A25BF"/>
    <w:rsid w:val="009A26C0"/>
    <w:rsid w:val="009A331C"/>
    <w:rsid w:val="009A3870"/>
    <w:rsid w:val="009A3B02"/>
    <w:rsid w:val="009A3ECC"/>
    <w:rsid w:val="009A4903"/>
    <w:rsid w:val="009A49C1"/>
    <w:rsid w:val="009A4D38"/>
    <w:rsid w:val="009A4D4E"/>
    <w:rsid w:val="009A5028"/>
    <w:rsid w:val="009A52FA"/>
    <w:rsid w:val="009A5359"/>
    <w:rsid w:val="009A54EB"/>
    <w:rsid w:val="009A5706"/>
    <w:rsid w:val="009A5945"/>
    <w:rsid w:val="009A5B1E"/>
    <w:rsid w:val="009A5D91"/>
    <w:rsid w:val="009A5E64"/>
    <w:rsid w:val="009A620F"/>
    <w:rsid w:val="009A68D0"/>
    <w:rsid w:val="009A6C01"/>
    <w:rsid w:val="009A6C07"/>
    <w:rsid w:val="009A6CF5"/>
    <w:rsid w:val="009A6DE9"/>
    <w:rsid w:val="009A7028"/>
    <w:rsid w:val="009A710B"/>
    <w:rsid w:val="009A7935"/>
    <w:rsid w:val="009A7D89"/>
    <w:rsid w:val="009B0491"/>
    <w:rsid w:val="009B05E3"/>
    <w:rsid w:val="009B09EC"/>
    <w:rsid w:val="009B0A96"/>
    <w:rsid w:val="009B0D19"/>
    <w:rsid w:val="009B0D79"/>
    <w:rsid w:val="009B0E8B"/>
    <w:rsid w:val="009B1C69"/>
    <w:rsid w:val="009B1DDE"/>
    <w:rsid w:val="009B25CD"/>
    <w:rsid w:val="009B2969"/>
    <w:rsid w:val="009B29E5"/>
    <w:rsid w:val="009B32B4"/>
    <w:rsid w:val="009B4380"/>
    <w:rsid w:val="009B440A"/>
    <w:rsid w:val="009B4752"/>
    <w:rsid w:val="009B4C60"/>
    <w:rsid w:val="009B4E79"/>
    <w:rsid w:val="009B4F81"/>
    <w:rsid w:val="009B5228"/>
    <w:rsid w:val="009B5822"/>
    <w:rsid w:val="009B5857"/>
    <w:rsid w:val="009B5B77"/>
    <w:rsid w:val="009B5E15"/>
    <w:rsid w:val="009B5F58"/>
    <w:rsid w:val="009B737D"/>
    <w:rsid w:val="009B7599"/>
    <w:rsid w:val="009B7B9F"/>
    <w:rsid w:val="009B7E68"/>
    <w:rsid w:val="009B7F29"/>
    <w:rsid w:val="009C00ED"/>
    <w:rsid w:val="009C046D"/>
    <w:rsid w:val="009C0B9B"/>
    <w:rsid w:val="009C0D5A"/>
    <w:rsid w:val="009C0EB1"/>
    <w:rsid w:val="009C1502"/>
    <w:rsid w:val="009C1636"/>
    <w:rsid w:val="009C1E13"/>
    <w:rsid w:val="009C2585"/>
    <w:rsid w:val="009C2624"/>
    <w:rsid w:val="009C2BCC"/>
    <w:rsid w:val="009C2E5A"/>
    <w:rsid w:val="009C3449"/>
    <w:rsid w:val="009C366A"/>
    <w:rsid w:val="009C3761"/>
    <w:rsid w:val="009C3A81"/>
    <w:rsid w:val="009C3F2C"/>
    <w:rsid w:val="009C4450"/>
    <w:rsid w:val="009C4AF4"/>
    <w:rsid w:val="009C4ED1"/>
    <w:rsid w:val="009C5483"/>
    <w:rsid w:val="009C56FA"/>
    <w:rsid w:val="009C5746"/>
    <w:rsid w:val="009C5BD9"/>
    <w:rsid w:val="009C5FBF"/>
    <w:rsid w:val="009C6275"/>
    <w:rsid w:val="009C639E"/>
    <w:rsid w:val="009C659D"/>
    <w:rsid w:val="009C6883"/>
    <w:rsid w:val="009C6ACA"/>
    <w:rsid w:val="009C6E9B"/>
    <w:rsid w:val="009C748A"/>
    <w:rsid w:val="009C786F"/>
    <w:rsid w:val="009C7C56"/>
    <w:rsid w:val="009C7F5D"/>
    <w:rsid w:val="009D00F7"/>
    <w:rsid w:val="009D0232"/>
    <w:rsid w:val="009D03C9"/>
    <w:rsid w:val="009D04E0"/>
    <w:rsid w:val="009D09B9"/>
    <w:rsid w:val="009D0ACB"/>
    <w:rsid w:val="009D0F34"/>
    <w:rsid w:val="009D0FDE"/>
    <w:rsid w:val="009D109F"/>
    <w:rsid w:val="009D184C"/>
    <w:rsid w:val="009D215A"/>
    <w:rsid w:val="009D235F"/>
    <w:rsid w:val="009D26F7"/>
    <w:rsid w:val="009D2806"/>
    <w:rsid w:val="009D2906"/>
    <w:rsid w:val="009D3090"/>
    <w:rsid w:val="009D317C"/>
    <w:rsid w:val="009D39F4"/>
    <w:rsid w:val="009D3CB1"/>
    <w:rsid w:val="009D55AE"/>
    <w:rsid w:val="009D585D"/>
    <w:rsid w:val="009D5A54"/>
    <w:rsid w:val="009D5A5A"/>
    <w:rsid w:val="009D61C0"/>
    <w:rsid w:val="009D6949"/>
    <w:rsid w:val="009D6980"/>
    <w:rsid w:val="009D6D50"/>
    <w:rsid w:val="009D6DAB"/>
    <w:rsid w:val="009D7606"/>
    <w:rsid w:val="009D7838"/>
    <w:rsid w:val="009D7B52"/>
    <w:rsid w:val="009D7CB2"/>
    <w:rsid w:val="009D7E95"/>
    <w:rsid w:val="009E01E0"/>
    <w:rsid w:val="009E02EA"/>
    <w:rsid w:val="009E053A"/>
    <w:rsid w:val="009E0558"/>
    <w:rsid w:val="009E0ACD"/>
    <w:rsid w:val="009E0BAB"/>
    <w:rsid w:val="009E0EC1"/>
    <w:rsid w:val="009E1049"/>
    <w:rsid w:val="009E143A"/>
    <w:rsid w:val="009E14CE"/>
    <w:rsid w:val="009E202B"/>
    <w:rsid w:val="009E2110"/>
    <w:rsid w:val="009E222C"/>
    <w:rsid w:val="009E236B"/>
    <w:rsid w:val="009E2D94"/>
    <w:rsid w:val="009E33D4"/>
    <w:rsid w:val="009E3E73"/>
    <w:rsid w:val="009E402E"/>
    <w:rsid w:val="009E44EA"/>
    <w:rsid w:val="009E4EF8"/>
    <w:rsid w:val="009E5CE1"/>
    <w:rsid w:val="009E5D04"/>
    <w:rsid w:val="009E6198"/>
    <w:rsid w:val="009E6545"/>
    <w:rsid w:val="009E6588"/>
    <w:rsid w:val="009E6AB1"/>
    <w:rsid w:val="009E7270"/>
    <w:rsid w:val="009E7583"/>
    <w:rsid w:val="009E7A1C"/>
    <w:rsid w:val="009E7A2A"/>
    <w:rsid w:val="009E7C6A"/>
    <w:rsid w:val="009E7D5E"/>
    <w:rsid w:val="009E7D74"/>
    <w:rsid w:val="009F001D"/>
    <w:rsid w:val="009F0E5A"/>
    <w:rsid w:val="009F0EC7"/>
    <w:rsid w:val="009F122B"/>
    <w:rsid w:val="009F12FA"/>
    <w:rsid w:val="009F16A5"/>
    <w:rsid w:val="009F17BA"/>
    <w:rsid w:val="009F1C80"/>
    <w:rsid w:val="009F1D96"/>
    <w:rsid w:val="009F1FC9"/>
    <w:rsid w:val="009F2A05"/>
    <w:rsid w:val="009F42D3"/>
    <w:rsid w:val="009F460D"/>
    <w:rsid w:val="009F4CBE"/>
    <w:rsid w:val="009F4CF6"/>
    <w:rsid w:val="009F552C"/>
    <w:rsid w:val="009F5D62"/>
    <w:rsid w:val="009F631D"/>
    <w:rsid w:val="009F6C89"/>
    <w:rsid w:val="009F7037"/>
    <w:rsid w:val="009F718F"/>
    <w:rsid w:val="00A001B1"/>
    <w:rsid w:val="00A001D1"/>
    <w:rsid w:val="00A0027A"/>
    <w:rsid w:val="00A00514"/>
    <w:rsid w:val="00A008C2"/>
    <w:rsid w:val="00A01BF5"/>
    <w:rsid w:val="00A01F5A"/>
    <w:rsid w:val="00A02030"/>
    <w:rsid w:val="00A0220B"/>
    <w:rsid w:val="00A02265"/>
    <w:rsid w:val="00A0255A"/>
    <w:rsid w:val="00A02574"/>
    <w:rsid w:val="00A02740"/>
    <w:rsid w:val="00A02D3F"/>
    <w:rsid w:val="00A03031"/>
    <w:rsid w:val="00A03493"/>
    <w:rsid w:val="00A0378A"/>
    <w:rsid w:val="00A0389B"/>
    <w:rsid w:val="00A04448"/>
    <w:rsid w:val="00A044EB"/>
    <w:rsid w:val="00A046B9"/>
    <w:rsid w:val="00A056D9"/>
    <w:rsid w:val="00A05D14"/>
    <w:rsid w:val="00A06421"/>
    <w:rsid w:val="00A0650C"/>
    <w:rsid w:val="00A06F0D"/>
    <w:rsid w:val="00A07039"/>
    <w:rsid w:val="00A07124"/>
    <w:rsid w:val="00A077E0"/>
    <w:rsid w:val="00A07BCF"/>
    <w:rsid w:val="00A07C5D"/>
    <w:rsid w:val="00A1092D"/>
    <w:rsid w:val="00A112BC"/>
    <w:rsid w:val="00A11BFB"/>
    <w:rsid w:val="00A13696"/>
    <w:rsid w:val="00A137B9"/>
    <w:rsid w:val="00A139BE"/>
    <w:rsid w:val="00A139EE"/>
    <w:rsid w:val="00A13C56"/>
    <w:rsid w:val="00A13DD7"/>
    <w:rsid w:val="00A140E6"/>
    <w:rsid w:val="00A1460D"/>
    <w:rsid w:val="00A147E5"/>
    <w:rsid w:val="00A14C8A"/>
    <w:rsid w:val="00A15104"/>
    <w:rsid w:val="00A151A6"/>
    <w:rsid w:val="00A15571"/>
    <w:rsid w:val="00A15CB1"/>
    <w:rsid w:val="00A15E71"/>
    <w:rsid w:val="00A16263"/>
    <w:rsid w:val="00A167EC"/>
    <w:rsid w:val="00A16EB1"/>
    <w:rsid w:val="00A1774A"/>
    <w:rsid w:val="00A17964"/>
    <w:rsid w:val="00A203AF"/>
    <w:rsid w:val="00A21203"/>
    <w:rsid w:val="00A21F47"/>
    <w:rsid w:val="00A22117"/>
    <w:rsid w:val="00A2218C"/>
    <w:rsid w:val="00A22268"/>
    <w:rsid w:val="00A23360"/>
    <w:rsid w:val="00A23536"/>
    <w:rsid w:val="00A23E90"/>
    <w:rsid w:val="00A23ED7"/>
    <w:rsid w:val="00A23F2B"/>
    <w:rsid w:val="00A255F1"/>
    <w:rsid w:val="00A2566B"/>
    <w:rsid w:val="00A2576F"/>
    <w:rsid w:val="00A2579D"/>
    <w:rsid w:val="00A2590D"/>
    <w:rsid w:val="00A25AF4"/>
    <w:rsid w:val="00A26395"/>
    <w:rsid w:val="00A26761"/>
    <w:rsid w:val="00A2699E"/>
    <w:rsid w:val="00A26DCD"/>
    <w:rsid w:val="00A272E6"/>
    <w:rsid w:val="00A27639"/>
    <w:rsid w:val="00A27E11"/>
    <w:rsid w:val="00A30165"/>
    <w:rsid w:val="00A307AA"/>
    <w:rsid w:val="00A30F7B"/>
    <w:rsid w:val="00A312C1"/>
    <w:rsid w:val="00A317BC"/>
    <w:rsid w:val="00A3208B"/>
    <w:rsid w:val="00A32414"/>
    <w:rsid w:val="00A327C5"/>
    <w:rsid w:val="00A32CA7"/>
    <w:rsid w:val="00A32F35"/>
    <w:rsid w:val="00A33026"/>
    <w:rsid w:val="00A3313B"/>
    <w:rsid w:val="00A33D5F"/>
    <w:rsid w:val="00A33ECA"/>
    <w:rsid w:val="00A34A62"/>
    <w:rsid w:val="00A351A1"/>
    <w:rsid w:val="00A3555D"/>
    <w:rsid w:val="00A3587A"/>
    <w:rsid w:val="00A35B27"/>
    <w:rsid w:val="00A36A1C"/>
    <w:rsid w:val="00A3762E"/>
    <w:rsid w:val="00A37E71"/>
    <w:rsid w:val="00A40B17"/>
    <w:rsid w:val="00A40D54"/>
    <w:rsid w:val="00A413DF"/>
    <w:rsid w:val="00A42975"/>
    <w:rsid w:val="00A42ACF"/>
    <w:rsid w:val="00A42D3A"/>
    <w:rsid w:val="00A43659"/>
    <w:rsid w:val="00A43CA0"/>
    <w:rsid w:val="00A4457E"/>
    <w:rsid w:val="00A446CD"/>
    <w:rsid w:val="00A44DB3"/>
    <w:rsid w:val="00A44EC5"/>
    <w:rsid w:val="00A44FCC"/>
    <w:rsid w:val="00A4558E"/>
    <w:rsid w:val="00A456C6"/>
    <w:rsid w:val="00A45709"/>
    <w:rsid w:val="00A45A2D"/>
    <w:rsid w:val="00A45B7A"/>
    <w:rsid w:val="00A45C2E"/>
    <w:rsid w:val="00A45E87"/>
    <w:rsid w:val="00A4616D"/>
    <w:rsid w:val="00A461CD"/>
    <w:rsid w:val="00A46959"/>
    <w:rsid w:val="00A46CD8"/>
    <w:rsid w:val="00A47782"/>
    <w:rsid w:val="00A47E44"/>
    <w:rsid w:val="00A5029A"/>
    <w:rsid w:val="00A502EE"/>
    <w:rsid w:val="00A51000"/>
    <w:rsid w:val="00A5140D"/>
    <w:rsid w:val="00A52BAE"/>
    <w:rsid w:val="00A52DF3"/>
    <w:rsid w:val="00A52FC2"/>
    <w:rsid w:val="00A53221"/>
    <w:rsid w:val="00A53589"/>
    <w:rsid w:val="00A540A5"/>
    <w:rsid w:val="00A5451C"/>
    <w:rsid w:val="00A549AC"/>
    <w:rsid w:val="00A55685"/>
    <w:rsid w:val="00A55F64"/>
    <w:rsid w:val="00A5628A"/>
    <w:rsid w:val="00A566C3"/>
    <w:rsid w:val="00A56DAF"/>
    <w:rsid w:val="00A572A3"/>
    <w:rsid w:val="00A57EE4"/>
    <w:rsid w:val="00A57F30"/>
    <w:rsid w:val="00A60744"/>
    <w:rsid w:val="00A60D69"/>
    <w:rsid w:val="00A60F13"/>
    <w:rsid w:val="00A61318"/>
    <w:rsid w:val="00A6158E"/>
    <w:rsid w:val="00A62111"/>
    <w:rsid w:val="00A62BE3"/>
    <w:rsid w:val="00A63000"/>
    <w:rsid w:val="00A637FC"/>
    <w:rsid w:val="00A642EF"/>
    <w:rsid w:val="00A644D0"/>
    <w:rsid w:val="00A64864"/>
    <w:rsid w:val="00A6488F"/>
    <w:rsid w:val="00A650D3"/>
    <w:rsid w:val="00A652AB"/>
    <w:rsid w:val="00A65409"/>
    <w:rsid w:val="00A6543C"/>
    <w:rsid w:val="00A654BE"/>
    <w:rsid w:val="00A65738"/>
    <w:rsid w:val="00A65916"/>
    <w:rsid w:val="00A6602F"/>
    <w:rsid w:val="00A66274"/>
    <w:rsid w:val="00A662A5"/>
    <w:rsid w:val="00A664E7"/>
    <w:rsid w:val="00A66AA5"/>
    <w:rsid w:val="00A66C8C"/>
    <w:rsid w:val="00A66F78"/>
    <w:rsid w:val="00A66FFC"/>
    <w:rsid w:val="00A67305"/>
    <w:rsid w:val="00A679D3"/>
    <w:rsid w:val="00A67D39"/>
    <w:rsid w:val="00A7022A"/>
    <w:rsid w:val="00A7027B"/>
    <w:rsid w:val="00A7057F"/>
    <w:rsid w:val="00A70788"/>
    <w:rsid w:val="00A70BA5"/>
    <w:rsid w:val="00A7116F"/>
    <w:rsid w:val="00A7282F"/>
    <w:rsid w:val="00A72C6B"/>
    <w:rsid w:val="00A72EFF"/>
    <w:rsid w:val="00A72FBE"/>
    <w:rsid w:val="00A7363B"/>
    <w:rsid w:val="00A73C36"/>
    <w:rsid w:val="00A73D81"/>
    <w:rsid w:val="00A73D8D"/>
    <w:rsid w:val="00A745BE"/>
    <w:rsid w:val="00A7479C"/>
    <w:rsid w:val="00A75030"/>
    <w:rsid w:val="00A75123"/>
    <w:rsid w:val="00A7519F"/>
    <w:rsid w:val="00A751FF"/>
    <w:rsid w:val="00A757BE"/>
    <w:rsid w:val="00A75B3B"/>
    <w:rsid w:val="00A76529"/>
    <w:rsid w:val="00A76571"/>
    <w:rsid w:val="00A768FE"/>
    <w:rsid w:val="00A769E1"/>
    <w:rsid w:val="00A76FF2"/>
    <w:rsid w:val="00A77169"/>
    <w:rsid w:val="00A77A58"/>
    <w:rsid w:val="00A77DE6"/>
    <w:rsid w:val="00A801C1"/>
    <w:rsid w:val="00A81055"/>
    <w:rsid w:val="00A814AB"/>
    <w:rsid w:val="00A81C9E"/>
    <w:rsid w:val="00A82F37"/>
    <w:rsid w:val="00A83094"/>
    <w:rsid w:val="00A832C4"/>
    <w:rsid w:val="00A838C8"/>
    <w:rsid w:val="00A83A4E"/>
    <w:rsid w:val="00A83E17"/>
    <w:rsid w:val="00A841D1"/>
    <w:rsid w:val="00A84BEE"/>
    <w:rsid w:val="00A85081"/>
    <w:rsid w:val="00A85ADC"/>
    <w:rsid w:val="00A85E89"/>
    <w:rsid w:val="00A85FDE"/>
    <w:rsid w:val="00A8646A"/>
    <w:rsid w:val="00A8692E"/>
    <w:rsid w:val="00A86DE5"/>
    <w:rsid w:val="00A86F0C"/>
    <w:rsid w:val="00A87332"/>
    <w:rsid w:val="00A875D7"/>
    <w:rsid w:val="00A877FD"/>
    <w:rsid w:val="00A87B5C"/>
    <w:rsid w:val="00A87DCC"/>
    <w:rsid w:val="00A90503"/>
    <w:rsid w:val="00A9116B"/>
    <w:rsid w:val="00A91362"/>
    <w:rsid w:val="00A925AB"/>
    <w:rsid w:val="00A932E9"/>
    <w:rsid w:val="00A9331C"/>
    <w:rsid w:val="00A9337E"/>
    <w:rsid w:val="00A9359F"/>
    <w:rsid w:val="00A93AB9"/>
    <w:rsid w:val="00A93B1B"/>
    <w:rsid w:val="00A93B8D"/>
    <w:rsid w:val="00A93F4A"/>
    <w:rsid w:val="00A93F4E"/>
    <w:rsid w:val="00A93FA4"/>
    <w:rsid w:val="00A9403F"/>
    <w:rsid w:val="00A9487F"/>
    <w:rsid w:val="00A94F11"/>
    <w:rsid w:val="00A95F0D"/>
    <w:rsid w:val="00A962BC"/>
    <w:rsid w:val="00A96C69"/>
    <w:rsid w:val="00A9718E"/>
    <w:rsid w:val="00A973F5"/>
    <w:rsid w:val="00A97437"/>
    <w:rsid w:val="00A977CB"/>
    <w:rsid w:val="00A97CCD"/>
    <w:rsid w:val="00A97DF0"/>
    <w:rsid w:val="00A97F2F"/>
    <w:rsid w:val="00A97F4F"/>
    <w:rsid w:val="00AA0AA8"/>
    <w:rsid w:val="00AA1558"/>
    <w:rsid w:val="00AA1872"/>
    <w:rsid w:val="00AA1C26"/>
    <w:rsid w:val="00AA1C30"/>
    <w:rsid w:val="00AA1D37"/>
    <w:rsid w:val="00AA257F"/>
    <w:rsid w:val="00AA297D"/>
    <w:rsid w:val="00AA2E8B"/>
    <w:rsid w:val="00AA32A7"/>
    <w:rsid w:val="00AA3ABC"/>
    <w:rsid w:val="00AA3C58"/>
    <w:rsid w:val="00AA3C5A"/>
    <w:rsid w:val="00AA3CC1"/>
    <w:rsid w:val="00AA3F2F"/>
    <w:rsid w:val="00AA55C3"/>
    <w:rsid w:val="00AA58CB"/>
    <w:rsid w:val="00AA5F4B"/>
    <w:rsid w:val="00AA6A34"/>
    <w:rsid w:val="00AA6B65"/>
    <w:rsid w:val="00AA6B87"/>
    <w:rsid w:val="00AA6CD6"/>
    <w:rsid w:val="00AA7383"/>
    <w:rsid w:val="00AA7918"/>
    <w:rsid w:val="00AB03A0"/>
    <w:rsid w:val="00AB09A4"/>
    <w:rsid w:val="00AB0B93"/>
    <w:rsid w:val="00AB10B1"/>
    <w:rsid w:val="00AB12D5"/>
    <w:rsid w:val="00AB1FD3"/>
    <w:rsid w:val="00AB233B"/>
    <w:rsid w:val="00AB23CA"/>
    <w:rsid w:val="00AB25B4"/>
    <w:rsid w:val="00AB285D"/>
    <w:rsid w:val="00AB2DFC"/>
    <w:rsid w:val="00AB2FE1"/>
    <w:rsid w:val="00AB3129"/>
    <w:rsid w:val="00AB383C"/>
    <w:rsid w:val="00AB38E1"/>
    <w:rsid w:val="00AB3C38"/>
    <w:rsid w:val="00AB3D9E"/>
    <w:rsid w:val="00AB448C"/>
    <w:rsid w:val="00AB45EE"/>
    <w:rsid w:val="00AB521A"/>
    <w:rsid w:val="00AB5555"/>
    <w:rsid w:val="00AB5B9F"/>
    <w:rsid w:val="00AB5C5E"/>
    <w:rsid w:val="00AB5CCD"/>
    <w:rsid w:val="00AB61D4"/>
    <w:rsid w:val="00AB64F2"/>
    <w:rsid w:val="00AB66BA"/>
    <w:rsid w:val="00AB6802"/>
    <w:rsid w:val="00AB6BE4"/>
    <w:rsid w:val="00AB6DD7"/>
    <w:rsid w:val="00AB6E6C"/>
    <w:rsid w:val="00AB706C"/>
    <w:rsid w:val="00AB78AB"/>
    <w:rsid w:val="00AB79AA"/>
    <w:rsid w:val="00AB7C97"/>
    <w:rsid w:val="00AC0300"/>
    <w:rsid w:val="00AC0A14"/>
    <w:rsid w:val="00AC0E65"/>
    <w:rsid w:val="00AC0F3E"/>
    <w:rsid w:val="00AC1056"/>
    <w:rsid w:val="00AC167F"/>
    <w:rsid w:val="00AC1E19"/>
    <w:rsid w:val="00AC265E"/>
    <w:rsid w:val="00AC28FA"/>
    <w:rsid w:val="00AC2E03"/>
    <w:rsid w:val="00AC36DA"/>
    <w:rsid w:val="00AC3700"/>
    <w:rsid w:val="00AC3CC5"/>
    <w:rsid w:val="00AC417A"/>
    <w:rsid w:val="00AC4631"/>
    <w:rsid w:val="00AC47F1"/>
    <w:rsid w:val="00AC4908"/>
    <w:rsid w:val="00AC4E74"/>
    <w:rsid w:val="00AC5161"/>
    <w:rsid w:val="00AC52AF"/>
    <w:rsid w:val="00AC5B11"/>
    <w:rsid w:val="00AC5BB1"/>
    <w:rsid w:val="00AC5FE7"/>
    <w:rsid w:val="00AC65BC"/>
    <w:rsid w:val="00AC6E0F"/>
    <w:rsid w:val="00AC6FC8"/>
    <w:rsid w:val="00AC7065"/>
    <w:rsid w:val="00AC7350"/>
    <w:rsid w:val="00AD0209"/>
    <w:rsid w:val="00AD05C7"/>
    <w:rsid w:val="00AD112C"/>
    <w:rsid w:val="00AD1177"/>
    <w:rsid w:val="00AD125C"/>
    <w:rsid w:val="00AD143C"/>
    <w:rsid w:val="00AD16F4"/>
    <w:rsid w:val="00AD2657"/>
    <w:rsid w:val="00AD303C"/>
    <w:rsid w:val="00AD3479"/>
    <w:rsid w:val="00AD3AB6"/>
    <w:rsid w:val="00AD41F8"/>
    <w:rsid w:val="00AD48AA"/>
    <w:rsid w:val="00AD4D65"/>
    <w:rsid w:val="00AD4DC3"/>
    <w:rsid w:val="00AD4F64"/>
    <w:rsid w:val="00AD508D"/>
    <w:rsid w:val="00AD5A72"/>
    <w:rsid w:val="00AD5D18"/>
    <w:rsid w:val="00AD5F91"/>
    <w:rsid w:val="00AD631C"/>
    <w:rsid w:val="00AD6516"/>
    <w:rsid w:val="00AD6573"/>
    <w:rsid w:val="00AD681A"/>
    <w:rsid w:val="00AD6A18"/>
    <w:rsid w:val="00AD6EFD"/>
    <w:rsid w:val="00AD7D44"/>
    <w:rsid w:val="00AD7E06"/>
    <w:rsid w:val="00AE03C9"/>
    <w:rsid w:val="00AE06B0"/>
    <w:rsid w:val="00AE0A80"/>
    <w:rsid w:val="00AE0AB3"/>
    <w:rsid w:val="00AE0BB6"/>
    <w:rsid w:val="00AE0BE3"/>
    <w:rsid w:val="00AE0ED7"/>
    <w:rsid w:val="00AE0F67"/>
    <w:rsid w:val="00AE1A17"/>
    <w:rsid w:val="00AE1C51"/>
    <w:rsid w:val="00AE266F"/>
    <w:rsid w:val="00AE2C59"/>
    <w:rsid w:val="00AE2D2E"/>
    <w:rsid w:val="00AE3351"/>
    <w:rsid w:val="00AE3983"/>
    <w:rsid w:val="00AE4481"/>
    <w:rsid w:val="00AE4E41"/>
    <w:rsid w:val="00AE4ED6"/>
    <w:rsid w:val="00AE4F9A"/>
    <w:rsid w:val="00AE59EC"/>
    <w:rsid w:val="00AE5C66"/>
    <w:rsid w:val="00AE61E3"/>
    <w:rsid w:val="00AE63C0"/>
    <w:rsid w:val="00AE6479"/>
    <w:rsid w:val="00AE65D9"/>
    <w:rsid w:val="00AE6667"/>
    <w:rsid w:val="00AE6ED5"/>
    <w:rsid w:val="00AE719C"/>
    <w:rsid w:val="00AE7391"/>
    <w:rsid w:val="00AE79AB"/>
    <w:rsid w:val="00AE7FDD"/>
    <w:rsid w:val="00AF04A5"/>
    <w:rsid w:val="00AF06E2"/>
    <w:rsid w:val="00AF0A70"/>
    <w:rsid w:val="00AF1544"/>
    <w:rsid w:val="00AF15C0"/>
    <w:rsid w:val="00AF1F6C"/>
    <w:rsid w:val="00AF219A"/>
    <w:rsid w:val="00AF26F6"/>
    <w:rsid w:val="00AF2AC9"/>
    <w:rsid w:val="00AF3282"/>
    <w:rsid w:val="00AF46A3"/>
    <w:rsid w:val="00AF49FD"/>
    <w:rsid w:val="00AF5895"/>
    <w:rsid w:val="00AF5DE2"/>
    <w:rsid w:val="00AF6769"/>
    <w:rsid w:val="00AF6E3F"/>
    <w:rsid w:val="00AF7241"/>
    <w:rsid w:val="00B0098A"/>
    <w:rsid w:val="00B00C9C"/>
    <w:rsid w:val="00B00F52"/>
    <w:rsid w:val="00B0140B"/>
    <w:rsid w:val="00B01564"/>
    <w:rsid w:val="00B01600"/>
    <w:rsid w:val="00B01BC9"/>
    <w:rsid w:val="00B0202B"/>
    <w:rsid w:val="00B02BF2"/>
    <w:rsid w:val="00B02D5D"/>
    <w:rsid w:val="00B02F4C"/>
    <w:rsid w:val="00B03299"/>
    <w:rsid w:val="00B0364F"/>
    <w:rsid w:val="00B038A5"/>
    <w:rsid w:val="00B03D2F"/>
    <w:rsid w:val="00B03E23"/>
    <w:rsid w:val="00B0430A"/>
    <w:rsid w:val="00B05126"/>
    <w:rsid w:val="00B0523D"/>
    <w:rsid w:val="00B05E0A"/>
    <w:rsid w:val="00B05F6F"/>
    <w:rsid w:val="00B06121"/>
    <w:rsid w:val="00B06DB2"/>
    <w:rsid w:val="00B06EDC"/>
    <w:rsid w:val="00B0784C"/>
    <w:rsid w:val="00B07C9C"/>
    <w:rsid w:val="00B07E21"/>
    <w:rsid w:val="00B10968"/>
    <w:rsid w:val="00B10978"/>
    <w:rsid w:val="00B10AEB"/>
    <w:rsid w:val="00B11346"/>
    <w:rsid w:val="00B11EDF"/>
    <w:rsid w:val="00B124AF"/>
    <w:rsid w:val="00B127ED"/>
    <w:rsid w:val="00B12BBB"/>
    <w:rsid w:val="00B1312A"/>
    <w:rsid w:val="00B13444"/>
    <w:rsid w:val="00B1403F"/>
    <w:rsid w:val="00B146F9"/>
    <w:rsid w:val="00B14C0C"/>
    <w:rsid w:val="00B14ED8"/>
    <w:rsid w:val="00B1577F"/>
    <w:rsid w:val="00B157E9"/>
    <w:rsid w:val="00B159D1"/>
    <w:rsid w:val="00B15A65"/>
    <w:rsid w:val="00B15E5D"/>
    <w:rsid w:val="00B16486"/>
    <w:rsid w:val="00B168C9"/>
    <w:rsid w:val="00B1693E"/>
    <w:rsid w:val="00B172AC"/>
    <w:rsid w:val="00B17329"/>
    <w:rsid w:val="00B17623"/>
    <w:rsid w:val="00B17716"/>
    <w:rsid w:val="00B17795"/>
    <w:rsid w:val="00B1786A"/>
    <w:rsid w:val="00B17B98"/>
    <w:rsid w:val="00B2013C"/>
    <w:rsid w:val="00B20304"/>
    <w:rsid w:val="00B206BE"/>
    <w:rsid w:val="00B2163A"/>
    <w:rsid w:val="00B21E0F"/>
    <w:rsid w:val="00B21E57"/>
    <w:rsid w:val="00B22044"/>
    <w:rsid w:val="00B22189"/>
    <w:rsid w:val="00B22449"/>
    <w:rsid w:val="00B2251D"/>
    <w:rsid w:val="00B22B06"/>
    <w:rsid w:val="00B22B4F"/>
    <w:rsid w:val="00B22D99"/>
    <w:rsid w:val="00B23599"/>
    <w:rsid w:val="00B23873"/>
    <w:rsid w:val="00B24894"/>
    <w:rsid w:val="00B24AA3"/>
    <w:rsid w:val="00B24E98"/>
    <w:rsid w:val="00B24FC2"/>
    <w:rsid w:val="00B2537C"/>
    <w:rsid w:val="00B25723"/>
    <w:rsid w:val="00B25A77"/>
    <w:rsid w:val="00B26039"/>
    <w:rsid w:val="00B261A8"/>
    <w:rsid w:val="00B2630E"/>
    <w:rsid w:val="00B26C84"/>
    <w:rsid w:val="00B26CA1"/>
    <w:rsid w:val="00B27009"/>
    <w:rsid w:val="00B270F3"/>
    <w:rsid w:val="00B27921"/>
    <w:rsid w:val="00B27E79"/>
    <w:rsid w:val="00B27EDE"/>
    <w:rsid w:val="00B27EEE"/>
    <w:rsid w:val="00B27FA4"/>
    <w:rsid w:val="00B30056"/>
    <w:rsid w:val="00B302A6"/>
    <w:rsid w:val="00B3063D"/>
    <w:rsid w:val="00B306DC"/>
    <w:rsid w:val="00B31027"/>
    <w:rsid w:val="00B31161"/>
    <w:rsid w:val="00B3165B"/>
    <w:rsid w:val="00B31E7E"/>
    <w:rsid w:val="00B32140"/>
    <w:rsid w:val="00B329A9"/>
    <w:rsid w:val="00B32F64"/>
    <w:rsid w:val="00B33723"/>
    <w:rsid w:val="00B338A5"/>
    <w:rsid w:val="00B339C0"/>
    <w:rsid w:val="00B34254"/>
    <w:rsid w:val="00B344F1"/>
    <w:rsid w:val="00B347C6"/>
    <w:rsid w:val="00B34CB1"/>
    <w:rsid w:val="00B3536F"/>
    <w:rsid w:val="00B3580B"/>
    <w:rsid w:val="00B359FE"/>
    <w:rsid w:val="00B35A81"/>
    <w:rsid w:val="00B360F5"/>
    <w:rsid w:val="00B36777"/>
    <w:rsid w:val="00B367EA"/>
    <w:rsid w:val="00B36DE9"/>
    <w:rsid w:val="00B37014"/>
    <w:rsid w:val="00B371DA"/>
    <w:rsid w:val="00B37C36"/>
    <w:rsid w:val="00B40047"/>
    <w:rsid w:val="00B40D3B"/>
    <w:rsid w:val="00B4127D"/>
    <w:rsid w:val="00B4175E"/>
    <w:rsid w:val="00B41A62"/>
    <w:rsid w:val="00B41CB2"/>
    <w:rsid w:val="00B42240"/>
    <w:rsid w:val="00B425CD"/>
    <w:rsid w:val="00B42648"/>
    <w:rsid w:val="00B42FC7"/>
    <w:rsid w:val="00B43524"/>
    <w:rsid w:val="00B43706"/>
    <w:rsid w:val="00B43E46"/>
    <w:rsid w:val="00B44110"/>
    <w:rsid w:val="00B4458C"/>
    <w:rsid w:val="00B44A1E"/>
    <w:rsid w:val="00B44B1F"/>
    <w:rsid w:val="00B44C2A"/>
    <w:rsid w:val="00B454ED"/>
    <w:rsid w:val="00B45627"/>
    <w:rsid w:val="00B46095"/>
    <w:rsid w:val="00B4694F"/>
    <w:rsid w:val="00B47490"/>
    <w:rsid w:val="00B475C6"/>
    <w:rsid w:val="00B50649"/>
    <w:rsid w:val="00B50865"/>
    <w:rsid w:val="00B50C80"/>
    <w:rsid w:val="00B50CFE"/>
    <w:rsid w:val="00B50E33"/>
    <w:rsid w:val="00B51872"/>
    <w:rsid w:val="00B51873"/>
    <w:rsid w:val="00B51B09"/>
    <w:rsid w:val="00B51EB9"/>
    <w:rsid w:val="00B52260"/>
    <w:rsid w:val="00B5297A"/>
    <w:rsid w:val="00B52B29"/>
    <w:rsid w:val="00B52F3F"/>
    <w:rsid w:val="00B52F98"/>
    <w:rsid w:val="00B5310E"/>
    <w:rsid w:val="00B5501E"/>
    <w:rsid w:val="00B5515A"/>
    <w:rsid w:val="00B554F0"/>
    <w:rsid w:val="00B55616"/>
    <w:rsid w:val="00B55EDE"/>
    <w:rsid w:val="00B5628F"/>
    <w:rsid w:val="00B563A2"/>
    <w:rsid w:val="00B57190"/>
    <w:rsid w:val="00B57D86"/>
    <w:rsid w:val="00B60058"/>
    <w:rsid w:val="00B603B2"/>
    <w:rsid w:val="00B60784"/>
    <w:rsid w:val="00B60BB7"/>
    <w:rsid w:val="00B60FB3"/>
    <w:rsid w:val="00B610BE"/>
    <w:rsid w:val="00B6142B"/>
    <w:rsid w:val="00B62041"/>
    <w:rsid w:val="00B62268"/>
    <w:rsid w:val="00B624C6"/>
    <w:rsid w:val="00B62CE4"/>
    <w:rsid w:val="00B62F76"/>
    <w:rsid w:val="00B6348B"/>
    <w:rsid w:val="00B634CD"/>
    <w:rsid w:val="00B6388C"/>
    <w:rsid w:val="00B639F1"/>
    <w:rsid w:val="00B64267"/>
    <w:rsid w:val="00B64567"/>
    <w:rsid w:val="00B64728"/>
    <w:rsid w:val="00B64764"/>
    <w:rsid w:val="00B649EC"/>
    <w:rsid w:val="00B649EE"/>
    <w:rsid w:val="00B656D1"/>
    <w:rsid w:val="00B65B18"/>
    <w:rsid w:val="00B66757"/>
    <w:rsid w:val="00B675B5"/>
    <w:rsid w:val="00B67CDB"/>
    <w:rsid w:val="00B705CD"/>
    <w:rsid w:val="00B70763"/>
    <w:rsid w:val="00B70882"/>
    <w:rsid w:val="00B70D59"/>
    <w:rsid w:val="00B70F13"/>
    <w:rsid w:val="00B70F4A"/>
    <w:rsid w:val="00B7114D"/>
    <w:rsid w:val="00B71855"/>
    <w:rsid w:val="00B71CEA"/>
    <w:rsid w:val="00B728B1"/>
    <w:rsid w:val="00B729E9"/>
    <w:rsid w:val="00B73B96"/>
    <w:rsid w:val="00B73CF4"/>
    <w:rsid w:val="00B73E2F"/>
    <w:rsid w:val="00B73EEF"/>
    <w:rsid w:val="00B75021"/>
    <w:rsid w:val="00B754AD"/>
    <w:rsid w:val="00B754F7"/>
    <w:rsid w:val="00B75D3A"/>
    <w:rsid w:val="00B75D9B"/>
    <w:rsid w:val="00B75FBF"/>
    <w:rsid w:val="00B76227"/>
    <w:rsid w:val="00B766E8"/>
    <w:rsid w:val="00B76828"/>
    <w:rsid w:val="00B76A9F"/>
    <w:rsid w:val="00B76BCE"/>
    <w:rsid w:val="00B76CF0"/>
    <w:rsid w:val="00B7700F"/>
    <w:rsid w:val="00B770FF"/>
    <w:rsid w:val="00B77409"/>
    <w:rsid w:val="00B77FC2"/>
    <w:rsid w:val="00B77FC6"/>
    <w:rsid w:val="00B80279"/>
    <w:rsid w:val="00B809E1"/>
    <w:rsid w:val="00B80D7F"/>
    <w:rsid w:val="00B81110"/>
    <w:rsid w:val="00B81B68"/>
    <w:rsid w:val="00B81E63"/>
    <w:rsid w:val="00B81F8B"/>
    <w:rsid w:val="00B82A50"/>
    <w:rsid w:val="00B8420F"/>
    <w:rsid w:val="00B8442B"/>
    <w:rsid w:val="00B84779"/>
    <w:rsid w:val="00B84B55"/>
    <w:rsid w:val="00B84CEA"/>
    <w:rsid w:val="00B85376"/>
    <w:rsid w:val="00B8575F"/>
    <w:rsid w:val="00B859DE"/>
    <w:rsid w:val="00B85AFF"/>
    <w:rsid w:val="00B85D0E"/>
    <w:rsid w:val="00B8700B"/>
    <w:rsid w:val="00B87415"/>
    <w:rsid w:val="00B875D9"/>
    <w:rsid w:val="00B87A89"/>
    <w:rsid w:val="00B87EAB"/>
    <w:rsid w:val="00B905CD"/>
    <w:rsid w:val="00B914E5"/>
    <w:rsid w:val="00B91935"/>
    <w:rsid w:val="00B91F92"/>
    <w:rsid w:val="00B9224F"/>
    <w:rsid w:val="00B925E9"/>
    <w:rsid w:val="00B93A19"/>
    <w:rsid w:val="00B93CAA"/>
    <w:rsid w:val="00B944BF"/>
    <w:rsid w:val="00B94603"/>
    <w:rsid w:val="00B94606"/>
    <w:rsid w:val="00B950DD"/>
    <w:rsid w:val="00B9525F"/>
    <w:rsid w:val="00B953DF"/>
    <w:rsid w:val="00B956CA"/>
    <w:rsid w:val="00B9578B"/>
    <w:rsid w:val="00B95BD8"/>
    <w:rsid w:val="00B95E69"/>
    <w:rsid w:val="00B966F9"/>
    <w:rsid w:val="00B9691F"/>
    <w:rsid w:val="00B97065"/>
    <w:rsid w:val="00B9712F"/>
    <w:rsid w:val="00B97442"/>
    <w:rsid w:val="00B97ECF"/>
    <w:rsid w:val="00BA0881"/>
    <w:rsid w:val="00BA0882"/>
    <w:rsid w:val="00BA0B4D"/>
    <w:rsid w:val="00BA0D74"/>
    <w:rsid w:val="00BA0F85"/>
    <w:rsid w:val="00BA1038"/>
    <w:rsid w:val="00BA1B10"/>
    <w:rsid w:val="00BA1E02"/>
    <w:rsid w:val="00BA1F24"/>
    <w:rsid w:val="00BA2057"/>
    <w:rsid w:val="00BA222A"/>
    <w:rsid w:val="00BA273F"/>
    <w:rsid w:val="00BA2881"/>
    <w:rsid w:val="00BA2C2F"/>
    <w:rsid w:val="00BA2CFA"/>
    <w:rsid w:val="00BA2F5E"/>
    <w:rsid w:val="00BA34EA"/>
    <w:rsid w:val="00BA4895"/>
    <w:rsid w:val="00BA4968"/>
    <w:rsid w:val="00BA52F1"/>
    <w:rsid w:val="00BA544F"/>
    <w:rsid w:val="00BA55F7"/>
    <w:rsid w:val="00BA61B2"/>
    <w:rsid w:val="00BA6270"/>
    <w:rsid w:val="00BA635B"/>
    <w:rsid w:val="00BA63C6"/>
    <w:rsid w:val="00BA6A87"/>
    <w:rsid w:val="00BB0F97"/>
    <w:rsid w:val="00BB1036"/>
    <w:rsid w:val="00BB10D7"/>
    <w:rsid w:val="00BB12AB"/>
    <w:rsid w:val="00BB175A"/>
    <w:rsid w:val="00BB1CA8"/>
    <w:rsid w:val="00BB1E3A"/>
    <w:rsid w:val="00BB1F36"/>
    <w:rsid w:val="00BB2210"/>
    <w:rsid w:val="00BB2415"/>
    <w:rsid w:val="00BB293D"/>
    <w:rsid w:val="00BB2B12"/>
    <w:rsid w:val="00BB2BA1"/>
    <w:rsid w:val="00BB313D"/>
    <w:rsid w:val="00BB3152"/>
    <w:rsid w:val="00BB38FC"/>
    <w:rsid w:val="00BB42A5"/>
    <w:rsid w:val="00BB47E6"/>
    <w:rsid w:val="00BB4C83"/>
    <w:rsid w:val="00BB4F64"/>
    <w:rsid w:val="00BB50B8"/>
    <w:rsid w:val="00BB5168"/>
    <w:rsid w:val="00BB57D2"/>
    <w:rsid w:val="00BB5936"/>
    <w:rsid w:val="00BB59E5"/>
    <w:rsid w:val="00BB5C4D"/>
    <w:rsid w:val="00BB5E1B"/>
    <w:rsid w:val="00BB6639"/>
    <w:rsid w:val="00BB666D"/>
    <w:rsid w:val="00BB66C7"/>
    <w:rsid w:val="00BB671C"/>
    <w:rsid w:val="00BB69F1"/>
    <w:rsid w:val="00BB6C69"/>
    <w:rsid w:val="00BB7055"/>
    <w:rsid w:val="00BB708C"/>
    <w:rsid w:val="00BB7225"/>
    <w:rsid w:val="00BB724D"/>
    <w:rsid w:val="00BB727C"/>
    <w:rsid w:val="00BB743F"/>
    <w:rsid w:val="00BB76AD"/>
    <w:rsid w:val="00BB782C"/>
    <w:rsid w:val="00BB7DB4"/>
    <w:rsid w:val="00BB7F3E"/>
    <w:rsid w:val="00BC06BC"/>
    <w:rsid w:val="00BC0766"/>
    <w:rsid w:val="00BC0CCF"/>
    <w:rsid w:val="00BC11C5"/>
    <w:rsid w:val="00BC1997"/>
    <w:rsid w:val="00BC1A5F"/>
    <w:rsid w:val="00BC1CED"/>
    <w:rsid w:val="00BC2088"/>
    <w:rsid w:val="00BC2398"/>
    <w:rsid w:val="00BC319B"/>
    <w:rsid w:val="00BC33D5"/>
    <w:rsid w:val="00BC37F9"/>
    <w:rsid w:val="00BC3B26"/>
    <w:rsid w:val="00BC43B0"/>
    <w:rsid w:val="00BC45FD"/>
    <w:rsid w:val="00BC4AE4"/>
    <w:rsid w:val="00BC4B60"/>
    <w:rsid w:val="00BC52F2"/>
    <w:rsid w:val="00BC55ED"/>
    <w:rsid w:val="00BC59B4"/>
    <w:rsid w:val="00BC7949"/>
    <w:rsid w:val="00BC7A78"/>
    <w:rsid w:val="00BD037A"/>
    <w:rsid w:val="00BD0710"/>
    <w:rsid w:val="00BD15E3"/>
    <w:rsid w:val="00BD1716"/>
    <w:rsid w:val="00BD2FB6"/>
    <w:rsid w:val="00BD2FF0"/>
    <w:rsid w:val="00BD32C4"/>
    <w:rsid w:val="00BD3657"/>
    <w:rsid w:val="00BD393B"/>
    <w:rsid w:val="00BD39FB"/>
    <w:rsid w:val="00BD3A50"/>
    <w:rsid w:val="00BD4AF9"/>
    <w:rsid w:val="00BD4DC9"/>
    <w:rsid w:val="00BD4E87"/>
    <w:rsid w:val="00BD51A0"/>
    <w:rsid w:val="00BD56AC"/>
    <w:rsid w:val="00BD584E"/>
    <w:rsid w:val="00BD5954"/>
    <w:rsid w:val="00BD5A2A"/>
    <w:rsid w:val="00BD5B00"/>
    <w:rsid w:val="00BD5C66"/>
    <w:rsid w:val="00BD62F0"/>
    <w:rsid w:val="00BD6314"/>
    <w:rsid w:val="00BD6319"/>
    <w:rsid w:val="00BD6693"/>
    <w:rsid w:val="00BD6A7D"/>
    <w:rsid w:val="00BD6BEE"/>
    <w:rsid w:val="00BD703D"/>
    <w:rsid w:val="00BD72C0"/>
    <w:rsid w:val="00BD7661"/>
    <w:rsid w:val="00BD77C1"/>
    <w:rsid w:val="00BD7FBD"/>
    <w:rsid w:val="00BE087B"/>
    <w:rsid w:val="00BE0E1E"/>
    <w:rsid w:val="00BE11B4"/>
    <w:rsid w:val="00BE1573"/>
    <w:rsid w:val="00BE15FA"/>
    <w:rsid w:val="00BE1C12"/>
    <w:rsid w:val="00BE1F7C"/>
    <w:rsid w:val="00BE21B2"/>
    <w:rsid w:val="00BE32EF"/>
    <w:rsid w:val="00BE37C8"/>
    <w:rsid w:val="00BE4222"/>
    <w:rsid w:val="00BE4301"/>
    <w:rsid w:val="00BE476A"/>
    <w:rsid w:val="00BE4A57"/>
    <w:rsid w:val="00BE4BB4"/>
    <w:rsid w:val="00BE4E1D"/>
    <w:rsid w:val="00BE50D5"/>
    <w:rsid w:val="00BE518A"/>
    <w:rsid w:val="00BE5571"/>
    <w:rsid w:val="00BE5900"/>
    <w:rsid w:val="00BE5A2E"/>
    <w:rsid w:val="00BE665F"/>
    <w:rsid w:val="00BE6777"/>
    <w:rsid w:val="00BE6923"/>
    <w:rsid w:val="00BE6CDF"/>
    <w:rsid w:val="00BE6EBD"/>
    <w:rsid w:val="00BE7461"/>
    <w:rsid w:val="00BE775A"/>
    <w:rsid w:val="00BE7B2A"/>
    <w:rsid w:val="00BE7FE1"/>
    <w:rsid w:val="00BF019C"/>
    <w:rsid w:val="00BF042B"/>
    <w:rsid w:val="00BF08C7"/>
    <w:rsid w:val="00BF0D24"/>
    <w:rsid w:val="00BF19FA"/>
    <w:rsid w:val="00BF235B"/>
    <w:rsid w:val="00BF2486"/>
    <w:rsid w:val="00BF2855"/>
    <w:rsid w:val="00BF2964"/>
    <w:rsid w:val="00BF2DB3"/>
    <w:rsid w:val="00BF2EC4"/>
    <w:rsid w:val="00BF3469"/>
    <w:rsid w:val="00BF371F"/>
    <w:rsid w:val="00BF45CD"/>
    <w:rsid w:val="00BF4911"/>
    <w:rsid w:val="00BF4E59"/>
    <w:rsid w:val="00BF4F2A"/>
    <w:rsid w:val="00BF4FED"/>
    <w:rsid w:val="00BF5530"/>
    <w:rsid w:val="00BF5D07"/>
    <w:rsid w:val="00BF5D0B"/>
    <w:rsid w:val="00BF5D3A"/>
    <w:rsid w:val="00BF5D99"/>
    <w:rsid w:val="00BF5E3F"/>
    <w:rsid w:val="00BF5E67"/>
    <w:rsid w:val="00BF631E"/>
    <w:rsid w:val="00BF64F0"/>
    <w:rsid w:val="00BF6551"/>
    <w:rsid w:val="00BF6936"/>
    <w:rsid w:val="00BF6D28"/>
    <w:rsid w:val="00BF7AE2"/>
    <w:rsid w:val="00BF7EBB"/>
    <w:rsid w:val="00C00302"/>
    <w:rsid w:val="00C0215F"/>
    <w:rsid w:val="00C02791"/>
    <w:rsid w:val="00C029B5"/>
    <w:rsid w:val="00C02B4B"/>
    <w:rsid w:val="00C02E6A"/>
    <w:rsid w:val="00C02E9C"/>
    <w:rsid w:val="00C03105"/>
    <w:rsid w:val="00C0325C"/>
    <w:rsid w:val="00C039ED"/>
    <w:rsid w:val="00C03F15"/>
    <w:rsid w:val="00C04173"/>
    <w:rsid w:val="00C042B6"/>
    <w:rsid w:val="00C042F8"/>
    <w:rsid w:val="00C04E49"/>
    <w:rsid w:val="00C04E57"/>
    <w:rsid w:val="00C0547D"/>
    <w:rsid w:val="00C05558"/>
    <w:rsid w:val="00C059E0"/>
    <w:rsid w:val="00C059E2"/>
    <w:rsid w:val="00C06114"/>
    <w:rsid w:val="00C063C7"/>
    <w:rsid w:val="00C06875"/>
    <w:rsid w:val="00C068E3"/>
    <w:rsid w:val="00C06AC9"/>
    <w:rsid w:val="00C07AAE"/>
    <w:rsid w:val="00C07BF4"/>
    <w:rsid w:val="00C1017C"/>
    <w:rsid w:val="00C10755"/>
    <w:rsid w:val="00C1098C"/>
    <w:rsid w:val="00C10B47"/>
    <w:rsid w:val="00C11271"/>
    <w:rsid w:val="00C11314"/>
    <w:rsid w:val="00C11633"/>
    <w:rsid w:val="00C116F5"/>
    <w:rsid w:val="00C1205F"/>
    <w:rsid w:val="00C13024"/>
    <w:rsid w:val="00C1315C"/>
    <w:rsid w:val="00C132E2"/>
    <w:rsid w:val="00C13950"/>
    <w:rsid w:val="00C13B89"/>
    <w:rsid w:val="00C13FC3"/>
    <w:rsid w:val="00C140E5"/>
    <w:rsid w:val="00C140F4"/>
    <w:rsid w:val="00C14620"/>
    <w:rsid w:val="00C14F98"/>
    <w:rsid w:val="00C1587E"/>
    <w:rsid w:val="00C15AC9"/>
    <w:rsid w:val="00C16579"/>
    <w:rsid w:val="00C16808"/>
    <w:rsid w:val="00C16D3E"/>
    <w:rsid w:val="00C16E0E"/>
    <w:rsid w:val="00C16F3E"/>
    <w:rsid w:val="00C17073"/>
    <w:rsid w:val="00C17D06"/>
    <w:rsid w:val="00C2073F"/>
    <w:rsid w:val="00C20B9E"/>
    <w:rsid w:val="00C20DCB"/>
    <w:rsid w:val="00C211C8"/>
    <w:rsid w:val="00C211F5"/>
    <w:rsid w:val="00C21679"/>
    <w:rsid w:val="00C216AF"/>
    <w:rsid w:val="00C2212B"/>
    <w:rsid w:val="00C2239B"/>
    <w:rsid w:val="00C235FC"/>
    <w:rsid w:val="00C23686"/>
    <w:rsid w:val="00C2372A"/>
    <w:rsid w:val="00C23882"/>
    <w:rsid w:val="00C238CF"/>
    <w:rsid w:val="00C2425B"/>
    <w:rsid w:val="00C24315"/>
    <w:rsid w:val="00C24A6B"/>
    <w:rsid w:val="00C24C17"/>
    <w:rsid w:val="00C25115"/>
    <w:rsid w:val="00C25473"/>
    <w:rsid w:val="00C25BF9"/>
    <w:rsid w:val="00C25F8D"/>
    <w:rsid w:val="00C26236"/>
    <w:rsid w:val="00C26583"/>
    <w:rsid w:val="00C2681F"/>
    <w:rsid w:val="00C26BAB"/>
    <w:rsid w:val="00C27204"/>
    <w:rsid w:val="00C27992"/>
    <w:rsid w:val="00C306CD"/>
    <w:rsid w:val="00C3098D"/>
    <w:rsid w:val="00C30A2D"/>
    <w:rsid w:val="00C30A65"/>
    <w:rsid w:val="00C30D8F"/>
    <w:rsid w:val="00C31AD0"/>
    <w:rsid w:val="00C31D34"/>
    <w:rsid w:val="00C32A10"/>
    <w:rsid w:val="00C32B09"/>
    <w:rsid w:val="00C32BC3"/>
    <w:rsid w:val="00C33C10"/>
    <w:rsid w:val="00C3409E"/>
    <w:rsid w:val="00C34283"/>
    <w:rsid w:val="00C347DC"/>
    <w:rsid w:val="00C348C0"/>
    <w:rsid w:val="00C35684"/>
    <w:rsid w:val="00C365E0"/>
    <w:rsid w:val="00C3670F"/>
    <w:rsid w:val="00C36743"/>
    <w:rsid w:val="00C36CA4"/>
    <w:rsid w:val="00C371CC"/>
    <w:rsid w:val="00C372B1"/>
    <w:rsid w:val="00C3785D"/>
    <w:rsid w:val="00C378C5"/>
    <w:rsid w:val="00C37D11"/>
    <w:rsid w:val="00C4082E"/>
    <w:rsid w:val="00C408E2"/>
    <w:rsid w:val="00C40AC7"/>
    <w:rsid w:val="00C40B1C"/>
    <w:rsid w:val="00C40B2D"/>
    <w:rsid w:val="00C40D7B"/>
    <w:rsid w:val="00C41939"/>
    <w:rsid w:val="00C41E90"/>
    <w:rsid w:val="00C41FCD"/>
    <w:rsid w:val="00C42965"/>
    <w:rsid w:val="00C431F4"/>
    <w:rsid w:val="00C441DC"/>
    <w:rsid w:val="00C443D3"/>
    <w:rsid w:val="00C44687"/>
    <w:rsid w:val="00C447FC"/>
    <w:rsid w:val="00C44A4D"/>
    <w:rsid w:val="00C44C84"/>
    <w:rsid w:val="00C44D40"/>
    <w:rsid w:val="00C4536E"/>
    <w:rsid w:val="00C45404"/>
    <w:rsid w:val="00C458FC"/>
    <w:rsid w:val="00C45ABF"/>
    <w:rsid w:val="00C45DE7"/>
    <w:rsid w:val="00C45E55"/>
    <w:rsid w:val="00C45E6A"/>
    <w:rsid w:val="00C45F43"/>
    <w:rsid w:val="00C469C7"/>
    <w:rsid w:val="00C4795F"/>
    <w:rsid w:val="00C47B9D"/>
    <w:rsid w:val="00C5027C"/>
    <w:rsid w:val="00C50D2C"/>
    <w:rsid w:val="00C50E50"/>
    <w:rsid w:val="00C51031"/>
    <w:rsid w:val="00C510A5"/>
    <w:rsid w:val="00C5182C"/>
    <w:rsid w:val="00C518F5"/>
    <w:rsid w:val="00C51A76"/>
    <w:rsid w:val="00C51FA3"/>
    <w:rsid w:val="00C527C7"/>
    <w:rsid w:val="00C527E4"/>
    <w:rsid w:val="00C536CB"/>
    <w:rsid w:val="00C53A1C"/>
    <w:rsid w:val="00C53A61"/>
    <w:rsid w:val="00C53E54"/>
    <w:rsid w:val="00C546A4"/>
    <w:rsid w:val="00C549F4"/>
    <w:rsid w:val="00C54B53"/>
    <w:rsid w:val="00C54E55"/>
    <w:rsid w:val="00C552C5"/>
    <w:rsid w:val="00C558C5"/>
    <w:rsid w:val="00C55A83"/>
    <w:rsid w:val="00C55D24"/>
    <w:rsid w:val="00C55DFE"/>
    <w:rsid w:val="00C562A4"/>
    <w:rsid w:val="00C562F9"/>
    <w:rsid w:val="00C56323"/>
    <w:rsid w:val="00C565A6"/>
    <w:rsid w:val="00C56A12"/>
    <w:rsid w:val="00C56B24"/>
    <w:rsid w:val="00C56DEF"/>
    <w:rsid w:val="00C56F17"/>
    <w:rsid w:val="00C56F7B"/>
    <w:rsid w:val="00C5700E"/>
    <w:rsid w:val="00C57EB6"/>
    <w:rsid w:val="00C60301"/>
    <w:rsid w:val="00C60CCD"/>
    <w:rsid w:val="00C60EE8"/>
    <w:rsid w:val="00C61151"/>
    <w:rsid w:val="00C61520"/>
    <w:rsid w:val="00C618BA"/>
    <w:rsid w:val="00C61E7C"/>
    <w:rsid w:val="00C62130"/>
    <w:rsid w:val="00C624B4"/>
    <w:rsid w:val="00C626E6"/>
    <w:rsid w:val="00C626EF"/>
    <w:rsid w:val="00C62CEA"/>
    <w:rsid w:val="00C62D6A"/>
    <w:rsid w:val="00C632C4"/>
    <w:rsid w:val="00C63714"/>
    <w:rsid w:val="00C63AB4"/>
    <w:rsid w:val="00C63D9D"/>
    <w:rsid w:val="00C64701"/>
    <w:rsid w:val="00C655D7"/>
    <w:rsid w:val="00C65C10"/>
    <w:rsid w:val="00C66300"/>
    <w:rsid w:val="00C6726F"/>
    <w:rsid w:val="00C67301"/>
    <w:rsid w:val="00C675E6"/>
    <w:rsid w:val="00C70901"/>
    <w:rsid w:val="00C709FE"/>
    <w:rsid w:val="00C70EEC"/>
    <w:rsid w:val="00C7117E"/>
    <w:rsid w:val="00C71AFB"/>
    <w:rsid w:val="00C71B38"/>
    <w:rsid w:val="00C71D0D"/>
    <w:rsid w:val="00C724ED"/>
    <w:rsid w:val="00C72FCD"/>
    <w:rsid w:val="00C733C9"/>
    <w:rsid w:val="00C737CE"/>
    <w:rsid w:val="00C7384D"/>
    <w:rsid w:val="00C73DF8"/>
    <w:rsid w:val="00C74025"/>
    <w:rsid w:val="00C748FF"/>
    <w:rsid w:val="00C75D79"/>
    <w:rsid w:val="00C75D90"/>
    <w:rsid w:val="00C76CE8"/>
    <w:rsid w:val="00C77063"/>
    <w:rsid w:val="00C77907"/>
    <w:rsid w:val="00C77CA6"/>
    <w:rsid w:val="00C77F82"/>
    <w:rsid w:val="00C80436"/>
    <w:rsid w:val="00C80DCB"/>
    <w:rsid w:val="00C81024"/>
    <w:rsid w:val="00C81644"/>
    <w:rsid w:val="00C81661"/>
    <w:rsid w:val="00C81A00"/>
    <w:rsid w:val="00C81EAF"/>
    <w:rsid w:val="00C82021"/>
    <w:rsid w:val="00C8290E"/>
    <w:rsid w:val="00C82B56"/>
    <w:rsid w:val="00C82CE5"/>
    <w:rsid w:val="00C82E43"/>
    <w:rsid w:val="00C83311"/>
    <w:rsid w:val="00C836E3"/>
    <w:rsid w:val="00C83F15"/>
    <w:rsid w:val="00C83F60"/>
    <w:rsid w:val="00C8446A"/>
    <w:rsid w:val="00C84B6B"/>
    <w:rsid w:val="00C84C77"/>
    <w:rsid w:val="00C8540B"/>
    <w:rsid w:val="00C85BB2"/>
    <w:rsid w:val="00C85E04"/>
    <w:rsid w:val="00C85E26"/>
    <w:rsid w:val="00C86C5D"/>
    <w:rsid w:val="00C86C99"/>
    <w:rsid w:val="00C870AC"/>
    <w:rsid w:val="00C87A4F"/>
    <w:rsid w:val="00C87A61"/>
    <w:rsid w:val="00C87A6A"/>
    <w:rsid w:val="00C87AC1"/>
    <w:rsid w:val="00C9019E"/>
    <w:rsid w:val="00C906A9"/>
    <w:rsid w:val="00C90D90"/>
    <w:rsid w:val="00C9125E"/>
    <w:rsid w:val="00C917B0"/>
    <w:rsid w:val="00C9201C"/>
    <w:rsid w:val="00C9226A"/>
    <w:rsid w:val="00C92601"/>
    <w:rsid w:val="00C9359D"/>
    <w:rsid w:val="00C93776"/>
    <w:rsid w:val="00C9462F"/>
    <w:rsid w:val="00C94674"/>
    <w:rsid w:val="00C9476B"/>
    <w:rsid w:val="00C950E1"/>
    <w:rsid w:val="00C952EA"/>
    <w:rsid w:val="00C95D6E"/>
    <w:rsid w:val="00C963E3"/>
    <w:rsid w:val="00C965E9"/>
    <w:rsid w:val="00C9680D"/>
    <w:rsid w:val="00C97669"/>
    <w:rsid w:val="00C976E5"/>
    <w:rsid w:val="00C97A52"/>
    <w:rsid w:val="00C97C78"/>
    <w:rsid w:val="00C97E7D"/>
    <w:rsid w:val="00C97EF2"/>
    <w:rsid w:val="00CA018F"/>
    <w:rsid w:val="00CA0F42"/>
    <w:rsid w:val="00CA10D3"/>
    <w:rsid w:val="00CA19C4"/>
    <w:rsid w:val="00CA1C43"/>
    <w:rsid w:val="00CA1F6A"/>
    <w:rsid w:val="00CA261C"/>
    <w:rsid w:val="00CA285D"/>
    <w:rsid w:val="00CA2E48"/>
    <w:rsid w:val="00CA2F81"/>
    <w:rsid w:val="00CA3204"/>
    <w:rsid w:val="00CA3B32"/>
    <w:rsid w:val="00CA3C74"/>
    <w:rsid w:val="00CA3EF4"/>
    <w:rsid w:val="00CA4662"/>
    <w:rsid w:val="00CA48E5"/>
    <w:rsid w:val="00CA4B15"/>
    <w:rsid w:val="00CA511A"/>
    <w:rsid w:val="00CA5535"/>
    <w:rsid w:val="00CA589F"/>
    <w:rsid w:val="00CA6ADD"/>
    <w:rsid w:val="00CA6D80"/>
    <w:rsid w:val="00CA6E14"/>
    <w:rsid w:val="00CA7282"/>
    <w:rsid w:val="00CA76A4"/>
    <w:rsid w:val="00CB01FB"/>
    <w:rsid w:val="00CB04B4"/>
    <w:rsid w:val="00CB0AA7"/>
    <w:rsid w:val="00CB0E8E"/>
    <w:rsid w:val="00CB1357"/>
    <w:rsid w:val="00CB151C"/>
    <w:rsid w:val="00CB1EE6"/>
    <w:rsid w:val="00CB20A4"/>
    <w:rsid w:val="00CB2140"/>
    <w:rsid w:val="00CB259A"/>
    <w:rsid w:val="00CB26AB"/>
    <w:rsid w:val="00CB2AF5"/>
    <w:rsid w:val="00CB2C57"/>
    <w:rsid w:val="00CB2CA3"/>
    <w:rsid w:val="00CB2FA7"/>
    <w:rsid w:val="00CB3316"/>
    <w:rsid w:val="00CB34B9"/>
    <w:rsid w:val="00CB35EC"/>
    <w:rsid w:val="00CB52B8"/>
    <w:rsid w:val="00CB547D"/>
    <w:rsid w:val="00CB5627"/>
    <w:rsid w:val="00CB5B49"/>
    <w:rsid w:val="00CB68E4"/>
    <w:rsid w:val="00CB6D2D"/>
    <w:rsid w:val="00CB6EE3"/>
    <w:rsid w:val="00CB6FEA"/>
    <w:rsid w:val="00CB730E"/>
    <w:rsid w:val="00CB774D"/>
    <w:rsid w:val="00CB7A42"/>
    <w:rsid w:val="00CB7D23"/>
    <w:rsid w:val="00CC0466"/>
    <w:rsid w:val="00CC06B3"/>
    <w:rsid w:val="00CC0960"/>
    <w:rsid w:val="00CC12A7"/>
    <w:rsid w:val="00CC150E"/>
    <w:rsid w:val="00CC1941"/>
    <w:rsid w:val="00CC1E1E"/>
    <w:rsid w:val="00CC1EA2"/>
    <w:rsid w:val="00CC20F7"/>
    <w:rsid w:val="00CC223D"/>
    <w:rsid w:val="00CC22D5"/>
    <w:rsid w:val="00CC2485"/>
    <w:rsid w:val="00CC2B46"/>
    <w:rsid w:val="00CC2E8F"/>
    <w:rsid w:val="00CC3189"/>
    <w:rsid w:val="00CC356C"/>
    <w:rsid w:val="00CC3881"/>
    <w:rsid w:val="00CC3A14"/>
    <w:rsid w:val="00CC4375"/>
    <w:rsid w:val="00CC4E8A"/>
    <w:rsid w:val="00CC4F2C"/>
    <w:rsid w:val="00CC595A"/>
    <w:rsid w:val="00CC59BC"/>
    <w:rsid w:val="00CC5DEE"/>
    <w:rsid w:val="00CC604D"/>
    <w:rsid w:val="00CC667D"/>
    <w:rsid w:val="00CC689F"/>
    <w:rsid w:val="00CC79DC"/>
    <w:rsid w:val="00CC7E24"/>
    <w:rsid w:val="00CC7E83"/>
    <w:rsid w:val="00CD0358"/>
    <w:rsid w:val="00CD0953"/>
    <w:rsid w:val="00CD0C19"/>
    <w:rsid w:val="00CD0E1A"/>
    <w:rsid w:val="00CD1177"/>
    <w:rsid w:val="00CD1196"/>
    <w:rsid w:val="00CD15C4"/>
    <w:rsid w:val="00CD20D4"/>
    <w:rsid w:val="00CD21D8"/>
    <w:rsid w:val="00CD229E"/>
    <w:rsid w:val="00CD2338"/>
    <w:rsid w:val="00CD236D"/>
    <w:rsid w:val="00CD23CD"/>
    <w:rsid w:val="00CD273F"/>
    <w:rsid w:val="00CD2A54"/>
    <w:rsid w:val="00CD3021"/>
    <w:rsid w:val="00CD3529"/>
    <w:rsid w:val="00CD36A3"/>
    <w:rsid w:val="00CD3E78"/>
    <w:rsid w:val="00CD40E2"/>
    <w:rsid w:val="00CD46DC"/>
    <w:rsid w:val="00CD489A"/>
    <w:rsid w:val="00CD5210"/>
    <w:rsid w:val="00CD5490"/>
    <w:rsid w:val="00CD5555"/>
    <w:rsid w:val="00CD5817"/>
    <w:rsid w:val="00CD5A38"/>
    <w:rsid w:val="00CD5C5F"/>
    <w:rsid w:val="00CD5C8B"/>
    <w:rsid w:val="00CD65D3"/>
    <w:rsid w:val="00CD6BC7"/>
    <w:rsid w:val="00CD6EED"/>
    <w:rsid w:val="00CD71E7"/>
    <w:rsid w:val="00CD7248"/>
    <w:rsid w:val="00CE088D"/>
    <w:rsid w:val="00CE093A"/>
    <w:rsid w:val="00CE0AB0"/>
    <w:rsid w:val="00CE0ADE"/>
    <w:rsid w:val="00CE0FF8"/>
    <w:rsid w:val="00CE1606"/>
    <w:rsid w:val="00CE16A6"/>
    <w:rsid w:val="00CE1829"/>
    <w:rsid w:val="00CE194A"/>
    <w:rsid w:val="00CE1DDF"/>
    <w:rsid w:val="00CE2503"/>
    <w:rsid w:val="00CE25CD"/>
    <w:rsid w:val="00CE26C3"/>
    <w:rsid w:val="00CE3384"/>
    <w:rsid w:val="00CE3401"/>
    <w:rsid w:val="00CE362E"/>
    <w:rsid w:val="00CE3865"/>
    <w:rsid w:val="00CE4151"/>
    <w:rsid w:val="00CE484A"/>
    <w:rsid w:val="00CE4868"/>
    <w:rsid w:val="00CE4B63"/>
    <w:rsid w:val="00CE4ECF"/>
    <w:rsid w:val="00CE4F72"/>
    <w:rsid w:val="00CE5119"/>
    <w:rsid w:val="00CE5368"/>
    <w:rsid w:val="00CE5F0C"/>
    <w:rsid w:val="00CE6912"/>
    <w:rsid w:val="00CE6B3A"/>
    <w:rsid w:val="00CE6F48"/>
    <w:rsid w:val="00CE703C"/>
    <w:rsid w:val="00CE7173"/>
    <w:rsid w:val="00CE71A2"/>
    <w:rsid w:val="00CE7284"/>
    <w:rsid w:val="00CE72E5"/>
    <w:rsid w:val="00CE76B3"/>
    <w:rsid w:val="00CE76BC"/>
    <w:rsid w:val="00CE7769"/>
    <w:rsid w:val="00CF0664"/>
    <w:rsid w:val="00CF06E5"/>
    <w:rsid w:val="00CF075A"/>
    <w:rsid w:val="00CF0E5D"/>
    <w:rsid w:val="00CF216D"/>
    <w:rsid w:val="00CF22C3"/>
    <w:rsid w:val="00CF249F"/>
    <w:rsid w:val="00CF24FC"/>
    <w:rsid w:val="00CF2F6C"/>
    <w:rsid w:val="00CF3B50"/>
    <w:rsid w:val="00CF3C63"/>
    <w:rsid w:val="00CF3F3F"/>
    <w:rsid w:val="00CF40AC"/>
    <w:rsid w:val="00CF418F"/>
    <w:rsid w:val="00CF447D"/>
    <w:rsid w:val="00CF4769"/>
    <w:rsid w:val="00CF4914"/>
    <w:rsid w:val="00CF4AFB"/>
    <w:rsid w:val="00CF5129"/>
    <w:rsid w:val="00CF53D3"/>
    <w:rsid w:val="00CF56A8"/>
    <w:rsid w:val="00CF5816"/>
    <w:rsid w:val="00CF5939"/>
    <w:rsid w:val="00CF5A88"/>
    <w:rsid w:val="00CF5F2F"/>
    <w:rsid w:val="00CF607C"/>
    <w:rsid w:val="00CF644C"/>
    <w:rsid w:val="00CF6F17"/>
    <w:rsid w:val="00CF76EF"/>
    <w:rsid w:val="00CF79F7"/>
    <w:rsid w:val="00CF7AC9"/>
    <w:rsid w:val="00CF7D88"/>
    <w:rsid w:val="00CF7E1C"/>
    <w:rsid w:val="00D0052D"/>
    <w:rsid w:val="00D00A5E"/>
    <w:rsid w:val="00D00E68"/>
    <w:rsid w:val="00D0122F"/>
    <w:rsid w:val="00D01467"/>
    <w:rsid w:val="00D01884"/>
    <w:rsid w:val="00D0195F"/>
    <w:rsid w:val="00D0350A"/>
    <w:rsid w:val="00D038C4"/>
    <w:rsid w:val="00D039F8"/>
    <w:rsid w:val="00D03BE5"/>
    <w:rsid w:val="00D03D13"/>
    <w:rsid w:val="00D04786"/>
    <w:rsid w:val="00D0498E"/>
    <w:rsid w:val="00D05683"/>
    <w:rsid w:val="00D056FD"/>
    <w:rsid w:val="00D05C97"/>
    <w:rsid w:val="00D060BB"/>
    <w:rsid w:val="00D060ED"/>
    <w:rsid w:val="00D06820"/>
    <w:rsid w:val="00D06B73"/>
    <w:rsid w:val="00D06F6E"/>
    <w:rsid w:val="00D07478"/>
    <w:rsid w:val="00D075D7"/>
    <w:rsid w:val="00D07B16"/>
    <w:rsid w:val="00D07C13"/>
    <w:rsid w:val="00D07E85"/>
    <w:rsid w:val="00D10703"/>
    <w:rsid w:val="00D10EE8"/>
    <w:rsid w:val="00D117CD"/>
    <w:rsid w:val="00D11A33"/>
    <w:rsid w:val="00D1209E"/>
    <w:rsid w:val="00D1209F"/>
    <w:rsid w:val="00D125A6"/>
    <w:rsid w:val="00D125A7"/>
    <w:rsid w:val="00D12977"/>
    <w:rsid w:val="00D13564"/>
    <w:rsid w:val="00D13AF2"/>
    <w:rsid w:val="00D13C4F"/>
    <w:rsid w:val="00D13F39"/>
    <w:rsid w:val="00D14101"/>
    <w:rsid w:val="00D14392"/>
    <w:rsid w:val="00D1483D"/>
    <w:rsid w:val="00D14CE3"/>
    <w:rsid w:val="00D14E16"/>
    <w:rsid w:val="00D14FC8"/>
    <w:rsid w:val="00D154D8"/>
    <w:rsid w:val="00D158FE"/>
    <w:rsid w:val="00D1591F"/>
    <w:rsid w:val="00D16251"/>
    <w:rsid w:val="00D1627D"/>
    <w:rsid w:val="00D175B4"/>
    <w:rsid w:val="00D1761D"/>
    <w:rsid w:val="00D17920"/>
    <w:rsid w:val="00D17BB4"/>
    <w:rsid w:val="00D17C9D"/>
    <w:rsid w:val="00D17DA1"/>
    <w:rsid w:val="00D204A6"/>
    <w:rsid w:val="00D206F6"/>
    <w:rsid w:val="00D20F4F"/>
    <w:rsid w:val="00D22223"/>
    <w:rsid w:val="00D22404"/>
    <w:rsid w:val="00D2248D"/>
    <w:rsid w:val="00D22A8A"/>
    <w:rsid w:val="00D22B5D"/>
    <w:rsid w:val="00D22C6B"/>
    <w:rsid w:val="00D22E34"/>
    <w:rsid w:val="00D2332C"/>
    <w:rsid w:val="00D233B3"/>
    <w:rsid w:val="00D235C0"/>
    <w:rsid w:val="00D23784"/>
    <w:rsid w:val="00D246B7"/>
    <w:rsid w:val="00D24DB6"/>
    <w:rsid w:val="00D24E14"/>
    <w:rsid w:val="00D255AB"/>
    <w:rsid w:val="00D25768"/>
    <w:rsid w:val="00D25A46"/>
    <w:rsid w:val="00D25EB4"/>
    <w:rsid w:val="00D265D3"/>
    <w:rsid w:val="00D267DC"/>
    <w:rsid w:val="00D26BC4"/>
    <w:rsid w:val="00D26E1B"/>
    <w:rsid w:val="00D27AD0"/>
    <w:rsid w:val="00D27B75"/>
    <w:rsid w:val="00D27BB1"/>
    <w:rsid w:val="00D27C7B"/>
    <w:rsid w:val="00D308D2"/>
    <w:rsid w:val="00D30B9C"/>
    <w:rsid w:val="00D30CF7"/>
    <w:rsid w:val="00D30D40"/>
    <w:rsid w:val="00D30F90"/>
    <w:rsid w:val="00D3131B"/>
    <w:rsid w:val="00D316FA"/>
    <w:rsid w:val="00D32BAA"/>
    <w:rsid w:val="00D333B5"/>
    <w:rsid w:val="00D33A04"/>
    <w:rsid w:val="00D33BD9"/>
    <w:rsid w:val="00D33F4D"/>
    <w:rsid w:val="00D355F3"/>
    <w:rsid w:val="00D357F4"/>
    <w:rsid w:val="00D35B5F"/>
    <w:rsid w:val="00D36065"/>
    <w:rsid w:val="00D36706"/>
    <w:rsid w:val="00D36EA7"/>
    <w:rsid w:val="00D370A6"/>
    <w:rsid w:val="00D403EC"/>
    <w:rsid w:val="00D406B7"/>
    <w:rsid w:val="00D40AA7"/>
    <w:rsid w:val="00D40FE7"/>
    <w:rsid w:val="00D41211"/>
    <w:rsid w:val="00D416B0"/>
    <w:rsid w:val="00D41960"/>
    <w:rsid w:val="00D4203F"/>
    <w:rsid w:val="00D4214E"/>
    <w:rsid w:val="00D42654"/>
    <w:rsid w:val="00D42D4A"/>
    <w:rsid w:val="00D4301D"/>
    <w:rsid w:val="00D4316F"/>
    <w:rsid w:val="00D43221"/>
    <w:rsid w:val="00D435B6"/>
    <w:rsid w:val="00D43645"/>
    <w:rsid w:val="00D43C7D"/>
    <w:rsid w:val="00D43F46"/>
    <w:rsid w:val="00D43F5A"/>
    <w:rsid w:val="00D44137"/>
    <w:rsid w:val="00D4456F"/>
    <w:rsid w:val="00D445E1"/>
    <w:rsid w:val="00D4472F"/>
    <w:rsid w:val="00D44759"/>
    <w:rsid w:val="00D44AC9"/>
    <w:rsid w:val="00D45018"/>
    <w:rsid w:val="00D4523E"/>
    <w:rsid w:val="00D45555"/>
    <w:rsid w:val="00D45890"/>
    <w:rsid w:val="00D45C8C"/>
    <w:rsid w:val="00D4619D"/>
    <w:rsid w:val="00D464E5"/>
    <w:rsid w:val="00D465F7"/>
    <w:rsid w:val="00D46C5A"/>
    <w:rsid w:val="00D46F0D"/>
    <w:rsid w:val="00D46F64"/>
    <w:rsid w:val="00D47284"/>
    <w:rsid w:val="00D4794B"/>
    <w:rsid w:val="00D47A3E"/>
    <w:rsid w:val="00D47BCB"/>
    <w:rsid w:val="00D50A04"/>
    <w:rsid w:val="00D50A6D"/>
    <w:rsid w:val="00D5102E"/>
    <w:rsid w:val="00D511AE"/>
    <w:rsid w:val="00D51592"/>
    <w:rsid w:val="00D519F1"/>
    <w:rsid w:val="00D51A4C"/>
    <w:rsid w:val="00D52736"/>
    <w:rsid w:val="00D52A87"/>
    <w:rsid w:val="00D53633"/>
    <w:rsid w:val="00D53AFA"/>
    <w:rsid w:val="00D53C9E"/>
    <w:rsid w:val="00D54414"/>
    <w:rsid w:val="00D5493B"/>
    <w:rsid w:val="00D54C88"/>
    <w:rsid w:val="00D54DCA"/>
    <w:rsid w:val="00D55152"/>
    <w:rsid w:val="00D551B8"/>
    <w:rsid w:val="00D55EAD"/>
    <w:rsid w:val="00D55FFB"/>
    <w:rsid w:val="00D56237"/>
    <w:rsid w:val="00D56608"/>
    <w:rsid w:val="00D5672C"/>
    <w:rsid w:val="00D5788F"/>
    <w:rsid w:val="00D57ABC"/>
    <w:rsid w:val="00D57AF5"/>
    <w:rsid w:val="00D611E9"/>
    <w:rsid w:val="00D61260"/>
    <w:rsid w:val="00D614FE"/>
    <w:rsid w:val="00D61F2D"/>
    <w:rsid w:val="00D6244A"/>
    <w:rsid w:val="00D62611"/>
    <w:rsid w:val="00D63144"/>
    <w:rsid w:val="00D632AC"/>
    <w:rsid w:val="00D6371B"/>
    <w:rsid w:val="00D6373C"/>
    <w:rsid w:val="00D638D0"/>
    <w:rsid w:val="00D639A9"/>
    <w:rsid w:val="00D63C8F"/>
    <w:rsid w:val="00D64364"/>
    <w:rsid w:val="00D6447D"/>
    <w:rsid w:val="00D64898"/>
    <w:rsid w:val="00D64FD1"/>
    <w:rsid w:val="00D65667"/>
    <w:rsid w:val="00D65B7C"/>
    <w:rsid w:val="00D65EEE"/>
    <w:rsid w:val="00D65F6D"/>
    <w:rsid w:val="00D66609"/>
    <w:rsid w:val="00D6667F"/>
    <w:rsid w:val="00D66733"/>
    <w:rsid w:val="00D66C2B"/>
    <w:rsid w:val="00D66E3B"/>
    <w:rsid w:val="00D66E85"/>
    <w:rsid w:val="00D672B8"/>
    <w:rsid w:val="00D676B0"/>
    <w:rsid w:val="00D67AC8"/>
    <w:rsid w:val="00D67F74"/>
    <w:rsid w:val="00D70031"/>
    <w:rsid w:val="00D70C84"/>
    <w:rsid w:val="00D70E7A"/>
    <w:rsid w:val="00D7143D"/>
    <w:rsid w:val="00D71B62"/>
    <w:rsid w:val="00D71CB6"/>
    <w:rsid w:val="00D71DEA"/>
    <w:rsid w:val="00D721AB"/>
    <w:rsid w:val="00D723D1"/>
    <w:rsid w:val="00D7261E"/>
    <w:rsid w:val="00D72AB5"/>
    <w:rsid w:val="00D72BE2"/>
    <w:rsid w:val="00D72FD0"/>
    <w:rsid w:val="00D73190"/>
    <w:rsid w:val="00D73371"/>
    <w:rsid w:val="00D73DAB"/>
    <w:rsid w:val="00D73DF3"/>
    <w:rsid w:val="00D741CE"/>
    <w:rsid w:val="00D74319"/>
    <w:rsid w:val="00D745D9"/>
    <w:rsid w:val="00D747DE"/>
    <w:rsid w:val="00D74A04"/>
    <w:rsid w:val="00D74CBC"/>
    <w:rsid w:val="00D750E3"/>
    <w:rsid w:val="00D754E8"/>
    <w:rsid w:val="00D7561E"/>
    <w:rsid w:val="00D75DC2"/>
    <w:rsid w:val="00D75DFA"/>
    <w:rsid w:val="00D76050"/>
    <w:rsid w:val="00D76DE5"/>
    <w:rsid w:val="00D77AAC"/>
    <w:rsid w:val="00D8062B"/>
    <w:rsid w:val="00D81919"/>
    <w:rsid w:val="00D81C14"/>
    <w:rsid w:val="00D82407"/>
    <w:rsid w:val="00D82456"/>
    <w:rsid w:val="00D82538"/>
    <w:rsid w:val="00D8270D"/>
    <w:rsid w:val="00D82D74"/>
    <w:rsid w:val="00D82E56"/>
    <w:rsid w:val="00D83102"/>
    <w:rsid w:val="00D83238"/>
    <w:rsid w:val="00D83399"/>
    <w:rsid w:val="00D8362F"/>
    <w:rsid w:val="00D84BC8"/>
    <w:rsid w:val="00D84EEB"/>
    <w:rsid w:val="00D85172"/>
    <w:rsid w:val="00D85A72"/>
    <w:rsid w:val="00D85E35"/>
    <w:rsid w:val="00D86159"/>
    <w:rsid w:val="00D863FD"/>
    <w:rsid w:val="00D86FA4"/>
    <w:rsid w:val="00D8708E"/>
    <w:rsid w:val="00D87364"/>
    <w:rsid w:val="00D878A8"/>
    <w:rsid w:val="00D903C6"/>
    <w:rsid w:val="00D91365"/>
    <w:rsid w:val="00D916AA"/>
    <w:rsid w:val="00D91778"/>
    <w:rsid w:val="00D91984"/>
    <w:rsid w:val="00D91A24"/>
    <w:rsid w:val="00D91BF6"/>
    <w:rsid w:val="00D91C7A"/>
    <w:rsid w:val="00D91E87"/>
    <w:rsid w:val="00D936E7"/>
    <w:rsid w:val="00D93F8A"/>
    <w:rsid w:val="00D94193"/>
    <w:rsid w:val="00D94213"/>
    <w:rsid w:val="00D942DE"/>
    <w:rsid w:val="00D94735"/>
    <w:rsid w:val="00D94FF8"/>
    <w:rsid w:val="00D958BF"/>
    <w:rsid w:val="00D95DA0"/>
    <w:rsid w:val="00D960FC"/>
    <w:rsid w:val="00D96B07"/>
    <w:rsid w:val="00D96DFC"/>
    <w:rsid w:val="00D976E8"/>
    <w:rsid w:val="00D979E5"/>
    <w:rsid w:val="00D97F8D"/>
    <w:rsid w:val="00D97FBC"/>
    <w:rsid w:val="00DA05D3"/>
    <w:rsid w:val="00DA0711"/>
    <w:rsid w:val="00DA10A7"/>
    <w:rsid w:val="00DA19A6"/>
    <w:rsid w:val="00DA1D9A"/>
    <w:rsid w:val="00DA2132"/>
    <w:rsid w:val="00DA23B0"/>
    <w:rsid w:val="00DA445D"/>
    <w:rsid w:val="00DA49E1"/>
    <w:rsid w:val="00DA4BA3"/>
    <w:rsid w:val="00DA4C38"/>
    <w:rsid w:val="00DA5087"/>
    <w:rsid w:val="00DA5176"/>
    <w:rsid w:val="00DA51F3"/>
    <w:rsid w:val="00DA52D2"/>
    <w:rsid w:val="00DA5537"/>
    <w:rsid w:val="00DA5BB9"/>
    <w:rsid w:val="00DA5F00"/>
    <w:rsid w:val="00DA6806"/>
    <w:rsid w:val="00DA6CB3"/>
    <w:rsid w:val="00DA7865"/>
    <w:rsid w:val="00DA79A7"/>
    <w:rsid w:val="00DA7BB3"/>
    <w:rsid w:val="00DA7DB1"/>
    <w:rsid w:val="00DB0043"/>
    <w:rsid w:val="00DB0674"/>
    <w:rsid w:val="00DB0A00"/>
    <w:rsid w:val="00DB0DB8"/>
    <w:rsid w:val="00DB10D8"/>
    <w:rsid w:val="00DB1654"/>
    <w:rsid w:val="00DB16DF"/>
    <w:rsid w:val="00DB1917"/>
    <w:rsid w:val="00DB1CF0"/>
    <w:rsid w:val="00DB2163"/>
    <w:rsid w:val="00DB2165"/>
    <w:rsid w:val="00DB218A"/>
    <w:rsid w:val="00DB25C6"/>
    <w:rsid w:val="00DB25D2"/>
    <w:rsid w:val="00DB2678"/>
    <w:rsid w:val="00DB271E"/>
    <w:rsid w:val="00DB27DF"/>
    <w:rsid w:val="00DB2F28"/>
    <w:rsid w:val="00DB30B5"/>
    <w:rsid w:val="00DB3128"/>
    <w:rsid w:val="00DB4205"/>
    <w:rsid w:val="00DB431A"/>
    <w:rsid w:val="00DB43FE"/>
    <w:rsid w:val="00DB4859"/>
    <w:rsid w:val="00DB4922"/>
    <w:rsid w:val="00DB4C32"/>
    <w:rsid w:val="00DB4D12"/>
    <w:rsid w:val="00DB4D60"/>
    <w:rsid w:val="00DB4EB8"/>
    <w:rsid w:val="00DB541B"/>
    <w:rsid w:val="00DB5448"/>
    <w:rsid w:val="00DB559B"/>
    <w:rsid w:val="00DB5BBF"/>
    <w:rsid w:val="00DB6341"/>
    <w:rsid w:val="00DB68A3"/>
    <w:rsid w:val="00DB69ED"/>
    <w:rsid w:val="00DB6A68"/>
    <w:rsid w:val="00DB6DB4"/>
    <w:rsid w:val="00DB6DB5"/>
    <w:rsid w:val="00DB6F00"/>
    <w:rsid w:val="00DB717D"/>
    <w:rsid w:val="00DB7287"/>
    <w:rsid w:val="00DB7EE5"/>
    <w:rsid w:val="00DC05B7"/>
    <w:rsid w:val="00DC171D"/>
    <w:rsid w:val="00DC1B2D"/>
    <w:rsid w:val="00DC2525"/>
    <w:rsid w:val="00DC2B55"/>
    <w:rsid w:val="00DC3494"/>
    <w:rsid w:val="00DC42C5"/>
    <w:rsid w:val="00DC4621"/>
    <w:rsid w:val="00DC51D7"/>
    <w:rsid w:val="00DC5677"/>
    <w:rsid w:val="00DC5C0B"/>
    <w:rsid w:val="00DC5EDC"/>
    <w:rsid w:val="00DC68BD"/>
    <w:rsid w:val="00DC6B10"/>
    <w:rsid w:val="00DC71B2"/>
    <w:rsid w:val="00DC725A"/>
    <w:rsid w:val="00DC768D"/>
    <w:rsid w:val="00DC7728"/>
    <w:rsid w:val="00DC7AB5"/>
    <w:rsid w:val="00DD0087"/>
    <w:rsid w:val="00DD01C0"/>
    <w:rsid w:val="00DD0342"/>
    <w:rsid w:val="00DD0478"/>
    <w:rsid w:val="00DD04CF"/>
    <w:rsid w:val="00DD06E8"/>
    <w:rsid w:val="00DD08F5"/>
    <w:rsid w:val="00DD0B43"/>
    <w:rsid w:val="00DD1326"/>
    <w:rsid w:val="00DD1594"/>
    <w:rsid w:val="00DD1667"/>
    <w:rsid w:val="00DD266F"/>
    <w:rsid w:val="00DD29CC"/>
    <w:rsid w:val="00DD2C32"/>
    <w:rsid w:val="00DD3209"/>
    <w:rsid w:val="00DD3A3C"/>
    <w:rsid w:val="00DD3F6D"/>
    <w:rsid w:val="00DD40F7"/>
    <w:rsid w:val="00DD48CA"/>
    <w:rsid w:val="00DD502E"/>
    <w:rsid w:val="00DD527E"/>
    <w:rsid w:val="00DD5853"/>
    <w:rsid w:val="00DD59D1"/>
    <w:rsid w:val="00DD605E"/>
    <w:rsid w:val="00DD6541"/>
    <w:rsid w:val="00DD6818"/>
    <w:rsid w:val="00DD70C0"/>
    <w:rsid w:val="00DD70F5"/>
    <w:rsid w:val="00DD754F"/>
    <w:rsid w:val="00DE0CFF"/>
    <w:rsid w:val="00DE0D94"/>
    <w:rsid w:val="00DE11D7"/>
    <w:rsid w:val="00DE24E8"/>
    <w:rsid w:val="00DE25FA"/>
    <w:rsid w:val="00DE273A"/>
    <w:rsid w:val="00DE2859"/>
    <w:rsid w:val="00DE2D30"/>
    <w:rsid w:val="00DE347F"/>
    <w:rsid w:val="00DE394A"/>
    <w:rsid w:val="00DE3E5A"/>
    <w:rsid w:val="00DE3EDB"/>
    <w:rsid w:val="00DE41C4"/>
    <w:rsid w:val="00DE41C7"/>
    <w:rsid w:val="00DE4502"/>
    <w:rsid w:val="00DE47B3"/>
    <w:rsid w:val="00DE486D"/>
    <w:rsid w:val="00DE495B"/>
    <w:rsid w:val="00DE4A26"/>
    <w:rsid w:val="00DE5551"/>
    <w:rsid w:val="00DE5653"/>
    <w:rsid w:val="00DE7046"/>
    <w:rsid w:val="00DE7286"/>
    <w:rsid w:val="00DE747B"/>
    <w:rsid w:val="00DE799A"/>
    <w:rsid w:val="00DF007C"/>
    <w:rsid w:val="00DF0527"/>
    <w:rsid w:val="00DF08D6"/>
    <w:rsid w:val="00DF0F66"/>
    <w:rsid w:val="00DF0F68"/>
    <w:rsid w:val="00DF13B1"/>
    <w:rsid w:val="00DF1697"/>
    <w:rsid w:val="00DF1C18"/>
    <w:rsid w:val="00DF1D0E"/>
    <w:rsid w:val="00DF212F"/>
    <w:rsid w:val="00DF2403"/>
    <w:rsid w:val="00DF3935"/>
    <w:rsid w:val="00DF3EAB"/>
    <w:rsid w:val="00DF3F53"/>
    <w:rsid w:val="00DF4662"/>
    <w:rsid w:val="00DF49AA"/>
    <w:rsid w:val="00DF523A"/>
    <w:rsid w:val="00DF554C"/>
    <w:rsid w:val="00DF5585"/>
    <w:rsid w:val="00DF5707"/>
    <w:rsid w:val="00DF58BE"/>
    <w:rsid w:val="00DF5BCF"/>
    <w:rsid w:val="00DF604B"/>
    <w:rsid w:val="00DF65BD"/>
    <w:rsid w:val="00DF65D0"/>
    <w:rsid w:val="00DF7122"/>
    <w:rsid w:val="00DF7416"/>
    <w:rsid w:val="00DF7527"/>
    <w:rsid w:val="00DF75C3"/>
    <w:rsid w:val="00DF78AA"/>
    <w:rsid w:val="00DF7DE6"/>
    <w:rsid w:val="00E01040"/>
    <w:rsid w:val="00E010D5"/>
    <w:rsid w:val="00E01388"/>
    <w:rsid w:val="00E01409"/>
    <w:rsid w:val="00E01A3F"/>
    <w:rsid w:val="00E01D06"/>
    <w:rsid w:val="00E01F23"/>
    <w:rsid w:val="00E021BE"/>
    <w:rsid w:val="00E02208"/>
    <w:rsid w:val="00E02B10"/>
    <w:rsid w:val="00E02B51"/>
    <w:rsid w:val="00E03704"/>
    <w:rsid w:val="00E03743"/>
    <w:rsid w:val="00E03792"/>
    <w:rsid w:val="00E0385F"/>
    <w:rsid w:val="00E03AFA"/>
    <w:rsid w:val="00E03B6F"/>
    <w:rsid w:val="00E047C0"/>
    <w:rsid w:val="00E0483A"/>
    <w:rsid w:val="00E05404"/>
    <w:rsid w:val="00E056B9"/>
    <w:rsid w:val="00E05D4B"/>
    <w:rsid w:val="00E06022"/>
    <w:rsid w:val="00E06387"/>
    <w:rsid w:val="00E07003"/>
    <w:rsid w:val="00E07244"/>
    <w:rsid w:val="00E07563"/>
    <w:rsid w:val="00E076A1"/>
    <w:rsid w:val="00E07ABB"/>
    <w:rsid w:val="00E07CE5"/>
    <w:rsid w:val="00E1025F"/>
    <w:rsid w:val="00E108F1"/>
    <w:rsid w:val="00E10BC3"/>
    <w:rsid w:val="00E10C45"/>
    <w:rsid w:val="00E10D4B"/>
    <w:rsid w:val="00E1110C"/>
    <w:rsid w:val="00E12B0B"/>
    <w:rsid w:val="00E1342C"/>
    <w:rsid w:val="00E1344F"/>
    <w:rsid w:val="00E1417F"/>
    <w:rsid w:val="00E141E4"/>
    <w:rsid w:val="00E1424B"/>
    <w:rsid w:val="00E1451F"/>
    <w:rsid w:val="00E145CD"/>
    <w:rsid w:val="00E14795"/>
    <w:rsid w:val="00E14A37"/>
    <w:rsid w:val="00E15276"/>
    <w:rsid w:val="00E15CE3"/>
    <w:rsid w:val="00E1659A"/>
    <w:rsid w:val="00E176E2"/>
    <w:rsid w:val="00E17791"/>
    <w:rsid w:val="00E20081"/>
    <w:rsid w:val="00E202D2"/>
    <w:rsid w:val="00E206BE"/>
    <w:rsid w:val="00E20C06"/>
    <w:rsid w:val="00E2141C"/>
    <w:rsid w:val="00E21686"/>
    <w:rsid w:val="00E21C5E"/>
    <w:rsid w:val="00E21D9C"/>
    <w:rsid w:val="00E21E5F"/>
    <w:rsid w:val="00E21FFE"/>
    <w:rsid w:val="00E2230A"/>
    <w:rsid w:val="00E22A86"/>
    <w:rsid w:val="00E22ECB"/>
    <w:rsid w:val="00E2302C"/>
    <w:rsid w:val="00E23C3E"/>
    <w:rsid w:val="00E2428F"/>
    <w:rsid w:val="00E243E5"/>
    <w:rsid w:val="00E246CA"/>
    <w:rsid w:val="00E24CAF"/>
    <w:rsid w:val="00E24FD3"/>
    <w:rsid w:val="00E25503"/>
    <w:rsid w:val="00E25AC4"/>
    <w:rsid w:val="00E25D1E"/>
    <w:rsid w:val="00E2640B"/>
    <w:rsid w:val="00E2657B"/>
    <w:rsid w:val="00E26D2F"/>
    <w:rsid w:val="00E30D38"/>
    <w:rsid w:val="00E30D8A"/>
    <w:rsid w:val="00E30E3A"/>
    <w:rsid w:val="00E30E7D"/>
    <w:rsid w:val="00E3120F"/>
    <w:rsid w:val="00E3150D"/>
    <w:rsid w:val="00E31528"/>
    <w:rsid w:val="00E316B6"/>
    <w:rsid w:val="00E31783"/>
    <w:rsid w:val="00E31D46"/>
    <w:rsid w:val="00E3203A"/>
    <w:rsid w:val="00E322F7"/>
    <w:rsid w:val="00E324E9"/>
    <w:rsid w:val="00E326C8"/>
    <w:rsid w:val="00E327E1"/>
    <w:rsid w:val="00E32DA0"/>
    <w:rsid w:val="00E332BF"/>
    <w:rsid w:val="00E337CB"/>
    <w:rsid w:val="00E337D8"/>
    <w:rsid w:val="00E339FB"/>
    <w:rsid w:val="00E33C8C"/>
    <w:rsid w:val="00E3519E"/>
    <w:rsid w:val="00E351D6"/>
    <w:rsid w:val="00E360FF"/>
    <w:rsid w:val="00E36299"/>
    <w:rsid w:val="00E36E01"/>
    <w:rsid w:val="00E36E0F"/>
    <w:rsid w:val="00E378EB"/>
    <w:rsid w:val="00E40A25"/>
    <w:rsid w:val="00E40A48"/>
    <w:rsid w:val="00E416B9"/>
    <w:rsid w:val="00E416D1"/>
    <w:rsid w:val="00E41860"/>
    <w:rsid w:val="00E41DA6"/>
    <w:rsid w:val="00E42108"/>
    <w:rsid w:val="00E425B6"/>
    <w:rsid w:val="00E42A7B"/>
    <w:rsid w:val="00E42B4F"/>
    <w:rsid w:val="00E42C26"/>
    <w:rsid w:val="00E43453"/>
    <w:rsid w:val="00E437E2"/>
    <w:rsid w:val="00E43A3D"/>
    <w:rsid w:val="00E43A87"/>
    <w:rsid w:val="00E43ED5"/>
    <w:rsid w:val="00E440F1"/>
    <w:rsid w:val="00E44972"/>
    <w:rsid w:val="00E44C84"/>
    <w:rsid w:val="00E450E7"/>
    <w:rsid w:val="00E4534C"/>
    <w:rsid w:val="00E454D2"/>
    <w:rsid w:val="00E456EA"/>
    <w:rsid w:val="00E45B6C"/>
    <w:rsid w:val="00E45D5F"/>
    <w:rsid w:val="00E46079"/>
    <w:rsid w:val="00E46873"/>
    <w:rsid w:val="00E46A33"/>
    <w:rsid w:val="00E46CD7"/>
    <w:rsid w:val="00E46EB1"/>
    <w:rsid w:val="00E46FD2"/>
    <w:rsid w:val="00E47087"/>
    <w:rsid w:val="00E47090"/>
    <w:rsid w:val="00E472DE"/>
    <w:rsid w:val="00E47D85"/>
    <w:rsid w:val="00E501ED"/>
    <w:rsid w:val="00E503B2"/>
    <w:rsid w:val="00E50940"/>
    <w:rsid w:val="00E50AB4"/>
    <w:rsid w:val="00E50CFC"/>
    <w:rsid w:val="00E51DD8"/>
    <w:rsid w:val="00E520D8"/>
    <w:rsid w:val="00E524C1"/>
    <w:rsid w:val="00E52FBE"/>
    <w:rsid w:val="00E533FD"/>
    <w:rsid w:val="00E535BE"/>
    <w:rsid w:val="00E54605"/>
    <w:rsid w:val="00E54A83"/>
    <w:rsid w:val="00E54BE3"/>
    <w:rsid w:val="00E54DB1"/>
    <w:rsid w:val="00E55017"/>
    <w:rsid w:val="00E551C4"/>
    <w:rsid w:val="00E55B11"/>
    <w:rsid w:val="00E55D5F"/>
    <w:rsid w:val="00E5608E"/>
    <w:rsid w:val="00E560D3"/>
    <w:rsid w:val="00E568B0"/>
    <w:rsid w:val="00E56CD6"/>
    <w:rsid w:val="00E570AB"/>
    <w:rsid w:val="00E570BF"/>
    <w:rsid w:val="00E57153"/>
    <w:rsid w:val="00E573BF"/>
    <w:rsid w:val="00E57519"/>
    <w:rsid w:val="00E5757A"/>
    <w:rsid w:val="00E577A0"/>
    <w:rsid w:val="00E57A56"/>
    <w:rsid w:val="00E57B6A"/>
    <w:rsid w:val="00E60AEA"/>
    <w:rsid w:val="00E613AD"/>
    <w:rsid w:val="00E61697"/>
    <w:rsid w:val="00E61B2D"/>
    <w:rsid w:val="00E620FD"/>
    <w:rsid w:val="00E621B0"/>
    <w:rsid w:val="00E62AAA"/>
    <w:rsid w:val="00E63470"/>
    <w:rsid w:val="00E6474A"/>
    <w:rsid w:val="00E6496C"/>
    <w:rsid w:val="00E649A6"/>
    <w:rsid w:val="00E64CF0"/>
    <w:rsid w:val="00E64E63"/>
    <w:rsid w:val="00E650AB"/>
    <w:rsid w:val="00E6514A"/>
    <w:rsid w:val="00E65344"/>
    <w:rsid w:val="00E65892"/>
    <w:rsid w:val="00E65BAC"/>
    <w:rsid w:val="00E6628D"/>
    <w:rsid w:val="00E665D6"/>
    <w:rsid w:val="00E66B66"/>
    <w:rsid w:val="00E66BEE"/>
    <w:rsid w:val="00E66DE5"/>
    <w:rsid w:val="00E67041"/>
    <w:rsid w:val="00E677D7"/>
    <w:rsid w:val="00E679A9"/>
    <w:rsid w:val="00E67F16"/>
    <w:rsid w:val="00E70044"/>
    <w:rsid w:val="00E70484"/>
    <w:rsid w:val="00E7072E"/>
    <w:rsid w:val="00E70C6D"/>
    <w:rsid w:val="00E71290"/>
    <w:rsid w:val="00E71F7A"/>
    <w:rsid w:val="00E720CD"/>
    <w:rsid w:val="00E722F6"/>
    <w:rsid w:val="00E72B22"/>
    <w:rsid w:val="00E72CF1"/>
    <w:rsid w:val="00E73201"/>
    <w:rsid w:val="00E73500"/>
    <w:rsid w:val="00E74C64"/>
    <w:rsid w:val="00E7548B"/>
    <w:rsid w:val="00E7572A"/>
    <w:rsid w:val="00E75CE6"/>
    <w:rsid w:val="00E75DF3"/>
    <w:rsid w:val="00E7623A"/>
    <w:rsid w:val="00E766B4"/>
    <w:rsid w:val="00E76D37"/>
    <w:rsid w:val="00E76E1A"/>
    <w:rsid w:val="00E7762D"/>
    <w:rsid w:val="00E7772E"/>
    <w:rsid w:val="00E77B3B"/>
    <w:rsid w:val="00E80CC7"/>
    <w:rsid w:val="00E81F21"/>
    <w:rsid w:val="00E81F80"/>
    <w:rsid w:val="00E825C7"/>
    <w:rsid w:val="00E82C9A"/>
    <w:rsid w:val="00E82F7B"/>
    <w:rsid w:val="00E82F86"/>
    <w:rsid w:val="00E83EA0"/>
    <w:rsid w:val="00E84296"/>
    <w:rsid w:val="00E844FA"/>
    <w:rsid w:val="00E8455C"/>
    <w:rsid w:val="00E8584D"/>
    <w:rsid w:val="00E859C3"/>
    <w:rsid w:val="00E860E8"/>
    <w:rsid w:val="00E86C9A"/>
    <w:rsid w:val="00E878AF"/>
    <w:rsid w:val="00E87A42"/>
    <w:rsid w:val="00E90094"/>
    <w:rsid w:val="00E900D9"/>
    <w:rsid w:val="00E90354"/>
    <w:rsid w:val="00E907CE"/>
    <w:rsid w:val="00E90FB6"/>
    <w:rsid w:val="00E91343"/>
    <w:rsid w:val="00E9218F"/>
    <w:rsid w:val="00E921A6"/>
    <w:rsid w:val="00E92347"/>
    <w:rsid w:val="00E924C4"/>
    <w:rsid w:val="00E92940"/>
    <w:rsid w:val="00E93D31"/>
    <w:rsid w:val="00E9485A"/>
    <w:rsid w:val="00E9493D"/>
    <w:rsid w:val="00E9516A"/>
    <w:rsid w:val="00E951B9"/>
    <w:rsid w:val="00E952AE"/>
    <w:rsid w:val="00E95B62"/>
    <w:rsid w:val="00E95E0F"/>
    <w:rsid w:val="00E96CA6"/>
    <w:rsid w:val="00E97B8A"/>
    <w:rsid w:val="00EA01AF"/>
    <w:rsid w:val="00EA0323"/>
    <w:rsid w:val="00EA0334"/>
    <w:rsid w:val="00EA0401"/>
    <w:rsid w:val="00EA047B"/>
    <w:rsid w:val="00EA0662"/>
    <w:rsid w:val="00EA07C5"/>
    <w:rsid w:val="00EA0B3E"/>
    <w:rsid w:val="00EA0C96"/>
    <w:rsid w:val="00EA16BE"/>
    <w:rsid w:val="00EA27DE"/>
    <w:rsid w:val="00EA29AC"/>
    <w:rsid w:val="00EA31D6"/>
    <w:rsid w:val="00EA3279"/>
    <w:rsid w:val="00EA3280"/>
    <w:rsid w:val="00EA3B95"/>
    <w:rsid w:val="00EA3F20"/>
    <w:rsid w:val="00EA4424"/>
    <w:rsid w:val="00EA44B1"/>
    <w:rsid w:val="00EA465C"/>
    <w:rsid w:val="00EA467E"/>
    <w:rsid w:val="00EA46C2"/>
    <w:rsid w:val="00EA472F"/>
    <w:rsid w:val="00EA50DD"/>
    <w:rsid w:val="00EA51B4"/>
    <w:rsid w:val="00EA51B6"/>
    <w:rsid w:val="00EA54AB"/>
    <w:rsid w:val="00EA565F"/>
    <w:rsid w:val="00EA58EA"/>
    <w:rsid w:val="00EA6657"/>
    <w:rsid w:val="00EA7655"/>
    <w:rsid w:val="00EA79C0"/>
    <w:rsid w:val="00EA79C1"/>
    <w:rsid w:val="00EA7DDC"/>
    <w:rsid w:val="00EB067D"/>
    <w:rsid w:val="00EB08DC"/>
    <w:rsid w:val="00EB1776"/>
    <w:rsid w:val="00EB2613"/>
    <w:rsid w:val="00EB3334"/>
    <w:rsid w:val="00EB33A6"/>
    <w:rsid w:val="00EB36A5"/>
    <w:rsid w:val="00EB3A2E"/>
    <w:rsid w:val="00EB3A84"/>
    <w:rsid w:val="00EB3AC9"/>
    <w:rsid w:val="00EB4891"/>
    <w:rsid w:val="00EB4F23"/>
    <w:rsid w:val="00EB4FE9"/>
    <w:rsid w:val="00EB5B08"/>
    <w:rsid w:val="00EB5E40"/>
    <w:rsid w:val="00EB5F0D"/>
    <w:rsid w:val="00EB5F36"/>
    <w:rsid w:val="00EB62EF"/>
    <w:rsid w:val="00EB6324"/>
    <w:rsid w:val="00EB651F"/>
    <w:rsid w:val="00EB683D"/>
    <w:rsid w:val="00EB6865"/>
    <w:rsid w:val="00EB6A56"/>
    <w:rsid w:val="00EB6BE1"/>
    <w:rsid w:val="00EB7428"/>
    <w:rsid w:val="00EC00C7"/>
    <w:rsid w:val="00EC02C1"/>
    <w:rsid w:val="00EC044D"/>
    <w:rsid w:val="00EC04CF"/>
    <w:rsid w:val="00EC0A5D"/>
    <w:rsid w:val="00EC0E0B"/>
    <w:rsid w:val="00EC0E0F"/>
    <w:rsid w:val="00EC1267"/>
    <w:rsid w:val="00EC16B7"/>
    <w:rsid w:val="00EC16C5"/>
    <w:rsid w:val="00EC1E35"/>
    <w:rsid w:val="00EC2394"/>
    <w:rsid w:val="00EC30A1"/>
    <w:rsid w:val="00EC3176"/>
    <w:rsid w:val="00EC33F8"/>
    <w:rsid w:val="00EC3959"/>
    <w:rsid w:val="00EC3B3B"/>
    <w:rsid w:val="00EC3F7E"/>
    <w:rsid w:val="00EC4288"/>
    <w:rsid w:val="00EC4649"/>
    <w:rsid w:val="00EC5324"/>
    <w:rsid w:val="00EC5918"/>
    <w:rsid w:val="00EC5B60"/>
    <w:rsid w:val="00EC5BB6"/>
    <w:rsid w:val="00EC5E2C"/>
    <w:rsid w:val="00EC601D"/>
    <w:rsid w:val="00EC6255"/>
    <w:rsid w:val="00EC6330"/>
    <w:rsid w:val="00EC68EF"/>
    <w:rsid w:val="00EC6BE6"/>
    <w:rsid w:val="00EC7A44"/>
    <w:rsid w:val="00EC7BD1"/>
    <w:rsid w:val="00EC7E7F"/>
    <w:rsid w:val="00ED0018"/>
    <w:rsid w:val="00ED044F"/>
    <w:rsid w:val="00ED0921"/>
    <w:rsid w:val="00ED1028"/>
    <w:rsid w:val="00ED10C5"/>
    <w:rsid w:val="00ED1313"/>
    <w:rsid w:val="00ED150A"/>
    <w:rsid w:val="00ED16B1"/>
    <w:rsid w:val="00ED185A"/>
    <w:rsid w:val="00ED1B06"/>
    <w:rsid w:val="00ED1C71"/>
    <w:rsid w:val="00ED1E2E"/>
    <w:rsid w:val="00ED2B6B"/>
    <w:rsid w:val="00ED2CD0"/>
    <w:rsid w:val="00ED2D82"/>
    <w:rsid w:val="00ED3257"/>
    <w:rsid w:val="00ED3995"/>
    <w:rsid w:val="00ED423A"/>
    <w:rsid w:val="00ED457D"/>
    <w:rsid w:val="00ED458A"/>
    <w:rsid w:val="00ED458D"/>
    <w:rsid w:val="00ED4F0C"/>
    <w:rsid w:val="00ED5175"/>
    <w:rsid w:val="00ED54F2"/>
    <w:rsid w:val="00ED59D4"/>
    <w:rsid w:val="00ED5A70"/>
    <w:rsid w:val="00ED5F03"/>
    <w:rsid w:val="00ED5F86"/>
    <w:rsid w:val="00ED61A9"/>
    <w:rsid w:val="00ED644F"/>
    <w:rsid w:val="00ED6CD1"/>
    <w:rsid w:val="00ED7273"/>
    <w:rsid w:val="00ED7821"/>
    <w:rsid w:val="00ED7952"/>
    <w:rsid w:val="00ED7E9B"/>
    <w:rsid w:val="00EE07F2"/>
    <w:rsid w:val="00EE0AC9"/>
    <w:rsid w:val="00EE10BA"/>
    <w:rsid w:val="00EE1734"/>
    <w:rsid w:val="00EE1739"/>
    <w:rsid w:val="00EE17B5"/>
    <w:rsid w:val="00EE1B40"/>
    <w:rsid w:val="00EE1FF8"/>
    <w:rsid w:val="00EE250F"/>
    <w:rsid w:val="00EE25CF"/>
    <w:rsid w:val="00EE2810"/>
    <w:rsid w:val="00EE28ED"/>
    <w:rsid w:val="00EE31BF"/>
    <w:rsid w:val="00EE3231"/>
    <w:rsid w:val="00EE34B6"/>
    <w:rsid w:val="00EE35D2"/>
    <w:rsid w:val="00EE380A"/>
    <w:rsid w:val="00EE38EF"/>
    <w:rsid w:val="00EE3FDC"/>
    <w:rsid w:val="00EE407D"/>
    <w:rsid w:val="00EE5283"/>
    <w:rsid w:val="00EE5599"/>
    <w:rsid w:val="00EE5AEA"/>
    <w:rsid w:val="00EE5DFD"/>
    <w:rsid w:val="00EE6431"/>
    <w:rsid w:val="00EE6825"/>
    <w:rsid w:val="00EE6AD4"/>
    <w:rsid w:val="00EE6CF9"/>
    <w:rsid w:val="00EE7039"/>
    <w:rsid w:val="00EE7278"/>
    <w:rsid w:val="00EE7D74"/>
    <w:rsid w:val="00EE7EB5"/>
    <w:rsid w:val="00EE7EC2"/>
    <w:rsid w:val="00EE7F90"/>
    <w:rsid w:val="00EE7FDE"/>
    <w:rsid w:val="00EF03D8"/>
    <w:rsid w:val="00EF0ABF"/>
    <w:rsid w:val="00EF0B1C"/>
    <w:rsid w:val="00EF0CBB"/>
    <w:rsid w:val="00EF0F0C"/>
    <w:rsid w:val="00EF0F79"/>
    <w:rsid w:val="00EF111D"/>
    <w:rsid w:val="00EF1375"/>
    <w:rsid w:val="00EF1569"/>
    <w:rsid w:val="00EF1A78"/>
    <w:rsid w:val="00EF1B6E"/>
    <w:rsid w:val="00EF1B7F"/>
    <w:rsid w:val="00EF1F5C"/>
    <w:rsid w:val="00EF1FBE"/>
    <w:rsid w:val="00EF2994"/>
    <w:rsid w:val="00EF377F"/>
    <w:rsid w:val="00EF3956"/>
    <w:rsid w:val="00EF3E88"/>
    <w:rsid w:val="00EF4764"/>
    <w:rsid w:val="00EF4CB7"/>
    <w:rsid w:val="00EF4DA0"/>
    <w:rsid w:val="00EF4EE1"/>
    <w:rsid w:val="00EF4FF5"/>
    <w:rsid w:val="00EF5479"/>
    <w:rsid w:val="00EF624D"/>
    <w:rsid w:val="00EF7256"/>
    <w:rsid w:val="00F001BA"/>
    <w:rsid w:val="00F00C8A"/>
    <w:rsid w:val="00F011AF"/>
    <w:rsid w:val="00F01747"/>
    <w:rsid w:val="00F01C30"/>
    <w:rsid w:val="00F01E50"/>
    <w:rsid w:val="00F022C5"/>
    <w:rsid w:val="00F026A1"/>
    <w:rsid w:val="00F02932"/>
    <w:rsid w:val="00F029EB"/>
    <w:rsid w:val="00F02DD7"/>
    <w:rsid w:val="00F03467"/>
    <w:rsid w:val="00F03A36"/>
    <w:rsid w:val="00F03D4E"/>
    <w:rsid w:val="00F03F5F"/>
    <w:rsid w:val="00F04355"/>
    <w:rsid w:val="00F044EB"/>
    <w:rsid w:val="00F05684"/>
    <w:rsid w:val="00F05CDD"/>
    <w:rsid w:val="00F06511"/>
    <w:rsid w:val="00F06692"/>
    <w:rsid w:val="00F06C5F"/>
    <w:rsid w:val="00F070A3"/>
    <w:rsid w:val="00F07688"/>
    <w:rsid w:val="00F0799B"/>
    <w:rsid w:val="00F07D78"/>
    <w:rsid w:val="00F10BA4"/>
    <w:rsid w:val="00F10FF1"/>
    <w:rsid w:val="00F11847"/>
    <w:rsid w:val="00F11AD8"/>
    <w:rsid w:val="00F126DD"/>
    <w:rsid w:val="00F1345E"/>
    <w:rsid w:val="00F137AE"/>
    <w:rsid w:val="00F1381C"/>
    <w:rsid w:val="00F139C9"/>
    <w:rsid w:val="00F14053"/>
    <w:rsid w:val="00F14684"/>
    <w:rsid w:val="00F149C9"/>
    <w:rsid w:val="00F14B46"/>
    <w:rsid w:val="00F14E02"/>
    <w:rsid w:val="00F150A3"/>
    <w:rsid w:val="00F151E8"/>
    <w:rsid w:val="00F15886"/>
    <w:rsid w:val="00F15CFB"/>
    <w:rsid w:val="00F161B6"/>
    <w:rsid w:val="00F1627E"/>
    <w:rsid w:val="00F16344"/>
    <w:rsid w:val="00F16609"/>
    <w:rsid w:val="00F16D81"/>
    <w:rsid w:val="00F17094"/>
    <w:rsid w:val="00F173A6"/>
    <w:rsid w:val="00F173AE"/>
    <w:rsid w:val="00F17BFE"/>
    <w:rsid w:val="00F203C5"/>
    <w:rsid w:val="00F2051C"/>
    <w:rsid w:val="00F208DC"/>
    <w:rsid w:val="00F20AD4"/>
    <w:rsid w:val="00F20B60"/>
    <w:rsid w:val="00F2101B"/>
    <w:rsid w:val="00F21204"/>
    <w:rsid w:val="00F215BF"/>
    <w:rsid w:val="00F21A22"/>
    <w:rsid w:val="00F21EA1"/>
    <w:rsid w:val="00F222C6"/>
    <w:rsid w:val="00F2238C"/>
    <w:rsid w:val="00F22847"/>
    <w:rsid w:val="00F229CE"/>
    <w:rsid w:val="00F22B7E"/>
    <w:rsid w:val="00F22DCD"/>
    <w:rsid w:val="00F22DFA"/>
    <w:rsid w:val="00F23479"/>
    <w:rsid w:val="00F23F76"/>
    <w:rsid w:val="00F242D7"/>
    <w:rsid w:val="00F24C25"/>
    <w:rsid w:val="00F25304"/>
    <w:rsid w:val="00F257FC"/>
    <w:rsid w:val="00F2583C"/>
    <w:rsid w:val="00F25D24"/>
    <w:rsid w:val="00F25EC2"/>
    <w:rsid w:val="00F260AF"/>
    <w:rsid w:val="00F260E7"/>
    <w:rsid w:val="00F26253"/>
    <w:rsid w:val="00F268F4"/>
    <w:rsid w:val="00F2699B"/>
    <w:rsid w:val="00F2718B"/>
    <w:rsid w:val="00F279B0"/>
    <w:rsid w:val="00F279F4"/>
    <w:rsid w:val="00F27B5E"/>
    <w:rsid w:val="00F30605"/>
    <w:rsid w:val="00F308FC"/>
    <w:rsid w:val="00F30C68"/>
    <w:rsid w:val="00F30D1E"/>
    <w:rsid w:val="00F31136"/>
    <w:rsid w:val="00F31777"/>
    <w:rsid w:val="00F319A2"/>
    <w:rsid w:val="00F31A82"/>
    <w:rsid w:val="00F31FC5"/>
    <w:rsid w:val="00F32483"/>
    <w:rsid w:val="00F32517"/>
    <w:rsid w:val="00F327DE"/>
    <w:rsid w:val="00F32A99"/>
    <w:rsid w:val="00F32B20"/>
    <w:rsid w:val="00F32B71"/>
    <w:rsid w:val="00F32C8F"/>
    <w:rsid w:val="00F32EAE"/>
    <w:rsid w:val="00F33030"/>
    <w:rsid w:val="00F3328D"/>
    <w:rsid w:val="00F33296"/>
    <w:rsid w:val="00F33368"/>
    <w:rsid w:val="00F3358D"/>
    <w:rsid w:val="00F33EAD"/>
    <w:rsid w:val="00F341D7"/>
    <w:rsid w:val="00F34263"/>
    <w:rsid w:val="00F342A9"/>
    <w:rsid w:val="00F34E2C"/>
    <w:rsid w:val="00F35547"/>
    <w:rsid w:val="00F35931"/>
    <w:rsid w:val="00F35B1D"/>
    <w:rsid w:val="00F363E7"/>
    <w:rsid w:val="00F36B44"/>
    <w:rsid w:val="00F36F3D"/>
    <w:rsid w:val="00F371C7"/>
    <w:rsid w:val="00F37395"/>
    <w:rsid w:val="00F374A3"/>
    <w:rsid w:val="00F374A8"/>
    <w:rsid w:val="00F376A8"/>
    <w:rsid w:val="00F4064D"/>
    <w:rsid w:val="00F40A3C"/>
    <w:rsid w:val="00F4129B"/>
    <w:rsid w:val="00F41ACC"/>
    <w:rsid w:val="00F41E9E"/>
    <w:rsid w:val="00F421B2"/>
    <w:rsid w:val="00F422BB"/>
    <w:rsid w:val="00F423FA"/>
    <w:rsid w:val="00F4259B"/>
    <w:rsid w:val="00F42722"/>
    <w:rsid w:val="00F428AB"/>
    <w:rsid w:val="00F42C9C"/>
    <w:rsid w:val="00F43953"/>
    <w:rsid w:val="00F4396B"/>
    <w:rsid w:val="00F43BD5"/>
    <w:rsid w:val="00F43F6B"/>
    <w:rsid w:val="00F44507"/>
    <w:rsid w:val="00F451E3"/>
    <w:rsid w:val="00F45599"/>
    <w:rsid w:val="00F458AF"/>
    <w:rsid w:val="00F45B31"/>
    <w:rsid w:val="00F45DC4"/>
    <w:rsid w:val="00F45DD0"/>
    <w:rsid w:val="00F45E88"/>
    <w:rsid w:val="00F4688F"/>
    <w:rsid w:val="00F4698D"/>
    <w:rsid w:val="00F46A55"/>
    <w:rsid w:val="00F46B82"/>
    <w:rsid w:val="00F4735E"/>
    <w:rsid w:val="00F513D7"/>
    <w:rsid w:val="00F51589"/>
    <w:rsid w:val="00F51E5F"/>
    <w:rsid w:val="00F520DF"/>
    <w:rsid w:val="00F5228B"/>
    <w:rsid w:val="00F53465"/>
    <w:rsid w:val="00F534EA"/>
    <w:rsid w:val="00F53EC1"/>
    <w:rsid w:val="00F54229"/>
    <w:rsid w:val="00F548AD"/>
    <w:rsid w:val="00F54B70"/>
    <w:rsid w:val="00F54B92"/>
    <w:rsid w:val="00F54D31"/>
    <w:rsid w:val="00F5521A"/>
    <w:rsid w:val="00F55610"/>
    <w:rsid w:val="00F5577C"/>
    <w:rsid w:val="00F56021"/>
    <w:rsid w:val="00F566B3"/>
    <w:rsid w:val="00F567C8"/>
    <w:rsid w:val="00F56A7A"/>
    <w:rsid w:val="00F56E48"/>
    <w:rsid w:val="00F57020"/>
    <w:rsid w:val="00F57145"/>
    <w:rsid w:val="00F57554"/>
    <w:rsid w:val="00F575ED"/>
    <w:rsid w:val="00F5783F"/>
    <w:rsid w:val="00F5789B"/>
    <w:rsid w:val="00F57948"/>
    <w:rsid w:val="00F57C2D"/>
    <w:rsid w:val="00F602F6"/>
    <w:rsid w:val="00F605D7"/>
    <w:rsid w:val="00F607A7"/>
    <w:rsid w:val="00F608A3"/>
    <w:rsid w:val="00F60E2A"/>
    <w:rsid w:val="00F610A4"/>
    <w:rsid w:val="00F614FA"/>
    <w:rsid w:val="00F61833"/>
    <w:rsid w:val="00F61A3F"/>
    <w:rsid w:val="00F61AD6"/>
    <w:rsid w:val="00F61F4F"/>
    <w:rsid w:val="00F623A5"/>
    <w:rsid w:val="00F628E4"/>
    <w:rsid w:val="00F62B09"/>
    <w:rsid w:val="00F62C3D"/>
    <w:rsid w:val="00F62DE7"/>
    <w:rsid w:val="00F62EFF"/>
    <w:rsid w:val="00F63288"/>
    <w:rsid w:val="00F64A78"/>
    <w:rsid w:val="00F64F42"/>
    <w:rsid w:val="00F64F4F"/>
    <w:rsid w:val="00F65085"/>
    <w:rsid w:val="00F65884"/>
    <w:rsid w:val="00F65C9A"/>
    <w:rsid w:val="00F66601"/>
    <w:rsid w:val="00F666AC"/>
    <w:rsid w:val="00F666E4"/>
    <w:rsid w:val="00F67052"/>
    <w:rsid w:val="00F67589"/>
    <w:rsid w:val="00F67DBE"/>
    <w:rsid w:val="00F67E21"/>
    <w:rsid w:val="00F704B4"/>
    <w:rsid w:val="00F7057A"/>
    <w:rsid w:val="00F708B7"/>
    <w:rsid w:val="00F7095E"/>
    <w:rsid w:val="00F7099D"/>
    <w:rsid w:val="00F70B2A"/>
    <w:rsid w:val="00F72AC3"/>
    <w:rsid w:val="00F72BB1"/>
    <w:rsid w:val="00F7313B"/>
    <w:rsid w:val="00F73403"/>
    <w:rsid w:val="00F734A3"/>
    <w:rsid w:val="00F734AC"/>
    <w:rsid w:val="00F73511"/>
    <w:rsid w:val="00F73A12"/>
    <w:rsid w:val="00F73BF5"/>
    <w:rsid w:val="00F746B4"/>
    <w:rsid w:val="00F74EDF"/>
    <w:rsid w:val="00F750A7"/>
    <w:rsid w:val="00F75644"/>
    <w:rsid w:val="00F7572C"/>
    <w:rsid w:val="00F7605F"/>
    <w:rsid w:val="00F76314"/>
    <w:rsid w:val="00F7655D"/>
    <w:rsid w:val="00F77650"/>
    <w:rsid w:val="00F77D8A"/>
    <w:rsid w:val="00F77E49"/>
    <w:rsid w:val="00F77FF8"/>
    <w:rsid w:val="00F8016F"/>
    <w:rsid w:val="00F8054D"/>
    <w:rsid w:val="00F81E4C"/>
    <w:rsid w:val="00F8201F"/>
    <w:rsid w:val="00F8234F"/>
    <w:rsid w:val="00F82C31"/>
    <w:rsid w:val="00F8386B"/>
    <w:rsid w:val="00F83A80"/>
    <w:rsid w:val="00F83BA2"/>
    <w:rsid w:val="00F83E22"/>
    <w:rsid w:val="00F8407F"/>
    <w:rsid w:val="00F8445B"/>
    <w:rsid w:val="00F84788"/>
    <w:rsid w:val="00F853FF"/>
    <w:rsid w:val="00F86026"/>
    <w:rsid w:val="00F86046"/>
    <w:rsid w:val="00F86085"/>
    <w:rsid w:val="00F8634D"/>
    <w:rsid w:val="00F8686F"/>
    <w:rsid w:val="00F86994"/>
    <w:rsid w:val="00F8699B"/>
    <w:rsid w:val="00F869A4"/>
    <w:rsid w:val="00F86AE8"/>
    <w:rsid w:val="00F86D40"/>
    <w:rsid w:val="00F8717E"/>
    <w:rsid w:val="00F872CF"/>
    <w:rsid w:val="00F87483"/>
    <w:rsid w:val="00F87672"/>
    <w:rsid w:val="00F87711"/>
    <w:rsid w:val="00F8782A"/>
    <w:rsid w:val="00F8798A"/>
    <w:rsid w:val="00F87B19"/>
    <w:rsid w:val="00F87DC8"/>
    <w:rsid w:val="00F903D7"/>
    <w:rsid w:val="00F90576"/>
    <w:rsid w:val="00F90658"/>
    <w:rsid w:val="00F907B4"/>
    <w:rsid w:val="00F91106"/>
    <w:rsid w:val="00F927FF"/>
    <w:rsid w:val="00F92875"/>
    <w:rsid w:val="00F92B73"/>
    <w:rsid w:val="00F92E90"/>
    <w:rsid w:val="00F93338"/>
    <w:rsid w:val="00F9365C"/>
    <w:rsid w:val="00F938AF"/>
    <w:rsid w:val="00F939F6"/>
    <w:rsid w:val="00F93E08"/>
    <w:rsid w:val="00F94142"/>
    <w:rsid w:val="00F94438"/>
    <w:rsid w:val="00F9493F"/>
    <w:rsid w:val="00F95128"/>
    <w:rsid w:val="00F953F2"/>
    <w:rsid w:val="00F95666"/>
    <w:rsid w:val="00F957D1"/>
    <w:rsid w:val="00F95DC7"/>
    <w:rsid w:val="00F962A1"/>
    <w:rsid w:val="00F966C1"/>
    <w:rsid w:val="00F9755F"/>
    <w:rsid w:val="00F975ED"/>
    <w:rsid w:val="00F9760C"/>
    <w:rsid w:val="00F97BC3"/>
    <w:rsid w:val="00FA057A"/>
    <w:rsid w:val="00FA07B0"/>
    <w:rsid w:val="00FA0D08"/>
    <w:rsid w:val="00FA0DD9"/>
    <w:rsid w:val="00FA1815"/>
    <w:rsid w:val="00FA23DB"/>
    <w:rsid w:val="00FA357A"/>
    <w:rsid w:val="00FA37AD"/>
    <w:rsid w:val="00FA3D0B"/>
    <w:rsid w:val="00FA41AF"/>
    <w:rsid w:val="00FA447D"/>
    <w:rsid w:val="00FA48DA"/>
    <w:rsid w:val="00FA5907"/>
    <w:rsid w:val="00FA59CE"/>
    <w:rsid w:val="00FA5B9B"/>
    <w:rsid w:val="00FA5DE2"/>
    <w:rsid w:val="00FA62E8"/>
    <w:rsid w:val="00FA6ACD"/>
    <w:rsid w:val="00FA6C6B"/>
    <w:rsid w:val="00FA6F0E"/>
    <w:rsid w:val="00FA720B"/>
    <w:rsid w:val="00FA732B"/>
    <w:rsid w:val="00FA7552"/>
    <w:rsid w:val="00FA7845"/>
    <w:rsid w:val="00FA7FF3"/>
    <w:rsid w:val="00FB031F"/>
    <w:rsid w:val="00FB03FD"/>
    <w:rsid w:val="00FB0B3F"/>
    <w:rsid w:val="00FB1006"/>
    <w:rsid w:val="00FB108A"/>
    <w:rsid w:val="00FB1169"/>
    <w:rsid w:val="00FB1983"/>
    <w:rsid w:val="00FB1B62"/>
    <w:rsid w:val="00FB1F51"/>
    <w:rsid w:val="00FB27BB"/>
    <w:rsid w:val="00FB28EB"/>
    <w:rsid w:val="00FB2DA4"/>
    <w:rsid w:val="00FB2FFD"/>
    <w:rsid w:val="00FB3A71"/>
    <w:rsid w:val="00FB3E9D"/>
    <w:rsid w:val="00FB4374"/>
    <w:rsid w:val="00FB44C6"/>
    <w:rsid w:val="00FB4538"/>
    <w:rsid w:val="00FB453F"/>
    <w:rsid w:val="00FB4817"/>
    <w:rsid w:val="00FB532A"/>
    <w:rsid w:val="00FB54EE"/>
    <w:rsid w:val="00FB56DD"/>
    <w:rsid w:val="00FB5A5E"/>
    <w:rsid w:val="00FB5BDE"/>
    <w:rsid w:val="00FB5ED8"/>
    <w:rsid w:val="00FB632D"/>
    <w:rsid w:val="00FB6908"/>
    <w:rsid w:val="00FB6CCC"/>
    <w:rsid w:val="00FB6DD6"/>
    <w:rsid w:val="00FB6E7A"/>
    <w:rsid w:val="00FB71E6"/>
    <w:rsid w:val="00FB79B1"/>
    <w:rsid w:val="00FB7BA0"/>
    <w:rsid w:val="00FB7E6C"/>
    <w:rsid w:val="00FB7F7C"/>
    <w:rsid w:val="00FC0040"/>
    <w:rsid w:val="00FC0449"/>
    <w:rsid w:val="00FC0AB6"/>
    <w:rsid w:val="00FC1248"/>
    <w:rsid w:val="00FC1B27"/>
    <w:rsid w:val="00FC2168"/>
    <w:rsid w:val="00FC2348"/>
    <w:rsid w:val="00FC2545"/>
    <w:rsid w:val="00FC27CF"/>
    <w:rsid w:val="00FC2E9C"/>
    <w:rsid w:val="00FC3CE9"/>
    <w:rsid w:val="00FC3FC1"/>
    <w:rsid w:val="00FC404F"/>
    <w:rsid w:val="00FC500A"/>
    <w:rsid w:val="00FC5349"/>
    <w:rsid w:val="00FC5BEB"/>
    <w:rsid w:val="00FC5C95"/>
    <w:rsid w:val="00FC5E64"/>
    <w:rsid w:val="00FC5ED0"/>
    <w:rsid w:val="00FC60BF"/>
    <w:rsid w:val="00FC6380"/>
    <w:rsid w:val="00FC63B7"/>
    <w:rsid w:val="00FC7BBA"/>
    <w:rsid w:val="00FC7C5B"/>
    <w:rsid w:val="00FC7FF9"/>
    <w:rsid w:val="00FD00F1"/>
    <w:rsid w:val="00FD1064"/>
    <w:rsid w:val="00FD12E9"/>
    <w:rsid w:val="00FD147B"/>
    <w:rsid w:val="00FD1662"/>
    <w:rsid w:val="00FD1FB8"/>
    <w:rsid w:val="00FD220B"/>
    <w:rsid w:val="00FD2760"/>
    <w:rsid w:val="00FD39A4"/>
    <w:rsid w:val="00FD4730"/>
    <w:rsid w:val="00FD4C40"/>
    <w:rsid w:val="00FD4C60"/>
    <w:rsid w:val="00FD4E58"/>
    <w:rsid w:val="00FD4E75"/>
    <w:rsid w:val="00FD5021"/>
    <w:rsid w:val="00FD5402"/>
    <w:rsid w:val="00FD5630"/>
    <w:rsid w:val="00FD59FD"/>
    <w:rsid w:val="00FD5BD0"/>
    <w:rsid w:val="00FD6B44"/>
    <w:rsid w:val="00FD78F0"/>
    <w:rsid w:val="00FD7C4B"/>
    <w:rsid w:val="00FD7D2A"/>
    <w:rsid w:val="00FD7D6B"/>
    <w:rsid w:val="00FD7D83"/>
    <w:rsid w:val="00FE0002"/>
    <w:rsid w:val="00FE00AE"/>
    <w:rsid w:val="00FE036F"/>
    <w:rsid w:val="00FE05C9"/>
    <w:rsid w:val="00FE085C"/>
    <w:rsid w:val="00FE0FE1"/>
    <w:rsid w:val="00FE1138"/>
    <w:rsid w:val="00FE1397"/>
    <w:rsid w:val="00FE1A00"/>
    <w:rsid w:val="00FE2323"/>
    <w:rsid w:val="00FE26DD"/>
    <w:rsid w:val="00FE29F8"/>
    <w:rsid w:val="00FE2CB6"/>
    <w:rsid w:val="00FE2CEE"/>
    <w:rsid w:val="00FE2DE2"/>
    <w:rsid w:val="00FE31E1"/>
    <w:rsid w:val="00FE4729"/>
    <w:rsid w:val="00FE4ED1"/>
    <w:rsid w:val="00FE4F9A"/>
    <w:rsid w:val="00FE5749"/>
    <w:rsid w:val="00FE5AD1"/>
    <w:rsid w:val="00FE6790"/>
    <w:rsid w:val="00FE6996"/>
    <w:rsid w:val="00FE7C17"/>
    <w:rsid w:val="00FF069E"/>
    <w:rsid w:val="00FF0798"/>
    <w:rsid w:val="00FF0E93"/>
    <w:rsid w:val="00FF1493"/>
    <w:rsid w:val="00FF168E"/>
    <w:rsid w:val="00FF19D4"/>
    <w:rsid w:val="00FF1A7D"/>
    <w:rsid w:val="00FF26A4"/>
    <w:rsid w:val="00FF28FC"/>
    <w:rsid w:val="00FF2C9A"/>
    <w:rsid w:val="00FF2CED"/>
    <w:rsid w:val="00FF3673"/>
    <w:rsid w:val="00FF3B98"/>
    <w:rsid w:val="00FF3D32"/>
    <w:rsid w:val="00FF46D2"/>
    <w:rsid w:val="00FF4A6A"/>
    <w:rsid w:val="00FF571E"/>
    <w:rsid w:val="00FF5A5B"/>
    <w:rsid w:val="00FF5DCE"/>
    <w:rsid w:val="00FF638F"/>
    <w:rsid w:val="00FF65CE"/>
    <w:rsid w:val="00FF6E59"/>
    <w:rsid w:val="00FF6F7A"/>
    <w:rsid w:val="00FF778A"/>
    <w:rsid w:val="00FF7903"/>
    <w:rsid w:val="00FF79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61954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en-GB"/>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158E"/>
    <w:pPr>
      <w:spacing w:after="200" w:line="276" w:lineRule="auto"/>
    </w:pPr>
    <w:rPr>
      <w:sz w:val="22"/>
      <w:szCs w:val="22"/>
    </w:rPr>
  </w:style>
  <w:style w:type="paragraph" w:styleId="Heading1">
    <w:name w:val="heading 1"/>
    <w:basedOn w:val="Normal"/>
    <w:next w:val="Normal"/>
    <w:link w:val="Heading1Char"/>
    <w:uiPriority w:val="9"/>
    <w:qFormat/>
    <w:rsid w:val="003C0DF0"/>
    <w:pPr>
      <w:spacing w:after="0" w:line="240" w:lineRule="auto"/>
      <w:jc w:val="center"/>
      <w:outlineLvl w:val="0"/>
    </w:pPr>
    <w:rPr>
      <w:rFonts w:ascii="Times New Roman" w:eastAsia="Times New Roman" w:hAnsi="Times New Roman"/>
      <w:b/>
      <w:bCs/>
      <w:noProof/>
      <w:sz w:val="26"/>
      <w:szCs w:val="26"/>
    </w:rPr>
  </w:style>
  <w:style w:type="paragraph" w:styleId="Heading2">
    <w:name w:val="heading 2"/>
    <w:basedOn w:val="Normal"/>
    <w:next w:val="Normal"/>
    <w:link w:val="Heading2Char"/>
    <w:uiPriority w:val="9"/>
    <w:unhideWhenUsed/>
    <w:qFormat/>
    <w:rsid w:val="003C0DF0"/>
    <w:pPr>
      <w:spacing w:after="0" w:line="240" w:lineRule="auto"/>
      <w:ind w:left="709"/>
      <w:jc w:val="both"/>
      <w:outlineLvl w:val="1"/>
    </w:pPr>
    <w:rPr>
      <w:rFonts w:ascii="Times New Roman" w:eastAsiaTheme="majorEastAsia" w:hAnsi="Times New Roman" w:cstheme="majorBidi"/>
      <w:b/>
      <w:bCs/>
      <w:noProof/>
      <w:sz w:val="26"/>
      <w:szCs w:val="26"/>
    </w:rPr>
  </w:style>
  <w:style w:type="paragraph" w:styleId="Heading3">
    <w:name w:val="heading 3"/>
    <w:basedOn w:val="Normal"/>
    <w:next w:val="Normal"/>
    <w:link w:val="Heading3Char"/>
    <w:uiPriority w:val="9"/>
    <w:unhideWhenUsed/>
    <w:qFormat/>
    <w:rsid w:val="00BB175A"/>
    <w:pPr>
      <w:spacing w:after="0" w:line="240" w:lineRule="auto"/>
      <w:jc w:val="both"/>
      <w:outlineLvl w:val="2"/>
    </w:pPr>
    <w:rPr>
      <w:rFonts w:ascii="Times New Roman" w:eastAsiaTheme="majorEastAsia" w:hAnsi="Times New Roman"/>
      <w:b/>
      <w:bCs/>
      <w:i/>
      <w:sz w:val="24"/>
    </w:rPr>
  </w:style>
  <w:style w:type="paragraph" w:styleId="Heading4">
    <w:name w:val="heading 4"/>
    <w:basedOn w:val="Normal"/>
    <w:next w:val="Normal"/>
    <w:link w:val="Heading4Char"/>
    <w:uiPriority w:val="9"/>
    <w:unhideWhenUsed/>
    <w:qFormat/>
    <w:rsid w:val="00865D9B"/>
    <w:pPr>
      <w:keepNext/>
      <w:keepLines/>
      <w:numPr>
        <w:ilvl w:val="3"/>
        <w:numId w:val="17"/>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7C0811"/>
    <w:pPr>
      <w:keepNext/>
      <w:keepLines/>
      <w:numPr>
        <w:ilvl w:val="4"/>
        <w:numId w:val="17"/>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C0811"/>
    <w:pPr>
      <w:keepNext/>
      <w:keepLines/>
      <w:numPr>
        <w:ilvl w:val="5"/>
        <w:numId w:val="17"/>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C0811"/>
    <w:pPr>
      <w:keepNext/>
      <w:keepLines/>
      <w:numPr>
        <w:ilvl w:val="6"/>
        <w:numId w:val="17"/>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C0811"/>
    <w:pPr>
      <w:keepNext/>
      <w:keepLines/>
      <w:numPr>
        <w:ilvl w:val="7"/>
        <w:numId w:val="17"/>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C0811"/>
    <w:pPr>
      <w:keepNext/>
      <w:keepLines/>
      <w:numPr>
        <w:ilvl w:val="8"/>
        <w:numId w:val="17"/>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1EDF"/>
    <w:pPr>
      <w:tabs>
        <w:tab w:val="center" w:pos="4153"/>
        <w:tab w:val="right" w:pos="8306"/>
      </w:tabs>
      <w:spacing w:after="0" w:line="240" w:lineRule="auto"/>
    </w:pPr>
  </w:style>
  <w:style w:type="character" w:customStyle="1" w:styleId="HeaderChar">
    <w:name w:val="Header Char"/>
    <w:basedOn w:val="DefaultParagraphFont"/>
    <w:link w:val="Header"/>
    <w:uiPriority w:val="99"/>
    <w:rsid w:val="00B11EDF"/>
  </w:style>
  <w:style w:type="paragraph" w:styleId="Footer">
    <w:name w:val="footer"/>
    <w:basedOn w:val="Normal"/>
    <w:link w:val="FooterChar"/>
    <w:unhideWhenUsed/>
    <w:rsid w:val="00B11EDF"/>
    <w:pPr>
      <w:tabs>
        <w:tab w:val="center" w:pos="4153"/>
        <w:tab w:val="right" w:pos="8306"/>
      </w:tabs>
      <w:spacing w:after="0" w:line="240" w:lineRule="auto"/>
    </w:pPr>
  </w:style>
  <w:style w:type="character" w:customStyle="1" w:styleId="FooterChar">
    <w:name w:val="Footer Char"/>
    <w:basedOn w:val="DefaultParagraphFont"/>
    <w:link w:val="Footer"/>
    <w:uiPriority w:val="99"/>
    <w:rsid w:val="00B11EDF"/>
  </w:style>
  <w:style w:type="paragraph" w:styleId="BalloonText">
    <w:name w:val="Balloon Text"/>
    <w:basedOn w:val="Normal"/>
    <w:link w:val="BalloonTextChar"/>
    <w:uiPriority w:val="99"/>
    <w:semiHidden/>
    <w:unhideWhenUsed/>
    <w:rsid w:val="0011659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1659E"/>
    <w:rPr>
      <w:rFonts w:ascii="Tahoma" w:hAnsi="Tahoma" w:cs="Tahoma"/>
      <w:sz w:val="16"/>
      <w:szCs w:val="16"/>
    </w:rPr>
  </w:style>
  <w:style w:type="paragraph" w:styleId="ListParagraph">
    <w:name w:val="List Paragraph"/>
    <w:aliases w:val="Akapit z listą BS"/>
    <w:basedOn w:val="Normal"/>
    <w:uiPriority w:val="34"/>
    <w:qFormat/>
    <w:rsid w:val="00D33F4D"/>
    <w:pPr>
      <w:ind w:left="720"/>
      <w:contextualSpacing/>
    </w:pPr>
  </w:style>
  <w:style w:type="paragraph" w:styleId="FootnoteText">
    <w:name w:val="footnote text"/>
    <w:basedOn w:val="Normal"/>
    <w:link w:val="FootnoteTextChar"/>
    <w:uiPriority w:val="99"/>
    <w:unhideWhenUsed/>
    <w:rsid w:val="00A77DE6"/>
    <w:pPr>
      <w:spacing w:after="0" w:line="240" w:lineRule="auto"/>
    </w:pPr>
    <w:rPr>
      <w:sz w:val="20"/>
      <w:szCs w:val="20"/>
    </w:rPr>
  </w:style>
  <w:style w:type="character" w:customStyle="1" w:styleId="FootnoteTextChar">
    <w:name w:val="Footnote Text Char"/>
    <w:link w:val="FootnoteText"/>
    <w:uiPriority w:val="99"/>
    <w:rsid w:val="00A77DE6"/>
    <w:rPr>
      <w:sz w:val="20"/>
      <w:szCs w:val="20"/>
    </w:rPr>
  </w:style>
  <w:style w:type="character" w:styleId="FootnoteReference">
    <w:name w:val="footnote reference"/>
    <w:uiPriority w:val="99"/>
    <w:unhideWhenUsed/>
    <w:rsid w:val="00A77DE6"/>
    <w:rPr>
      <w:vertAlign w:val="superscript"/>
    </w:rPr>
  </w:style>
  <w:style w:type="paragraph" w:styleId="NormalWeb">
    <w:name w:val="Normal (Web)"/>
    <w:basedOn w:val="Normal"/>
    <w:uiPriority w:val="99"/>
    <w:semiHidden/>
    <w:unhideWhenUsed/>
    <w:rsid w:val="00A77DE6"/>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unhideWhenUsed/>
    <w:rsid w:val="00A77DE6"/>
    <w:rPr>
      <w:color w:val="0000FF"/>
      <w:u w:val="single"/>
    </w:rPr>
  </w:style>
  <w:style w:type="character" w:styleId="CommentReference">
    <w:name w:val="annotation reference"/>
    <w:unhideWhenUsed/>
    <w:rsid w:val="00592229"/>
    <w:rPr>
      <w:sz w:val="16"/>
      <w:szCs w:val="16"/>
    </w:rPr>
  </w:style>
  <w:style w:type="paragraph" w:styleId="CommentText">
    <w:name w:val="annotation text"/>
    <w:basedOn w:val="Normal"/>
    <w:link w:val="CommentTextChar"/>
    <w:unhideWhenUsed/>
    <w:rsid w:val="00592229"/>
    <w:pPr>
      <w:spacing w:line="240" w:lineRule="auto"/>
    </w:pPr>
    <w:rPr>
      <w:sz w:val="20"/>
      <w:szCs w:val="20"/>
    </w:rPr>
  </w:style>
  <w:style w:type="character" w:customStyle="1" w:styleId="CommentTextChar">
    <w:name w:val="Comment Text Char"/>
    <w:link w:val="CommentText"/>
    <w:rsid w:val="00592229"/>
    <w:rPr>
      <w:sz w:val="20"/>
      <w:szCs w:val="20"/>
    </w:rPr>
  </w:style>
  <w:style w:type="paragraph" w:styleId="CommentSubject">
    <w:name w:val="annotation subject"/>
    <w:basedOn w:val="CommentText"/>
    <w:next w:val="CommentText"/>
    <w:link w:val="CommentSubjectChar"/>
    <w:uiPriority w:val="99"/>
    <w:semiHidden/>
    <w:unhideWhenUsed/>
    <w:rsid w:val="00592229"/>
    <w:rPr>
      <w:b/>
      <w:bCs/>
    </w:rPr>
  </w:style>
  <w:style w:type="character" w:customStyle="1" w:styleId="CommentSubjectChar">
    <w:name w:val="Comment Subject Char"/>
    <w:link w:val="CommentSubject"/>
    <w:uiPriority w:val="99"/>
    <w:semiHidden/>
    <w:rsid w:val="00592229"/>
    <w:rPr>
      <w:b/>
      <w:bCs/>
      <w:sz w:val="20"/>
      <w:szCs w:val="20"/>
    </w:rPr>
  </w:style>
  <w:style w:type="table" w:styleId="TableGrid">
    <w:name w:val="Table Grid"/>
    <w:basedOn w:val="TableNormal"/>
    <w:uiPriority w:val="39"/>
    <w:rsid w:val="00DB42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7A706A"/>
    <w:pPr>
      <w:widowControl w:val="0"/>
      <w:adjustRightInd w:val="0"/>
      <w:spacing w:after="0" w:line="360" w:lineRule="atLeast"/>
      <w:jc w:val="both"/>
      <w:textAlignment w:val="baseline"/>
    </w:pPr>
    <w:rPr>
      <w:rFonts w:ascii="Times New Roman" w:eastAsia="Times New Roman" w:hAnsi="Times New Roman"/>
      <w:sz w:val="28"/>
      <w:szCs w:val="28"/>
    </w:rPr>
  </w:style>
  <w:style w:type="character" w:customStyle="1" w:styleId="BodyTextChar">
    <w:name w:val="Body Text Char"/>
    <w:link w:val="BodyText"/>
    <w:rsid w:val="007A706A"/>
    <w:rPr>
      <w:rFonts w:ascii="Times New Roman" w:eastAsia="Times New Roman" w:hAnsi="Times New Roman" w:cs="Times New Roman"/>
      <w:sz w:val="28"/>
      <w:szCs w:val="28"/>
      <w:lang w:eastAsia="en-GB"/>
    </w:rPr>
  </w:style>
  <w:style w:type="paragraph" w:customStyle="1" w:styleId="FootnoteText1">
    <w:name w:val="Footnote Text1"/>
    <w:autoRedefine/>
    <w:rsid w:val="00DF523A"/>
    <w:rPr>
      <w:rFonts w:ascii="Times New Roman" w:eastAsia="ヒラギノ角ゴ Pro W3" w:hAnsi="Times New Roman"/>
      <w:color w:val="000000"/>
      <w:sz w:val="24"/>
    </w:rPr>
  </w:style>
  <w:style w:type="character" w:customStyle="1" w:styleId="FootnoteReference1">
    <w:name w:val="Footnote Reference1"/>
    <w:rsid w:val="00DF523A"/>
    <w:rPr>
      <w:color w:val="000000"/>
      <w:sz w:val="24"/>
      <w:vertAlign w:val="superscript"/>
      <w:lang w:val="en-GB"/>
    </w:rPr>
  </w:style>
  <w:style w:type="paragraph" w:customStyle="1" w:styleId="figures">
    <w:name w:val="! figures"/>
    <w:next w:val="Normal"/>
    <w:rsid w:val="00DF523A"/>
    <w:pPr>
      <w:spacing w:after="120"/>
    </w:pPr>
    <w:rPr>
      <w:rFonts w:ascii="Times New Roman" w:eastAsia="ヒラギノ角ゴ Pro W3" w:hAnsi="Times New Roman"/>
      <w:color w:val="000000"/>
      <w:sz w:val="24"/>
    </w:rPr>
  </w:style>
  <w:style w:type="character" w:customStyle="1" w:styleId="FontStyle26">
    <w:name w:val="Font Style26"/>
    <w:uiPriority w:val="99"/>
    <w:rsid w:val="00C10755"/>
    <w:rPr>
      <w:rFonts w:ascii="Times New Roman" w:hAnsi="Times New Roman" w:cs="Times New Roman"/>
      <w:sz w:val="26"/>
      <w:szCs w:val="26"/>
    </w:rPr>
  </w:style>
  <w:style w:type="character" w:customStyle="1" w:styleId="Heading1Char">
    <w:name w:val="Heading 1 Char"/>
    <w:link w:val="Heading1"/>
    <w:uiPriority w:val="9"/>
    <w:rsid w:val="003C0DF0"/>
    <w:rPr>
      <w:rFonts w:ascii="Times New Roman" w:eastAsia="Times New Roman" w:hAnsi="Times New Roman"/>
      <w:b/>
      <w:bCs/>
      <w:noProof/>
      <w:sz w:val="26"/>
      <w:szCs w:val="26"/>
    </w:rPr>
  </w:style>
  <w:style w:type="paragraph" w:styleId="NoSpacing">
    <w:name w:val="No Spacing"/>
    <w:uiPriority w:val="1"/>
    <w:qFormat/>
    <w:rsid w:val="00F46B82"/>
    <w:pPr>
      <w:widowControl w:val="0"/>
      <w:adjustRightInd w:val="0"/>
      <w:spacing w:line="360" w:lineRule="atLeast"/>
      <w:jc w:val="both"/>
      <w:textAlignment w:val="baseline"/>
    </w:pPr>
    <w:rPr>
      <w:rFonts w:ascii="Times New Roman" w:eastAsia="Times New Roman" w:hAnsi="Times New Roman"/>
      <w:sz w:val="22"/>
      <w:szCs w:val="22"/>
    </w:rPr>
  </w:style>
  <w:style w:type="paragraph" w:styleId="TOCHeading">
    <w:name w:val="TOC Heading"/>
    <w:basedOn w:val="Heading1"/>
    <w:next w:val="Normal"/>
    <w:uiPriority w:val="39"/>
    <w:unhideWhenUsed/>
    <w:qFormat/>
    <w:rsid w:val="00DB30B5"/>
    <w:pPr>
      <w:keepLines/>
      <w:spacing w:line="259" w:lineRule="auto"/>
      <w:outlineLvl w:val="9"/>
    </w:pPr>
    <w:rPr>
      <w:b w:val="0"/>
      <w:bCs w:val="0"/>
      <w:color w:val="2E74B5"/>
    </w:rPr>
  </w:style>
  <w:style w:type="paragraph" w:styleId="TOC1">
    <w:name w:val="toc 1"/>
    <w:basedOn w:val="Normal"/>
    <w:next w:val="Normal"/>
    <w:autoRedefine/>
    <w:uiPriority w:val="39"/>
    <w:unhideWhenUsed/>
    <w:rsid w:val="00DB30B5"/>
  </w:style>
  <w:style w:type="paragraph" w:customStyle="1" w:styleId="Style2">
    <w:name w:val="Style2"/>
    <w:basedOn w:val="Normal"/>
    <w:uiPriority w:val="99"/>
    <w:rsid w:val="002C4C88"/>
    <w:pPr>
      <w:widowControl w:val="0"/>
      <w:autoSpaceDE w:val="0"/>
      <w:autoSpaceDN w:val="0"/>
      <w:adjustRightInd w:val="0"/>
      <w:spacing w:after="0" w:line="240" w:lineRule="auto"/>
    </w:pPr>
    <w:rPr>
      <w:rFonts w:eastAsia="Times New Roman"/>
      <w:sz w:val="24"/>
      <w:szCs w:val="24"/>
    </w:rPr>
  </w:style>
  <w:style w:type="character" w:customStyle="1" w:styleId="FontStyle50">
    <w:name w:val="Font Style50"/>
    <w:uiPriority w:val="99"/>
    <w:rsid w:val="002C4C88"/>
    <w:rPr>
      <w:rFonts w:ascii="Calibri" w:hAnsi="Calibri" w:cs="Calibri"/>
      <w:color w:val="000000"/>
      <w:sz w:val="20"/>
      <w:szCs w:val="20"/>
    </w:rPr>
  </w:style>
  <w:style w:type="paragraph" w:customStyle="1" w:styleId="Style3">
    <w:name w:val="Style3"/>
    <w:basedOn w:val="Normal"/>
    <w:uiPriority w:val="99"/>
    <w:rsid w:val="00756432"/>
    <w:pPr>
      <w:widowControl w:val="0"/>
      <w:autoSpaceDE w:val="0"/>
      <w:autoSpaceDN w:val="0"/>
      <w:adjustRightInd w:val="0"/>
      <w:spacing w:after="0" w:line="240" w:lineRule="auto"/>
    </w:pPr>
    <w:rPr>
      <w:rFonts w:eastAsia="Times New Roman"/>
      <w:snapToGrid w:val="0"/>
      <w:sz w:val="24"/>
      <w:szCs w:val="24"/>
    </w:rPr>
  </w:style>
  <w:style w:type="paragraph" w:customStyle="1" w:styleId="Style4">
    <w:name w:val="Style4"/>
    <w:basedOn w:val="Normal"/>
    <w:uiPriority w:val="99"/>
    <w:rsid w:val="00756432"/>
    <w:pPr>
      <w:widowControl w:val="0"/>
      <w:autoSpaceDE w:val="0"/>
      <w:autoSpaceDN w:val="0"/>
      <w:adjustRightInd w:val="0"/>
      <w:spacing w:after="0" w:line="240" w:lineRule="auto"/>
    </w:pPr>
    <w:rPr>
      <w:rFonts w:eastAsia="Times New Roman"/>
      <w:snapToGrid w:val="0"/>
      <w:sz w:val="24"/>
      <w:szCs w:val="24"/>
    </w:rPr>
  </w:style>
  <w:style w:type="paragraph" w:customStyle="1" w:styleId="Style8">
    <w:name w:val="Style8"/>
    <w:basedOn w:val="Normal"/>
    <w:uiPriority w:val="99"/>
    <w:rsid w:val="00756432"/>
    <w:pPr>
      <w:widowControl w:val="0"/>
      <w:autoSpaceDE w:val="0"/>
      <w:autoSpaceDN w:val="0"/>
      <w:adjustRightInd w:val="0"/>
      <w:spacing w:after="0" w:line="240" w:lineRule="auto"/>
    </w:pPr>
    <w:rPr>
      <w:rFonts w:eastAsia="Times New Roman"/>
      <w:snapToGrid w:val="0"/>
      <w:sz w:val="24"/>
      <w:szCs w:val="24"/>
    </w:rPr>
  </w:style>
  <w:style w:type="paragraph" w:customStyle="1" w:styleId="Style11">
    <w:name w:val="Style11"/>
    <w:basedOn w:val="Normal"/>
    <w:uiPriority w:val="99"/>
    <w:rsid w:val="00756432"/>
    <w:pPr>
      <w:widowControl w:val="0"/>
      <w:autoSpaceDE w:val="0"/>
      <w:autoSpaceDN w:val="0"/>
      <w:adjustRightInd w:val="0"/>
      <w:spacing w:after="0" w:line="240" w:lineRule="auto"/>
    </w:pPr>
    <w:rPr>
      <w:rFonts w:eastAsia="Times New Roman"/>
      <w:snapToGrid w:val="0"/>
      <w:sz w:val="24"/>
      <w:szCs w:val="24"/>
    </w:rPr>
  </w:style>
  <w:style w:type="paragraph" w:customStyle="1" w:styleId="Style12">
    <w:name w:val="Style12"/>
    <w:basedOn w:val="Normal"/>
    <w:uiPriority w:val="99"/>
    <w:rsid w:val="00756432"/>
    <w:pPr>
      <w:widowControl w:val="0"/>
      <w:autoSpaceDE w:val="0"/>
      <w:autoSpaceDN w:val="0"/>
      <w:adjustRightInd w:val="0"/>
      <w:spacing w:after="0" w:line="240" w:lineRule="auto"/>
    </w:pPr>
    <w:rPr>
      <w:rFonts w:eastAsia="Times New Roman"/>
      <w:snapToGrid w:val="0"/>
      <w:sz w:val="24"/>
      <w:szCs w:val="24"/>
    </w:rPr>
  </w:style>
  <w:style w:type="paragraph" w:customStyle="1" w:styleId="Style13">
    <w:name w:val="Style13"/>
    <w:basedOn w:val="Normal"/>
    <w:uiPriority w:val="99"/>
    <w:rsid w:val="00756432"/>
    <w:pPr>
      <w:widowControl w:val="0"/>
      <w:autoSpaceDE w:val="0"/>
      <w:autoSpaceDN w:val="0"/>
      <w:adjustRightInd w:val="0"/>
      <w:spacing w:after="0" w:line="240" w:lineRule="auto"/>
    </w:pPr>
    <w:rPr>
      <w:rFonts w:eastAsia="Times New Roman"/>
      <w:snapToGrid w:val="0"/>
      <w:sz w:val="24"/>
      <w:szCs w:val="24"/>
    </w:rPr>
  </w:style>
  <w:style w:type="character" w:customStyle="1" w:styleId="FontStyle17">
    <w:name w:val="Font Style17"/>
    <w:uiPriority w:val="99"/>
    <w:rsid w:val="00756432"/>
    <w:rPr>
      <w:rFonts w:ascii="Calibri" w:hAnsi="Calibri" w:cs="Calibri"/>
      <w:b/>
      <w:bCs/>
      <w:color w:val="000000"/>
      <w:sz w:val="18"/>
      <w:szCs w:val="18"/>
    </w:rPr>
  </w:style>
  <w:style w:type="character" w:customStyle="1" w:styleId="FontStyle18">
    <w:name w:val="Font Style18"/>
    <w:uiPriority w:val="99"/>
    <w:rsid w:val="00756432"/>
    <w:rPr>
      <w:rFonts w:ascii="Calibri" w:hAnsi="Calibri" w:cs="Calibri"/>
      <w:b/>
      <w:bCs/>
      <w:i/>
      <w:iCs/>
      <w:color w:val="000000"/>
      <w:sz w:val="20"/>
      <w:szCs w:val="20"/>
    </w:rPr>
  </w:style>
  <w:style w:type="character" w:customStyle="1" w:styleId="FontStyle19">
    <w:name w:val="Font Style19"/>
    <w:uiPriority w:val="99"/>
    <w:rsid w:val="00756432"/>
    <w:rPr>
      <w:rFonts w:ascii="Calibri" w:hAnsi="Calibri" w:cs="Calibri"/>
      <w:b/>
      <w:bCs/>
      <w:color w:val="000000"/>
      <w:sz w:val="20"/>
      <w:szCs w:val="20"/>
    </w:rPr>
  </w:style>
  <w:style w:type="character" w:customStyle="1" w:styleId="FontStyle20">
    <w:name w:val="Font Style20"/>
    <w:uiPriority w:val="99"/>
    <w:rsid w:val="00756432"/>
    <w:rPr>
      <w:rFonts w:ascii="Calibri" w:hAnsi="Calibri" w:cs="Calibri"/>
      <w:color w:val="000000"/>
      <w:sz w:val="18"/>
      <w:szCs w:val="18"/>
    </w:rPr>
  </w:style>
  <w:style w:type="paragraph" w:customStyle="1" w:styleId="Style19">
    <w:name w:val="Style19"/>
    <w:basedOn w:val="Normal"/>
    <w:uiPriority w:val="99"/>
    <w:rsid w:val="009D5A5A"/>
    <w:pPr>
      <w:widowControl w:val="0"/>
      <w:autoSpaceDE w:val="0"/>
      <w:autoSpaceDN w:val="0"/>
      <w:adjustRightInd w:val="0"/>
      <w:spacing w:after="0" w:line="240" w:lineRule="auto"/>
    </w:pPr>
    <w:rPr>
      <w:rFonts w:eastAsia="Times New Roman"/>
      <w:snapToGrid w:val="0"/>
      <w:sz w:val="24"/>
      <w:szCs w:val="24"/>
    </w:rPr>
  </w:style>
  <w:style w:type="paragraph" w:customStyle="1" w:styleId="tvhtml">
    <w:name w:val="tv_html"/>
    <w:basedOn w:val="Normal"/>
    <w:rsid w:val="00AA1558"/>
    <w:pPr>
      <w:spacing w:before="100" w:beforeAutospacing="1" w:after="100" w:afterAutospacing="1" w:line="240" w:lineRule="auto"/>
    </w:pPr>
    <w:rPr>
      <w:rFonts w:ascii="Times New Roman" w:eastAsia="Times New Roman" w:hAnsi="Times New Roman"/>
      <w:sz w:val="24"/>
      <w:szCs w:val="24"/>
    </w:rPr>
  </w:style>
  <w:style w:type="paragraph" w:customStyle="1" w:styleId="Normal1">
    <w:name w:val="Normal1"/>
    <w:uiPriority w:val="99"/>
    <w:rsid w:val="00320CB4"/>
    <w:rPr>
      <w:rFonts w:ascii="Cambria" w:eastAsia="Cambria" w:hAnsi="Cambria" w:cs="Cambria"/>
      <w:color w:val="000000"/>
      <w:sz w:val="24"/>
    </w:rPr>
  </w:style>
  <w:style w:type="character" w:styleId="Strong">
    <w:name w:val="Strong"/>
    <w:basedOn w:val="DefaultParagraphFont"/>
    <w:uiPriority w:val="22"/>
    <w:qFormat/>
    <w:rsid w:val="00AD6516"/>
    <w:rPr>
      <w:b/>
      <w:bCs/>
    </w:rPr>
  </w:style>
  <w:style w:type="paragraph" w:customStyle="1" w:styleId="naisf">
    <w:name w:val="naisf"/>
    <w:basedOn w:val="Normal"/>
    <w:rsid w:val="000026C9"/>
    <w:pPr>
      <w:spacing w:before="75" w:after="75" w:line="240" w:lineRule="auto"/>
      <w:ind w:firstLine="375"/>
      <w:jc w:val="both"/>
    </w:pPr>
    <w:rPr>
      <w:rFonts w:ascii="Times New Roman" w:eastAsia="Times New Roman" w:hAnsi="Times New Roman"/>
      <w:sz w:val="24"/>
      <w:szCs w:val="24"/>
    </w:rPr>
  </w:style>
  <w:style w:type="paragraph" w:styleId="Subtitle">
    <w:name w:val="Subtitle"/>
    <w:basedOn w:val="Normal"/>
    <w:next w:val="Normal"/>
    <w:link w:val="SubtitleChar"/>
    <w:uiPriority w:val="11"/>
    <w:qFormat/>
    <w:rsid w:val="00012D3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12D3E"/>
    <w:rPr>
      <w:rFonts w:asciiTheme="majorHAnsi" w:eastAsiaTheme="majorEastAsia" w:hAnsiTheme="majorHAnsi" w:cstheme="majorBidi"/>
      <w:i/>
      <w:iCs/>
      <w:color w:val="4F81BD" w:themeColor="accent1"/>
      <w:spacing w:val="15"/>
      <w:sz w:val="24"/>
      <w:szCs w:val="24"/>
      <w:lang w:eastAsia="en-GB"/>
    </w:rPr>
  </w:style>
  <w:style w:type="paragraph" w:customStyle="1" w:styleId="Style18">
    <w:name w:val="Style18"/>
    <w:basedOn w:val="Normal"/>
    <w:uiPriority w:val="99"/>
    <w:rsid w:val="00B70F4A"/>
    <w:pPr>
      <w:widowControl w:val="0"/>
      <w:autoSpaceDE w:val="0"/>
      <w:autoSpaceDN w:val="0"/>
      <w:adjustRightInd w:val="0"/>
      <w:spacing w:after="0" w:line="240" w:lineRule="auto"/>
    </w:pPr>
    <w:rPr>
      <w:rFonts w:eastAsia="Times New Roman"/>
      <w:snapToGrid w:val="0"/>
      <w:sz w:val="24"/>
      <w:szCs w:val="24"/>
    </w:rPr>
  </w:style>
  <w:style w:type="character" w:customStyle="1" w:styleId="FontStyle49">
    <w:name w:val="Font Style49"/>
    <w:uiPriority w:val="99"/>
    <w:rsid w:val="00B70F4A"/>
    <w:rPr>
      <w:rFonts w:ascii="Calibri" w:hAnsi="Calibri" w:cs="Calibri"/>
      <w:b/>
      <w:bCs/>
      <w:color w:val="000000"/>
      <w:sz w:val="20"/>
      <w:szCs w:val="20"/>
    </w:rPr>
  </w:style>
  <w:style w:type="character" w:customStyle="1" w:styleId="apple-converted-space">
    <w:name w:val="apple-converted-space"/>
    <w:basedOn w:val="DefaultParagraphFont"/>
    <w:rsid w:val="00305DA9"/>
  </w:style>
  <w:style w:type="character" w:styleId="Emphasis">
    <w:name w:val="Emphasis"/>
    <w:basedOn w:val="DefaultParagraphFont"/>
    <w:uiPriority w:val="20"/>
    <w:qFormat/>
    <w:rsid w:val="00305DA9"/>
    <w:rPr>
      <w:i/>
      <w:iCs/>
    </w:rPr>
  </w:style>
  <w:style w:type="character" w:customStyle="1" w:styleId="Heading2Char">
    <w:name w:val="Heading 2 Char"/>
    <w:basedOn w:val="DefaultParagraphFont"/>
    <w:link w:val="Heading2"/>
    <w:uiPriority w:val="9"/>
    <w:rsid w:val="003C0DF0"/>
    <w:rPr>
      <w:rFonts w:ascii="Times New Roman" w:eastAsiaTheme="majorEastAsia" w:hAnsi="Times New Roman" w:cstheme="majorBidi"/>
      <w:b/>
      <w:bCs/>
      <w:noProof/>
      <w:sz w:val="26"/>
      <w:szCs w:val="26"/>
    </w:rPr>
  </w:style>
  <w:style w:type="character" w:customStyle="1" w:styleId="Heading3Char">
    <w:name w:val="Heading 3 Char"/>
    <w:basedOn w:val="DefaultParagraphFont"/>
    <w:link w:val="Heading3"/>
    <w:uiPriority w:val="9"/>
    <w:rsid w:val="00BB175A"/>
    <w:rPr>
      <w:rFonts w:ascii="Times New Roman" w:eastAsiaTheme="majorEastAsia" w:hAnsi="Times New Roman"/>
      <w:b/>
      <w:bCs/>
      <w:i/>
      <w:sz w:val="24"/>
      <w:szCs w:val="22"/>
    </w:rPr>
  </w:style>
  <w:style w:type="paragraph" w:styleId="TOC2">
    <w:name w:val="toc 2"/>
    <w:basedOn w:val="Normal"/>
    <w:next w:val="Normal"/>
    <w:autoRedefine/>
    <w:uiPriority w:val="39"/>
    <w:unhideWhenUsed/>
    <w:rsid w:val="00890093"/>
    <w:pPr>
      <w:tabs>
        <w:tab w:val="right" w:leader="dot" w:pos="9061"/>
      </w:tabs>
      <w:spacing w:afterLines="60" w:after="144" w:line="240" w:lineRule="auto"/>
      <w:ind w:firstLine="284"/>
      <w:jc w:val="both"/>
    </w:pPr>
  </w:style>
  <w:style w:type="paragraph" w:styleId="TOC3">
    <w:name w:val="toc 3"/>
    <w:basedOn w:val="Normal"/>
    <w:next w:val="Normal"/>
    <w:autoRedefine/>
    <w:uiPriority w:val="39"/>
    <w:unhideWhenUsed/>
    <w:rsid w:val="00430D4D"/>
    <w:pPr>
      <w:tabs>
        <w:tab w:val="right" w:leader="dot" w:pos="9072"/>
      </w:tabs>
      <w:spacing w:afterLines="60" w:after="144" w:line="240" w:lineRule="auto"/>
      <w:ind w:left="567"/>
      <w:jc w:val="both"/>
    </w:pPr>
  </w:style>
  <w:style w:type="character" w:customStyle="1" w:styleId="s20">
    <w:name w:val="s20"/>
    <w:rsid w:val="003E41B7"/>
  </w:style>
  <w:style w:type="character" w:customStyle="1" w:styleId="Heading4Char">
    <w:name w:val="Heading 4 Char"/>
    <w:basedOn w:val="DefaultParagraphFont"/>
    <w:link w:val="Heading4"/>
    <w:uiPriority w:val="9"/>
    <w:rsid w:val="00865D9B"/>
    <w:rPr>
      <w:rFonts w:asciiTheme="majorHAnsi" w:eastAsiaTheme="majorEastAsia" w:hAnsiTheme="majorHAnsi" w:cstheme="majorBidi"/>
      <w:i/>
      <w:iCs/>
      <w:color w:val="365F91" w:themeColor="accent1" w:themeShade="BF"/>
      <w:sz w:val="22"/>
      <w:szCs w:val="22"/>
      <w:lang w:eastAsia="en-GB"/>
    </w:rPr>
  </w:style>
  <w:style w:type="paragraph" w:customStyle="1" w:styleId="ColorfulList-Accent11">
    <w:name w:val="Colorful List - Accent 11"/>
    <w:basedOn w:val="Normal"/>
    <w:uiPriority w:val="34"/>
    <w:qFormat/>
    <w:rsid w:val="00EA3B95"/>
    <w:pPr>
      <w:spacing w:after="0" w:line="240" w:lineRule="auto"/>
      <w:ind w:left="720"/>
      <w:contextualSpacing/>
    </w:pPr>
    <w:rPr>
      <w:rFonts w:ascii="Times New Roman" w:eastAsia="Times New Roman" w:hAnsi="Times New Roman"/>
      <w:sz w:val="24"/>
      <w:szCs w:val="24"/>
    </w:rPr>
  </w:style>
  <w:style w:type="paragraph" w:customStyle="1" w:styleId="Default">
    <w:name w:val="Default"/>
    <w:rsid w:val="00642D4A"/>
    <w:pPr>
      <w:autoSpaceDE w:val="0"/>
      <w:autoSpaceDN w:val="0"/>
      <w:adjustRightInd w:val="0"/>
    </w:pPr>
    <w:rPr>
      <w:rFonts w:ascii="Times New Roman" w:hAnsi="Times New Roman"/>
      <w:color w:val="000000"/>
      <w:sz w:val="24"/>
      <w:szCs w:val="24"/>
    </w:rPr>
  </w:style>
  <w:style w:type="paragraph" w:styleId="Revision">
    <w:name w:val="Revision"/>
    <w:hidden/>
    <w:uiPriority w:val="99"/>
    <w:semiHidden/>
    <w:rsid w:val="00200CF4"/>
    <w:rPr>
      <w:sz w:val="22"/>
      <w:szCs w:val="22"/>
    </w:rPr>
  </w:style>
  <w:style w:type="character" w:customStyle="1" w:styleId="hps">
    <w:name w:val="hps"/>
    <w:basedOn w:val="DefaultParagraphFont"/>
    <w:rsid w:val="006140D4"/>
  </w:style>
  <w:style w:type="character" w:customStyle="1" w:styleId="atn">
    <w:name w:val="atn"/>
    <w:basedOn w:val="DefaultParagraphFont"/>
    <w:rsid w:val="006140D4"/>
  </w:style>
  <w:style w:type="character" w:customStyle="1" w:styleId="Heading5Char">
    <w:name w:val="Heading 5 Char"/>
    <w:basedOn w:val="DefaultParagraphFont"/>
    <w:link w:val="Heading5"/>
    <w:uiPriority w:val="9"/>
    <w:semiHidden/>
    <w:rsid w:val="007C0811"/>
    <w:rPr>
      <w:rFonts w:asciiTheme="majorHAnsi" w:eastAsiaTheme="majorEastAsia" w:hAnsiTheme="majorHAnsi" w:cstheme="majorBidi"/>
      <w:color w:val="243F60" w:themeColor="accent1" w:themeShade="7F"/>
      <w:sz w:val="22"/>
      <w:szCs w:val="22"/>
      <w:lang w:eastAsia="en-GB"/>
    </w:rPr>
  </w:style>
  <w:style w:type="character" w:customStyle="1" w:styleId="Heading6Char">
    <w:name w:val="Heading 6 Char"/>
    <w:basedOn w:val="DefaultParagraphFont"/>
    <w:link w:val="Heading6"/>
    <w:uiPriority w:val="9"/>
    <w:semiHidden/>
    <w:rsid w:val="007C0811"/>
    <w:rPr>
      <w:rFonts w:asciiTheme="majorHAnsi" w:eastAsiaTheme="majorEastAsia" w:hAnsiTheme="majorHAnsi" w:cstheme="majorBidi"/>
      <w:i/>
      <w:iCs/>
      <w:color w:val="243F60" w:themeColor="accent1" w:themeShade="7F"/>
      <w:sz w:val="22"/>
      <w:szCs w:val="22"/>
      <w:lang w:eastAsia="en-GB"/>
    </w:rPr>
  </w:style>
  <w:style w:type="character" w:customStyle="1" w:styleId="Heading7Char">
    <w:name w:val="Heading 7 Char"/>
    <w:basedOn w:val="DefaultParagraphFont"/>
    <w:link w:val="Heading7"/>
    <w:uiPriority w:val="9"/>
    <w:semiHidden/>
    <w:rsid w:val="007C0811"/>
    <w:rPr>
      <w:rFonts w:asciiTheme="majorHAnsi" w:eastAsiaTheme="majorEastAsia" w:hAnsiTheme="majorHAnsi" w:cstheme="majorBidi"/>
      <w:i/>
      <w:iCs/>
      <w:color w:val="404040" w:themeColor="text1" w:themeTint="BF"/>
      <w:sz w:val="22"/>
      <w:szCs w:val="22"/>
      <w:lang w:eastAsia="en-GB"/>
    </w:rPr>
  </w:style>
  <w:style w:type="character" w:customStyle="1" w:styleId="Heading8Char">
    <w:name w:val="Heading 8 Char"/>
    <w:basedOn w:val="DefaultParagraphFont"/>
    <w:link w:val="Heading8"/>
    <w:uiPriority w:val="9"/>
    <w:semiHidden/>
    <w:rsid w:val="007C0811"/>
    <w:rPr>
      <w:rFonts w:asciiTheme="majorHAnsi" w:eastAsiaTheme="majorEastAsia" w:hAnsiTheme="majorHAnsi" w:cstheme="majorBidi"/>
      <w:color w:val="404040" w:themeColor="text1" w:themeTint="BF"/>
      <w:lang w:eastAsia="en-GB"/>
    </w:rPr>
  </w:style>
  <w:style w:type="character" w:customStyle="1" w:styleId="Heading9Char">
    <w:name w:val="Heading 9 Char"/>
    <w:basedOn w:val="DefaultParagraphFont"/>
    <w:link w:val="Heading9"/>
    <w:uiPriority w:val="9"/>
    <w:semiHidden/>
    <w:rsid w:val="007C0811"/>
    <w:rPr>
      <w:rFonts w:asciiTheme="majorHAnsi" w:eastAsiaTheme="majorEastAsia" w:hAnsiTheme="majorHAnsi" w:cstheme="majorBidi"/>
      <w:i/>
      <w:iCs/>
      <w:color w:val="404040" w:themeColor="text1" w:themeTint="BF"/>
      <w:lang w:eastAsia="en-GB"/>
    </w:rPr>
  </w:style>
  <w:style w:type="character" w:styleId="FollowedHyperlink">
    <w:name w:val="FollowedHyperlink"/>
    <w:basedOn w:val="DefaultParagraphFont"/>
    <w:uiPriority w:val="99"/>
    <w:semiHidden/>
    <w:unhideWhenUsed/>
    <w:rsid w:val="006F2D42"/>
    <w:rPr>
      <w:color w:val="800080" w:themeColor="followedHyperlink"/>
      <w:u w:val="single"/>
    </w:rPr>
  </w:style>
  <w:style w:type="paragraph" w:customStyle="1" w:styleId="naisc">
    <w:name w:val="naisc"/>
    <w:basedOn w:val="Normal"/>
    <w:rsid w:val="00126EFB"/>
    <w:pPr>
      <w:spacing w:before="75" w:after="75" w:line="240" w:lineRule="auto"/>
      <w:jc w:val="center"/>
    </w:pPr>
    <w:rPr>
      <w:rFonts w:ascii="Times New Roman" w:eastAsia="Times New Roman" w:hAnsi="Times New Roman"/>
      <w:sz w:val="24"/>
      <w:szCs w:val="24"/>
    </w:rPr>
  </w:style>
  <w:style w:type="character" w:styleId="PageNumber">
    <w:name w:val="page number"/>
    <w:rsid w:val="003C0D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57961">
      <w:bodyDiv w:val="1"/>
      <w:marLeft w:val="0"/>
      <w:marRight w:val="0"/>
      <w:marTop w:val="0"/>
      <w:marBottom w:val="0"/>
      <w:divBdr>
        <w:top w:val="none" w:sz="0" w:space="0" w:color="auto"/>
        <w:left w:val="none" w:sz="0" w:space="0" w:color="auto"/>
        <w:bottom w:val="none" w:sz="0" w:space="0" w:color="auto"/>
        <w:right w:val="none" w:sz="0" w:space="0" w:color="auto"/>
      </w:divBdr>
    </w:div>
    <w:div w:id="67920160">
      <w:bodyDiv w:val="1"/>
      <w:marLeft w:val="0"/>
      <w:marRight w:val="0"/>
      <w:marTop w:val="0"/>
      <w:marBottom w:val="0"/>
      <w:divBdr>
        <w:top w:val="none" w:sz="0" w:space="0" w:color="auto"/>
        <w:left w:val="none" w:sz="0" w:space="0" w:color="auto"/>
        <w:bottom w:val="none" w:sz="0" w:space="0" w:color="auto"/>
        <w:right w:val="none" w:sz="0" w:space="0" w:color="auto"/>
      </w:divBdr>
    </w:div>
    <w:div w:id="73358871">
      <w:bodyDiv w:val="1"/>
      <w:marLeft w:val="0"/>
      <w:marRight w:val="0"/>
      <w:marTop w:val="0"/>
      <w:marBottom w:val="0"/>
      <w:divBdr>
        <w:top w:val="none" w:sz="0" w:space="0" w:color="auto"/>
        <w:left w:val="none" w:sz="0" w:space="0" w:color="auto"/>
        <w:bottom w:val="none" w:sz="0" w:space="0" w:color="auto"/>
        <w:right w:val="none" w:sz="0" w:space="0" w:color="auto"/>
      </w:divBdr>
      <w:divsChild>
        <w:div w:id="763262501">
          <w:marLeft w:val="547"/>
          <w:marRight w:val="0"/>
          <w:marTop w:val="0"/>
          <w:marBottom w:val="0"/>
          <w:divBdr>
            <w:top w:val="none" w:sz="0" w:space="0" w:color="auto"/>
            <w:left w:val="none" w:sz="0" w:space="0" w:color="auto"/>
            <w:bottom w:val="none" w:sz="0" w:space="0" w:color="auto"/>
            <w:right w:val="none" w:sz="0" w:space="0" w:color="auto"/>
          </w:divBdr>
        </w:div>
      </w:divsChild>
    </w:div>
    <w:div w:id="85617440">
      <w:bodyDiv w:val="1"/>
      <w:marLeft w:val="0"/>
      <w:marRight w:val="0"/>
      <w:marTop w:val="0"/>
      <w:marBottom w:val="0"/>
      <w:divBdr>
        <w:top w:val="none" w:sz="0" w:space="0" w:color="auto"/>
        <w:left w:val="none" w:sz="0" w:space="0" w:color="auto"/>
        <w:bottom w:val="none" w:sz="0" w:space="0" w:color="auto"/>
        <w:right w:val="none" w:sz="0" w:space="0" w:color="auto"/>
      </w:divBdr>
      <w:divsChild>
        <w:div w:id="1064065851">
          <w:marLeft w:val="547"/>
          <w:marRight w:val="0"/>
          <w:marTop w:val="0"/>
          <w:marBottom w:val="0"/>
          <w:divBdr>
            <w:top w:val="none" w:sz="0" w:space="0" w:color="auto"/>
            <w:left w:val="none" w:sz="0" w:space="0" w:color="auto"/>
            <w:bottom w:val="none" w:sz="0" w:space="0" w:color="auto"/>
            <w:right w:val="none" w:sz="0" w:space="0" w:color="auto"/>
          </w:divBdr>
        </w:div>
      </w:divsChild>
    </w:div>
    <w:div w:id="196940476">
      <w:bodyDiv w:val="1"/>
      <w:marLeft w:val="0"/>
      <w:marRight w:val="0"/>
      <w:marTop w:val="0"/>
      <w:marBottom w:val="0"/>
      <w:divBdr>
        <w:top w:val="none" w:sz="0" w:space="0" w:color="auto"/>
        <w:left w:val="none" w:sz="0" w:space="0" w:color="auto"/>
        <w:bottom w:val="none" w:sz="0" w:space="0" w:color="auto"/>
        <w:right w:val="none" w:sz="0" w:space="0" w:color="auto"/>
      </w:divBdr>
    </w:div>
    <w:div w:id="218640430">
      <w:bodyDiv w:val="1"/>
      <w:marLeft w:val="0"/>
      <w:marRight w:val="0"/>
      <w:marTop w:val="0"/>
      <w:marBottom w:val="0"/>
      <w:divBdr>
        <w:top w:val="none" w:sz="0" w:space="0" w:color="auto"/>
        <w:left w:val="none" w:sz="0" w:space="0" w:color="auto"/>
        <w:bottom w:val="none" w:sz="0" w:space="0" w:color="auto"/>
        <w:right w:val="none" w:sz="0" w:space="0" w:color="auto"/>
      </w:divBdr>
      <w:divsChild>
        <w:div w:id="1355764892">
          <w:marLeft w:val="547"/>
          <w:marRight w:val="0"/>
          <w:marTop w:val="0"/>
          <w:marBottom w:val="0"/>
          <w:divBdr>
            <w:top w:val="none" w:sz="0" w:space="0" w:color="auto"/>
            <w:left w:val="none" w:sz="0" w:space="0" w:color="auto"/>
            <w:bottom w:val="none" w:sz="0" w:space="0" w:color="auto"/>
            <w:right w:val="none" w:sz="0" w:space="0" w:color="auto"/>
          </w:divBdr>
        </w:div>
      </w:divsChild>
    </w:div>
    <w:div w:id="284511251">
      <w:bodyDiv w:val="1"/>
      <w:marLeft w:val="0"/>
      <w:marRight w:val="0"/>
      <w:marTop w:val="0"/>
      <w:marBottom w:val="0"/>
      <w:divBdr>
        <w:top w:val="none" w:sz="0" w:space="0" w:color="auto"/>
        <w:left w:val="none" w:sz="0" w:space="0" w:color="auto"/>
        <w:bottom w:val="none" w:sz="0" w:space="0" w:color="auto"/>
        <w:right w:val="none" w:sz="0" w:space="0" w:color="auto"/>
      </w:divBdr>
    </w:div>
    <w:div w:id="287589676">
      <w:bodyDiv w:val="1"/>
      <w:marLeft w:val="0"/>
      <w:marRight w:val="0"/>
      <w:marTop w:val="0"/>
      <w:marBottom w:val="0"/>
      <w:divBdr>
        <w:top w:val="none" w:sz="0" w:space="0" w:color="auto"/>
        <w:left w:val="none" w:sz="0" w:space="0" w:color="auto"/>
        <w:bottom w:val="none" w:sz="0" w:space="0" w:color="auto"/>
        <w:right w:val="none" w:sz="0" w:space="0" w:color="auto"/>
      </w:divBdr>
    </w:div>
    <w:div w:id="326444489">
      <w:bodyDiv w:val="1"/>
      <w:marLeft w:val="0"/>
      <w:marRight w:val="0"/>
      <w:marTop w:val="0"/>
      <w:marBottom w:val="0"/>
      <w:divBdr>
        <w:top w:val="none" w:sz="0" w:space="0" w:color="auto"/>
        <w:left w:val="none" w:sz="0" w:space="0" w:color="auto"/>
        <w:bottom w:val="none" w:sz="0" w:space="0" w:color="auto"/>
        <w:right w:val="none" w:sz="0" w:space="0" w:color="auto"/>
      </w:divBdr>
    </w:div>
    <w:div w:id="331101932">
      <w:bodyDiv w:val="1"/>
      <w:marLeft w:val="0"/>
      <w:marRight w:val="0"/>
      <w:marTop w:val="0"/>
      <w:marBottom w:val="0"/>
      <w:divBdr>
        <w:top w:val="none" w:sz="0" w:space="0" w:color="auto"/>
        <w:left w:val="none" w:sz="0" w:space="0" w:color="auto"/>
        <w:bottom w:val="none" w:sz="0" w:space="0" w:color="auto"/>
        <w:right w:val="none" w:sz="0" w:space="0" w:color="auto"/>
      </w:divBdr>
    </w:div>
    <w:div w:id="405877785">
      <w:bodyDiv w:val="1"/>
      <w:marLeft w:val="0"/>
      <w:marRight w:val="0"/>
      <w:marTop w:val="0"/>
      <w:marBottom w:val="0"/>
      <w:divBdr>
        <w:top w:val="none" w:sz="0" w:space="0" w:color="auto"/>
        <w:left w:val="none" w:sz="0" w:space="0" w:color="auto"/>
        <w:bottom w:val="none" w:sz="0" w:space="0" w:color="auto"/>
        <w:right w:val="none" w:sz="0" w:space="0" w:color="auto"/>
      </w:divBdr>
    </w:div>
    <w:div w:id="406072796">
      <w:bodyDiv w:val="1"/>
      <w:marLeft w:val="0"/>
      <w:marRight w:val="0"/>
      <w:marTop w:val="0"/>
      <w:marBottom w:val="0"/>
      <w:divBdr>
        <w:top w:val="none" w:sz="0" w:space="0" w:color="auto"/>
        <w:left w:val="none" w:sz="0" w:space="0" w:color="auto"/>
        <w:bottom w:val="none" w:sz="0" w:space="0" w:color="auto"/>
        <w:right w:val="none" w:sz="0" w:space="0" w:color="auto"/>
      </w:divBdr>
    </w:div>
    <w:div w:id="426002508">
      <w:bodyDiv w:val="1"/>
      <w:marLeft w:val="0"/>
      <w:marRight w:val="0"/>
      <w:marTop w:val="0"/>
      <w:marBottom w:val="0"/>
      <w:divBdr>
        <w:top w:val="none" w:sz="0" w:space="0" w:color="auto"/>
        <w:left w:val="none" w:sz="0" w:space="0" w:color="auto"/>
        <w:bottom w:val="none" w:sz="0" w:space="0" w:color="auto"/>
        <w:right w:val="none" w:sz="0" w:space="0" w:color="auto"/>
      </w:divBdr>
    </w:div>
    <w:div w:id="452284694">
      <w:bodyDiv w:val="1"/>
      <w:marLeft w:val="0"/>
      <w:marRight w:val="0"/>
      <w:marTop w:val="0"/>
      <w:marBottom w:val="0"/>
      <w:divBdr>
        <w:top w:val="none" w:sz="0" w:space="0" w:color="auto"/>
        <w:left w:val="none" w:sz="0" w:space="0" w:color="auto"/>
        <w:bottom w:val="none" w:sz="0" w:space="0" w:color="auto"/>
        <w:right w:val="none" w:sz="0" w:space="0" w:color="auto"/>
      </w:divBdr>
    </w:div>
    <w:div w:id="483668210">
      <w:bodyDiv w:val="1"/>
      <w:marLeft w:val="0"/>
      <w:marRight w:val="0"/>
      <w:marTop w:val="0"/>
      <w:marBottom w:val="0"/>
      <w:divBdr>
        <w:top w:val="none" w:sz="0" w:space="0" w:color="auto"/>
        <w:left w:val="none" w:sz="0" w:space="0" w:color="auto"/>
        <w:bottom w:val="none" w:sz="0" w:space="0" w:color="auto"/>
        <w:right w:val="none" w:sz="0" w:space="0" w:color="auto"/>
      </w:divBdr>
    </w:div>
    <w:div w:id="517891206">
      <w:bodyDiv w:val="1"/>
      <w:marLeft w:val="0"/>
      <w:marRight w:val="0"/>
      <w:marTop w:val="0"/>
      <w:marBottom w:val="0"/>
      <w:divBdr>
        <w:top w:val="none" w:sz="0" w:space="0" w:color="auto"/>
        <w:left w:val="none" w:sz="0" w:space="0" w:color="auto"/>
        <w:bottom w:val="none" w:sz="0" w:space="0" w:color="auto"/>
        <w:right w:val="none" w:sz="0" w:space="0" w:color="auto"/>
      </w:divBdr>
    </w:div>
    <w:div w:id="590704598">
      <w:bodyDiv w:val="1"/>
      <w:marLeft w:val="0"/>
      <w:marRight w:val="0"/>
      <w:marTop w:val="0"/>
      <w:marBottom w:val="0"/>
      <w:divBdr>
        <w:top w:val="none" w:sz="0" w:space="0" w:color="auto"/>
        <w:left w:val="none" w:sz="0" w:space="0" w:color="auto"/>
        <w:bottom w:val="none" w:sz="0" w:space="0" w:color="auto"/>
        <w:right w:val="none" w:sz="0" w:space="0" w:color="auto"/>
      </w:divBdr>
      <w:divsChild>
        <w:div w:id="1098788681">
          <w:marLeft w:val="547"/>
          <w:marRight w:val="0"/>
          <w:marTop w:val="0"/>
          <w:marBottom w:val="0"/>
          <w:divBdr>
            <w:top w:val="none" w:sz="0" w:space="0" w:color="auto"/>
            <w:left w:val="none" w:sz="0" w:space="0" w:color="auto"/>
            <w:bottom w:val="none" w:sz="0" w:space="0" w:color="auto"/>
            <w:right w:val="none" w:sz="0" w:space="0" w:color="auto"/>
          </w:divBdr>
        </w:div>
        <w:div w:id="1163159794">
          <w:marLeft w:val="547"/>
          <w:marRight w:val="0"/>
          <w:marTop w:val="0"/>
          <w:marBottom w:val="0"/>
          <w:divBdr>
            <w:top w:val="none" w:sz="0" w:space="0" w:color="auto"/>
            <w:left w:val="none" w:sz="0" w:space="0" w:color="auto"/>
            <w:bottom w:val="none" w:sz="0" w:space="0" w:color="auto"/>
            <w:right w:val="none" w:sz="0" w:space="0" w:color="auto"/>
          </w:divBdr>
        </w:div>
      </w:divsChild>
    </w:div>
    <w:div w:id="625937719">
      <w:bodyDiv w:val="1"/>
      <w:marLeft w:val="0"/>
      <w:marRight w:val="0"/>
      <w:marTop w:val="0"/>
      <w:marBottom w:val="0"/>
      <w:divBdr>
        <w:top w:val="none" w:sz="0" w:space="0" w:color="auto"/>
        <w:left w:val="none" w:sz="0" w:space="0" w:color="auto"/>
        <w:bottom w:val="none" w:sz="0" w:space="0" w:color="auto"/>
        <w:right w:val="none" w:sz="0" w:space="0" w:color="auto"/>
      </w:divBdr>
      <w:divsChild>
        <w:div w:id="1581141123">
          <w:marLeft w:val="720"/>
          <w:marRight w:val="0"/>
          <w:marTop w:val="0"/>
          <w:marBottom w:val="120"/>
          <w:divBdr>
            <w:top w:val="none" w:sz="0" w:space="0" w:color="auto"/>
            <w:left w:val="none" w:sz="0" w:space="0" w:color="auto"/>
            <w:bottom w:val="none" w:sz="0" w:space="0" w:color="auto"/>
            <w:right w:val="none" w:sz="0" w:space="0" w:color="auto"/>
          </w:divBdr>
        </w:div>
        <w:div w:id="1432555604">
          <w:marLeft w:val="720"/>
          <w:marRight w:val="0"/>
          <w:marTop w:val="0"/>
          <w:marBottom w:val="120"/>
          <w:divBdr>
            <w:top w:val="none" w:sz="0" w:space="0" w:color="auto"/>
            <w:left w:val="none" w:sz="0" w:space="0" w:color="auto"/>
            <w:bottom w:val="none" w:sz="0" w:space="0" w:color="auto"/>
            <w:right w:val="none" w:sz="0" w:space="0" w:color="auto"/>
          </w:divBdr>
        </w:div>
        <w:div w:id="872502769">
          <w:marLeft w:val="720"/>
          <w:marRight w:val="0"/>
          <w:marTop w:val="0"/>
          <w:marBottom w:val="120"/>
          <w:divBdr>
            <w:top w:val="none" w:sz="0" w:space="0" w:color="auto"/>
            <w:left w:val="none" w:sz="0" w:space="0" w:color="auto"/>
            <w:bottom w:val="none" w:sz="0" w:space="0" w:color="auto"/>
            <w:right w:val="none" w:sz="0" w:space="0" w:color="auto"/>
          </w:divBdr>
        </w:div>
        <w:div w:id="1537892870">
          <w:marLeft w:val="720"/>
          <w:marRight w:val="0"/>
          <w:marTop w:val="0"/>
          <w:marBottom w:val="120"/>
          <w:divBdr>
            <w:top w:val="none" w:sz="0" w:space="0" w:color="auto"/>
            <w:left w:val="none" w:sz="0" w:space="0" w:color="auto"/>
            <w:bottom w:val="none" w:sz="0" w:space="0" w:color="auto"/>
            <w:right w:val="none" w:sz="0" w:space="0" w:color="auto"/>
          </w:divBdr>
        </w:div>
      </w:divsChild>
    </w:div>
    <w:div w:id="629558657">
      <w:bodyDiv w:val="1"/>
      <w:marLeft w:val="0"/>
      <w:marRight w:val="0"/>
      <w:marTop w:val="0"/>
      <w:marBottom w:val="0"/>
      <w:divBdr>
        <w:top w:val="none" w:sz="0" w:space="0" w:color="auto"/>
        <w:left w:val="none" w:sz="0" w:space="0" w:color="auto"/>
        <w:bottom w:val="none" w:sz="0" w:space="0" w:color="auto"/>
        <w:right w:val="none" w:sz="0" w:space="0" w:color="auto"/>
      </w:divBdr>
    </w:div>
    <w:div w:id="646983188">
      <w:bodyDiv w:val="1"/>
      <w:marLeft w:val="0"/>
      <w:marRight w:val="0"/>
      <w:marTop w:val="0"/>
      <w:marBottom w:val="0"/>
      <w:divBdr>
        <w:top w:val="none" w:sz="0" w:space="0" w:color="auto"/>
        <w:left w:val="none" w:sz="0" w:space="0" w:color="auto"/>
        <w:bottom w:val="none" w:sz="0" w:space="0" w:color="auto"/>
        <w:right w:val="none" w:sz="0" w:space="0" w:color="auto"/>
      </w:divBdr>
      <w:divsChild>
        <w:div w:id="1705669461">
          <w:marLeft w:val="0"/>
          <w:marRight w:val="0"/>
          <w:marTop w:val="0"/>
          <w:marBottom w:val="0"/>
          <w:divBdr>
            <w:top w:val="none" w:sz="0" w:space="0" w:color="auto"/>
            <w:left w:val="none" w:sz="0" w:space="0" w:color="auto"/>
            <w:bottom w:val="none" w:sz="0" w:space="0" w:color="auto"/>
            <w:right w:val="none" w:sz="0" w:space="0" w:color="auto"/>
          </w:divBdr>
        </w:div>
      </w:divsChild>
    </w:div>
    <w:div w:id="740980832">
      <w:bodyDiv w:val="1"/>
      <w:marLeft w:val="0"/>
      <w:marRight w:val="0"/>
      <w:marTop w:val="0"/>
      <w:marBottom w:val="0"/>
      <w:divBdr>
        <w:top w:val="none" w:sz="0" w:space="0" w:color="auto"/>
        <w:left w:val="none" w:sz="0" w:space="0" w:color="auto"/>
        <w:bottom w:val="none" w:sz="0" w:space="0" w:color="auto"/>
        <w:right w:val="none" w:sz="0" w:space="0" w:color="auto"/>
      </w:divBdr>
    </w:div>
    <w:div w:id="850682174">
      <w:bodyDiv w:val="1"/>
      <w:marLeft w:val="0"/>
      <w:marRight w:val="0"/>
      <w:marTop w:val="0"/>
      <w:marBottom w:val="0"/>
      <w:divBdr>
        <w:top w:val="none" w:sz="0" w:space="0" w:color="auto"/>
        <w:left w:val="none" w:sz="0" w:space="0" w:color="auto"/>
        <w:bottom w:val="none" w:sz="0" w:space="0" w:color="auto"/>
        <w:right w:val="none" w:sz="0" w:space="0" w:color="auto"/>
      </w:divBdr>
    </w:div>
    <w:div w:id="893273252">
      <w:bodyDiv w:val="1"/>
      <w:marLeft w:val="0"/>
      <w:marRight w:val="0"/>
      <w:marTop w:val="0"/>
      <w:marBottom w:val="0"/>
      <w:divBdr>
        <w:top w:val="none" w:sz="0" w:space="0" w:color="auto"/>
        <w:left w:val="none" w:sz="0" w:space="0" w:color="auto"/>
        <w:bottom w:val="none" w:sz="0" w:space="0" w:color="auto"/>
        <w:right w:val="none" w:sz="0" w:space="0" w:color="auto"/>
      </w:divBdr>
    </w:div>
    <w:div w:id="906189220">
      <w:bodyDiv w:val="1"/>
      <w:marLeft w:val="0"/>
      <w:marRight w:val="0"/>
      <w:marTop w:val="0"/>
      <w:marBottom w:val="0"/>
      <w:divBdr>
        <w:top w:val="none" w:sz="0" w:space="0" w:color="auto"/>
        <w:left w:val="none" w:sz="0" w:space="0" w:color="auto"/>
        <w:bottom w:val="none" w:sz="0" w:space="0" w:color="auto"/>
        <w:right w:val="none" w:sz="0" w:space="0" w:color="auto"/>
      </w:divBdr>
    </w:div>
    <w:div w:id="922495932">
      <w:bodyDiv w:val="1"/>
      <w:marLeft w:val="0"/>
      <w:marRight w:val="0"/>
      <w:marTop w:val="0"/>
      <w:marBottom w:val="0"/>
      <w:divBdr>
        <w:top w:val="none" w:sz="0" w:space="0" w:color="auto"/>
        <w:left w:val="none" w:sz="0" w:space="0" w:color="auto"/>
        <w:bottom w:val="none" w:sz="0" w:space="0" w:color="auto"/>
        <w:right w:val="none" w:sz="0" w:space="0" w:color="auto"/>
      </w:divBdr>
    </w:div>
    <w:div w:id="976567067">
      <w:bodyDiv w:val="1"/>
      <w:marLeft w:val="0"/>
      <w:marRight w:val="0"/>
      <w:marTop w:val="0"/>
      <w:marBottom w:val="0"/>
      <w:divBdr>
        <w:top w:val="none" w:sz="0" w:space="0" w:color="auto"/>
        <w:left w:val="none" w:sz="0" w:space="0" w:color="auto"/>
        <w:bottom w:val="none" w:sz="0" w:space="0" w:color="auto"/>
        <w:right w:val="none" w:sz="0" w:space="0" w:color="auto"/>
      </w:divBdr>
      <w:divsChild>
        <w:div w:id="1392657730">
          <w:marLeft w:val="274"/>
          <w:marRight w:val="0"/>
          <w:marTop w:val="0"/>
          <w:marBottom w:val="0"/>
          <w:divBdr>
            <w:top w:val="none" w:sz="0" w:space="0" w:color="auto"/>
            <w:left w:val="none" w:sz="0" w:space="0" w:color="auto"/>
            <w:bottom w:val="none" w:sz="0" w:space="0" w:color="auto"/>
            <w:right w:val="none" w:sz="0" w:space="0" w:color="auto"/>
          </w:divBdr>
        </w:div>
        <w:div w:id="1364793265">
          <w:marLeft w:val="446"/>
          <w:marRight w:val="0"/>
          <w:marTop w:val="0"/>
          <w:marBottom w:val="0"/>
          <w:divBdr>
            <w:top w:val="none" w:sz="0" w:space="0" w:color="auto"/>
            <w:left w:val="none" w:sz="0" w:space="0" w:color="auto"/>
            <w:bottom w:val="none" w:sz="0" w:space="0" w:color="auto"/>
            <w:right w:val="none" w:sz="0" w:space="0" w:color="auto"/>
          </w:divBdr>
        </w:div>
        <w:div w:id="170418628">
          <w:marLeft w:val="418"/>
          <w:marRight w:val="0"/>
          <w:marTop w:val="0"/>
          <w:marBottom w:val="0"/>
          <w:divBdr>
            <w:top w:val="none" w:sz="0" w:space="0" w:color="auto"/>
            <w:left w:val="none" w:sz="0" w:space="0" w:color="auto"/>
            <w:bottom w:val="none" w:sz="0" w:space="0" w:color="auto"/>
            <w:right w:val="none" w:sz="0" w:space="0" w:color="auto"/>
          </w:divBdr>
        </w:div>
      </w:divsChild>
    </w:div>
    <w:div w:id="980890169">
      <w:bodyDiv w:val="1"/>
      <w:marLeft w:val="0"/>
      <w:marRight w:val="0"/>
      <w:marTop w:val="0"/>
      <w:marBottom w:val="0"/>
      <w:divBdr>
        <w:top w:val="none" w:sz="0" w:space="0" w:color="auto"/>
        <w:left w:val="none" w:sz="0" w:space="0" w:color="auto"/>
        <w:bottom w:val="none" w:sz="0" w:space="0" w:color="auto"/>
        <w:right w:val="none" w:sz="0" w:space="0" w:color="auto"/>
      </w:divBdr>
      <w:divsChild>
        <w:div w:id="1486166953">
          <w:marLeft w:val="547"/>
          <w:marRight w:val="0"/>
          <w:marTop w:val="0"/>
          <w:marBottom w:val="0"/>
          <w:divBdr>
            <w:top w:val="none" w:sz="0" w:space="0" w:color="auto"/>
            <w:left w:val="none" w:sz="0" w:space="0" w:color="auto"/>
            <w:bottom w:val="none" w:sz="0" w:space="0" w:color="auto"/>
            <w:right w:val="none" w:sz="0" w:space="0" w:color="auto"/>
          </w:divBdr>
        </w:div>
      </w:divsChild>
    </w:div>
    <w:div w:id="997001405">
      <w:bodyDiv w:val="1"/>
      <w:marLeft w:val="0"/>
      <w:marRight w:val="0"/>
      <w:marTop w:val="0"/>
      <w:marBottom w:val="0"/>
      <w:divBdr>
        <w:top w:val="none" w:sz="0" w:space="0" w:color="auto"/>
        <w:left w:val="none" w:sz="0" w:space="0" w:color="auto"/>
        <w:bottom w:val="none" w:sz="0" w:space="0" w:color="auto"/>
        <w:right w:val="none" w:sz="0" w:space="0" w:color="auto"/>
      </w:divBdr>
    </w:div>
    <w:div w:id="1001666980">
      <w:bodyDiv w:val="1"/>
      <w:marLeft w:val="0"/>
      <w:marRight w:val="0"/>
      <w:marTop w:val="0"/>
      <w:marBottom w:val="0"/>
      <w:divBdr>
        <w:top w:val="none" w:sz="0" w:space="0" w:color="auto"/>
        <w:left w:val="none" w:sz="0" w:space="0" w:color="auto"/>
        <w:bottom w:val="none" w:sz="0" w:space="0" w:color="auto"/>
        <w:right w:val="none" w:sz="0" w:space="0" w:color="auto"/>
      </w:divBdr>
    </w:div>
    <w:div w:id="1012949438">
      <w:bodyDiv w:val="1"/>
      <w:marLeft w:val="0"/>
      <w:marRight w:val="0"/>
      <w:marTop w:val="0"/>
      <w:marBottom w:val="0"/>
      <w:divBdr>
        <w:top w:val="none" w:sz="0" w:space="0" w:color="auto"/>
        <w:left w:val="none" w:sz="0" w:space="0" w:color="auto"/>
        <w:bottom w:val="none" w:sz="0" w:space="0" w:color="auto"/>
        <w:right w:val="none" w:sz="0" w:space="0" w:color="auto"/>
      </w:divBdr>
    </w:div>
    <w:div w:id="1015882646">
      <w:bodyDiv w:val="1"/>
      <w:marLeft w:val="0"/>
      <w:marRight w:val="0"/>
      <w:marTop w:val="0"/>
      <w:marBottom w:val="0"/>
      <w:divBdr>
        <w:top w:val="none" w:sz="0" w:space="0" w:color="auto"/>
        <w:left w:val="none" w:sz="0" w:space="0" w:color="auto"/>
        <w:bottom w:val="none" w:sz="0" w:space="0" w:color="auto"/>
        <w:right w:val="none" w:sz="0" w:space="0" w:color="auto"/>
      </w:divBdr>
    </w:div>
    <w:div w:id="1058436528">
      <w:bodyDiv w:val="1"/>
      <w:marLeft w:val="0"/>
      <w:marRight w:val="0"/>
      <w:marTop w:val="0"/>
      <w:marBottom w:val="0"/>
      <w:divBdr>
        <w:top w:val="none" w:sz="0" w:space="0" w:color="auto"/>
        <w:left w:val="none" w:sz="0" w:space="0" w:color="auto"/>
        <w:bottom w:val="none" w:sz="0" w:space="0" w:color="auto"/>
        <w:right w:val="none" w:sz="0" w:space="0" w:color="auto"/>
      </w:divBdr>
      <w:divsChild>
        <w:div w:id="1554654119">
          <w:marLeft w:val="547"/>
          <w:marRight w:val="0"/>
          <w:marTop w:val="0"/>
          <w:marBottom w:val="0"/>
          <w:divBdr>
            <w:top w:val="none" w:sz="0" w:space="0" w:color="auto"/>
            <w:left w:val="none" w:sz="0" w:space="0" w:color="auto"/>
            <w:bottom w:val="none" w:sz="0" w:space="0" w:color="auto"/>
            <w:right w:val="none" w:sz="0" w:space="0" w:color="auto"/>
          </w:divBdr>
        </w:div>
      </w:divsChild>
    </w:div>
    <w:div w:id="1060251997">
      <w:bodyDiv w:val="1"/>
      <w:marLeft w:val="0"/>
      <w:marRight w:val="0"/>
      <w:marTop w:val="0"/>
      <w:marBottom w:val="0"/>
      <w:divBdr>
        <w:top w:val="none" w:sz="0" w:space="0" w:color="auto"/>
        <w:left w:val="none" w:sz="0" w:space="0" w:color="auto"/>
        <w:bottom w:val="none" w:sz="0" w:space="0" w:color="auto"/>
        <w:right w:val="none" w:sz="0" w:space="0" w:color="auto"/>
      </w:divBdr>
    </w:div>
    <w:div w:id="1061518946">
      <w:bodyDiv w:val="1"/>
      <w:marLeft w:val="0"/>
      <w:marRight w:val="0"/>
      <w:marTop w:val="0"/>
      <w:marBottom w:val="0"/>
      <w:divBdr>
        <w:top w:val="none" w:sz="0" w:space="0" w:color="auto"/>
        <w:left w:val="none" w:sz="0" w:space="0" w:color="auto"/>
        <w:bottom w:val="none" w:sz="0" w:space="0" w:color="auto"/>
        <w:right w:val="none" w:sz="0" w:space="0" w:color="auto"/>
      </w:divBdr>
      <w:divsChild>
        <w:div w:id="625628061">
          <w:marLeft w:val="547"/>
          <w:marRight w:val="0"/>
          <w:marTop w:val="0"/>
          <w:marBottom w:val="0"/>
          <w:divBdr>
            <w:top w:val="none" w:sz="0" w:space="0" w:color="auto"/>
            <w:left w:val="none" w:sz="0" w:space="0" w:color="auto"/>
            <w:bottom w:val="none" w:sz="0" w:space="0" w:color="auto"/>
            <w:right w:val="none" w:sz="0" w:space="0" w:color="auto"/>
          </w:divBdr>
        </w:div>
      </w:divsChild>
    </w:div>
    <w:div w:id="1085764667">
      <w:bodyDiv w:val="1"/>
      <w:marLeft w:val="0"/>
      <w:marRight w:val="0"/>
      <w:marTop w:val="0"/>
      <w:marBottom w:val="0"/>
      <w:divBdr>
        <w:top w:val="none" w:sz="0" w:space="0" w:color="auto"/>
        <w:left w:val="none" w:sz="0" w:space="0" w:color="auto"/>
        <w:bottom w:val="none" w:sz="0" w:space="0" w:color="auto"/>
        <w:right w:val="none" w:sz="0" w:space="0" w:color="auto"/>
      </w:divBdr>
      <w:divsChild>
        <w:div w:id="447891506">
          <w:marLeft w:val="0"/>
          <w:marRight w:val="0"/>
          <w:marTop w:val="0"/>
          <w:marBottom w:val="0"/>
          <w:divBdr>
            <w:top w:val="none" w:sz="0" w:space="0" w:color="auto"/>
            <w:left w:val="none" w:sz="0" w:space="0" w:color="auto"/>
            <w:bottom w:val="none" w:sz="0" w:space="0" w:color="auto"/>
            <w:right w:val="none" w:sz="0" w:space="0" w:color="auto"/>
          </w:divBdr>
        </w:div>
        <w:div w:id="1041394475">
          <w:marLeft w:val="0"/>
          <w:marRight w:val="0"/>
          <w:marTop w:val="0"/>
          <w:marBottom w:val="0"/>
          <w:divBdr>
            <w:top w:val="none" w:sz="0" w:space="0" w:color="auto"/>
            <w:left w:val="none" w:sz="0" w:space="0" w:color="auto"/>
            <w:bottom w:val="none" w:sz="0" w:space="0" w:color="auto"/>
            <w:right w:val="none" w:sz="0" w:space="0" w:color="auto"/>
          </w:divBdr>
        </w:div>
        <w:div w:id="1953315451">
          <w:marLeft w:val="0"/>
          <w:marRight w:val="0"/>
          <w:marTop w:val="0"/>
          <w:marBottom w:val="0"/>
          <w:divBdr>
            <w:top w:val="none" w:sz="0" w:space="0" w:color="auto"/>
            <w:left w:val="none" w:sz="0" w:space="0" w:color="auto"/>
            <w:bottom w:val="none" w:sz="0" w:space="0" w:color="auto"/>
            <w:right w:val="none" w:sz="0" w:space="0" w:color="auto"/>
          </w:divBdr>
        </w:div>
        <w:div w:id="436682006">
          <w:marLeft w:val="0"/>
          <w:marRight w:val="0"/>
          <w:marTop w:val="0"/>
          <w:marBottom w:val="0"/>
          <w:divBdr>
            <w:top w:val="none" w:sz="0" w:space="0" w:color="auto"/>
            <w:left w:val="none" w:sz="0" w:space="0" w:color="auto"/>
            <w:bottom w:val="none" w:sz="0" w:space="0" w:color="auto"/>
            <w:right w:val="none" w:sz="0" w:space="0" w:color="auto"/>
          </w:divBdr>
        </w:div>
        <w:div w:id="446774185">
          <w:marLeft w:val="0"/>
          <w:marRight w:val="0"/>
          <w:marTop w:val="0"/>
          <w:marBottom w:val="0"/>
          <w:divBdr>
            <w:top w:val="none" w:sz="0" w:space="0" w:color="auto"/>
            <w:left w:val="none" w:sz="0" w:space="0" w:color="auto"/>
            <w:bottom w:val="none" w:sz="0" w:space="0" w:color="auto"/>
            <w:right w:val="none" w:sz="0" w:space="0" w:color="auto"/>
          </w:divBdr>
        </w:div>
        <w:div w:id="1748066921">
          <w:marLeft w:val="0"/>
          <w:marRight w:val="0"/>
          <w:marTop w:val="0"/>
          <w:marBottom w:val="0"/>
          <w:divBdr>
            <w:top w:val="none" w:sz="0" w:space="0" w:color="auto"/>
            <w:left w:val="none" w:sz="0" w:space="0" w:color="auto"/>
            <w:bottom w:val="none" w:sz="0" w:space="0" w:color="auto"/>
            <w:right w:val="none" w:sz="0" w:space="0" w:color="auto"/>
          </w:divBdr>
        </w:div>
        <w:div w:id="1976253592">
          <w:marLeft w:val="0"/>
          <w:marRight w:val="0"/>
          <w:marTop w:val="0"/>
          <w:marBottom w:val="0"/>
          <w:divBdr>
            <w:top w:val="none" w:sz="0" w:space="0" w:color="auto"/>
            <w:left w:val="none" w:sz="0" w:space="0" w:color="auto"/>
            <w:bottom w:val="none" w:sz="0" w:space="0" w:color="auto"/>
            <w:right w:val="none" w:sz="0" w:space="0" w:color="auto"/>
          </w:divBdr>
        </w:div>
        <w:div w:id="770471489">
          <w:marLeft w:val="0"/>
          <w:marRight w:val="0"/>
          <w:marTop w:val="0"/>
          <w:marBottom w:val="0"/>
          <w:divBdr>
            <w:top w:val="none" w:sz="0" w:space="0" w:color="auto"/>
            <w:left w:val="none" w:sz="0" w:space="0" w:color="auto"/>
            <w:bottom w:val="none" w:sz="0" w:space="0" w:color="auto"/>
            <w:right w:val="none" w:sz="0" w:space="0" w:color="auto"/>
          </w:divBdr>
        </w:div>
        <w:div w:id="1293947619">
          <w:marLeft w:val="0"/>
          <w:marRight w:val="0"/>
          <w:marTop w:val="0"/>
          <w:marBottom w:val="0"/>
          <w:divBdr>
            <w:top w:val="none" w:sz="0" w:space="0" w:color="auto"/>
            <w:left w:val="none" w:sz="0" w:space="0" w:color="auto"/>
            <w:bottom w:val="none" w:sz="0" w:space="0" w:color="auto"/>
            <w:right w:val="none" w:sz="0" w:space="0" w:color="auto"/>
          </w:divBdr>
        </w:div>
        <w:div w:id="430127906">
          <w:marLeft w:val="0"/>
          <w:marRight w:val="0"/>
          <w:marTop w:val="0"/>
          <w:marBottom w:val="0"/>
          <w:divBdr>
            <w:top w:val="none" w:sz="0" w:space="0" w:color="auto"/>
            <w:left w:val="none" w:sz="0" w:space="0" w:color="auto"/>
            <w:bottom w:val="none" w:sz="0" w:space="0" w:color="auto"/>
            <w:right w:val="none" w:sz="0" w:space="0" w:color="auto"/>
          </w:divBdr>
        </w:div>
        <w:div w:id="779882660">
          <w:marLeft w:val="0"/>
          <w:marRight w:val="0"/>
          <w:marTop w:val="0"/>
          <w:marBottom w:val="0"/>
          <w:divBdr>
            <w:top w:val="none" w:sz="0" w:space="0" w:color="auto"/>
            <w:left w:val="none" w:sz="0" w:space="0" w:color="auto"/>
            <w:bottom w:val="none" w:sz="0" w:space="0" w:color="auto"/>
            <w:right w:val="none" w:sz="0" w:space="0" w:color="auto"/>
          </w:divBdr>
        </w:div>
        <w:div w:id="2008752963">
          <w:marLeft w:val="0"/>
          <w:marRight w:val="0"/>
          <w:marTop w:val="0"/>
          <w:marBottom w:val="0"/>
          <w:divBdr>
            <w:top w:val="none" w:sz="0" w:space="0" w:color="auto"/>
            <w:left w:val="none" w:sz="0" w:space="0" w:color="auto"/>
            <w:bottom w:val="none" w:sz="0" w:space="0" w:color="auto"/>
            <w:right w:val="none" w:sz="0" w:space="0" w:color="auto"/>
          </w:divBdr>
        </w:div>
        <w:div w:id="1478451534">
          <w:marLeft w:val="0"/>
          <w:marRight w:val="0"/>
          <w:marTop w:val="0"/>
          <w:marBottom w:val="0"/>
          <w:divBdr>
            <w:top w:val="none" w:sz="0" w:space="0" w:color="auto"/>
            <w:left w:val="none" w:sz="0" w:space="0" w:color="auto"/>
            <w:bottom w:val="none" w:sz="0" w:space="0" w:color="auto"/>
            <w:right w:val="none" w:sz="0" w:space="0" w:color="auto"/>
          </w:divBdr>
        </w:div>
        <w:div w:id="321852201">
          <w:marLeft w:val="0"/>
          <w:marRight w:val="0"/>
          <w:marTop w:val="0"/>
          <w:marBottom w:val="0"/>
          <w:divBdr>
            <w:top w:val="none" w:sz="0" w:space="0" w:color="auto"/>
            <w:left w:val="none" w:sz="0" w:space="0" w:color="auto"/>
            <w:bottom w:val="none" w:sz="0" w:space="0" w:color="auto"/>
            <w:right w:val="none" w:sz="0" w:space="0" w:color="auto"/>
          </w:divBdr>
        </w:div>
        <w:div w:id="293215113">
          <w:marLeft w:val="0"/>
          <w:marRight w:val="0"/>
          <w:marTop w:val="0"/>
          <w:marBottom w:val="0"/>
          <w:divBdr>
            <w:top w:val="none" w:sz="0" w:space="0" w:color="auto"/>
            <w:left w:val="none" w:sz="0" w:space="0" w:color="auto"/>
            <w:bottom w:val="none" w:sz="0" w:space="0" w:color="auto"/>
            <w:right w:val="none" w:sz="0" w:space="0" w:color="auto"/>
          </w:divBdr>
        </w:div>
        <w:div w:id="1704134895">
          <w:marLeft w:val="0"/>
          <w:marRight w:val="0"/>
          <w:marTop w:val="0"/>
          <w:marBottom w:val="0"/>
          <w:divBdr>
            <w:top w:val="none" w:sz="0" w:space="0" w:color="auto"/>
            <w:left w:val="none" w:sz="0" w:space="0" w:color="auto"/>
            <w:bottom w:val="none" w:sz="0" w:space="0" w:color="auto"/>
            <w:right w:val="none" w:sz="0" w:space="0" w:color="auto"/>
          </w:divBdr>
        </w:div>
        <w:div w:id="1054544515">
          <w:marLeft w:val="0"/>
          <w:marRight w:val="0"/>
          <w:marTop w:val="0"/>
          <w:marBottom w:val="0"/>
          <w:divBdr>
            <w:top w:val="none" w:sz="0" w:space="0" w:color="auto"/>
            <w:left w:val="none" w:sz="0" w:space="0" w:color="auto"/>
            <w:bottom w:val="none" w:sz="0" w:space="0" w:color="auto"/>
            <w:right w:val="none" w:sz="0" w:space="0" w:color="auto"/>
          </w:divBdr>
        </w:div>
        <w:div w:id="1029575135">
          <w:marLeft w:val="0"/>
          <w:marRight w:val="0"/>
          <w:marTop w:val="0"/>
          <w:marBottom w:val="0"/>
          <w:divBdr>
            <w:top w:val="none" w:sz="0" w:space="0" w:color="auto"/>
            <w:left w:val="none" w:sz="0" w:space="0" w:color="auto"/>
            <w:bottom w:val="none" w:sz="0" w:space="0" w:color="auto"/>
            <w:right w:val="none" w:sz="0" w:space="0" w:color="auto"/>
          </w:divBdr>
        </w:div>
        <w:div w:id="451873652">
          <w:marLeft w:val="0"/>
          <w:marRight w:val="0"/>
          <w:marTop w:val="0"/>
          <w:marBottom w:val="0"/>
          <w:divBdr>
            <w:top w:val="none" w:sz="0" w:space="0" w:color="auto"/>
            <w:left w:val="none" w:sz="0" w:space="0" w:color="auto"/>
            <w:bottom w:val="none" w:sz="0" w:space="0" w:color="auto"/>
            <w:right w:val="none" w:sz="0" w:space="0" w:color="auto"/>
          </w:divBdr>
        </w:div>
        <w:div w:id="1784499002">
          <w:marLeft w:val="0"/>
          <w:marRight w:val="0"/>
          <w:marTop w:val="0"/>
          <w:marBottom w:val="0"/>
          <w:divBdr>
            <w:top w:val="none" w:sz="0" w:space="0" w:color="auto"/>
            <w:left w:val="none" w:sz="0" w:space="0" w:color="auto"/>
            <w:bottom w:val="none" w:sz="0" w:space="0" w:color="auto"/>
            <w:right w:val="none" w:sz="0" w:space="0" w:color="auto"/>
          </w:divBdr>
        </w:div>
        <w:div w:id="507333822">
          <w:marLeft w:val="0"/>
          <w:marRight w:val="0"/>
          <w:marTop w:val="0"/>
          <w:marBottom w:val="0"/>
          <w:divBdr>
            <w:top w:val="none" w:sz="0" w:space="0" w:color="auto"/>
            <w:left w:val="none" w:sz="0" w:space="0" w:color="auto"/>
            <w:bottom w:val="none" w:sz="0" w:space="0" w:color="auto"/>
            <w:right w:val="none" w:sz="0" w:space="0" w:color="auto"/>
          </w:divBdr>
        </w:div>
        <w:div w:id="686366822">
          <w:marLeft w:val="0"/>
          <w:marRight w:val="0"/>
          <w:marTop w:val="0"/>
          <w:marBottom w:val="0"/>
          <w:divBdr>
            <w:top w:val="none" w:sz="0" w:space="0" w:color="auto"/>
            <w:left w:val="none" w:sz="0" w:space="0" w:color="auto"/>
            <w:bottom w:val="none" w:sz="0" w:space="0" w:color="auto"/>
            <w:right w:val="none" w:sz="0" w:space="0" w:color="auto"/>
          </w:divBdr>
        </w:div>
        <w:div w:id="66810579">
          <w:marLeft w:val="0"/>
          <w:marRight w:val="0"/>
          <w:marTop w:val="0"/>
          <w:marBottom w:val="0"/>
          <w:divBdr>
            <w:top w:val="none" w:sz="0" w:space="0" w:color="auto"/>
            <w:left w:val="none" w:sz="0" w:space="0" w:color="auto"/>
            <w:bottom w:val="none" w:sz="0" w:space="0" w:color="auto"/>
            <w:right w:val="none" w:sz="0" w:space="0" w:color="auto"/>
          </w:divBdr>
        </w:div>
        <w:div w:id="1077437020">
          <w:marLeft w:val="0"/>
          <w:marRight w:val="0"/>
          <w:marTop w:val="0"/>
          <w:marBottom w:val="0"/>
          <w:divBdr>
            <w:top w:val="none" w:sz="0" w:space="0" w:color="auto"/>
            <w:left w:val="none" w:sz="0" w:space="0" w:color="auto"/>
            <w:bottom w:val="none" w:sz="0" w:space="0" w:color="auto"/>
            <w:right w:val="none" w:sz="0" w:space="0" w:color="auto"/>
          </w:divBdr>
        </w:div>
        <w:div w:id="311720965">
          <w:marLeft w:val="0"/>
          <w:marRight w:val="0"/>
          <w:marTop w:val="0"/>
          <w:marBottom w:val="0"/>
          <w:divBdr>
            <w:top w:val="none" w:sz="0" w:space="0" w:color="auto"/>
            <w:left w:val="none" w:sz="0" w:space="0" w:color="auto"/>
            <w:bottom w:val="none" w:sz="0" w:space="0" w:color="auto"/>
            <w:right w:val="none" w:sz="0" w:space="0" w:color="auto"/>
          </w:divBdr>
        </w:div>
        <w:div w:id="2006473004">
          <w:marLeft w:val="0"/>
          <w:marRight w:val="0"/>
          <w:marTop w:val="0"/>
          <w:marBottom w:val="0"/>
          <w:divBdr>
            <w:top w:val="none" w:sz="0" w:space="0" w:color="auto"/>
            <w:left w:val="none" w:sz="0" w:space="0" w:color="auto"/>
            <w:bottom w:val="none" w:sz="0" w:space="0" w:color="auto"/>
            <w:right w:val="none" w:sz="0" w:space="0" w:color="auto"/>
          </w:divBdr>
        </w:div>
        <w:div w:id="348070164">
          <w:marLeft w:val="0"/>
          <w:marRight w:val="0"/>
          <w:marTop w:val="0"/>
          <w:marBottom w:val="0"/>
          <w:divBdr>
            <w:top w:val="none" w:sz="0" w:space="0" w:color="auto"/>
            <w:left w:val="none" w:sz="0" w:space="0" w:color="auto"/>
            <w:bottom w:val="none" w:sz="0" w:space="0" w:color="auto"/>
            <w:right w:val="none" w:sz="0" w:space="0" w:color="auto"/>
          </w:divBdr>
        </w:div>
        <w:div w:id="497766570">
          <w:marLeft w:val="0"/>
          <w:marRight w:val="0"/>
          <w:marTop w:val="0"/>
          <w:marBottom w:val="0"/>
          <w:divBdr>
            <w:top w:val="none" w:sz="0" w:space="0" w:color="auto"/>
            <w:left w:val="none" w:sz="0" w:space="0" w:color="auto"/>
            <w:bottom w:val="none" w:sz="0" w:space="0" w:color="auto"/>
            <w:right w:val="none" w:sz="0" w:space="0" w:color="auto"/>
          </w:divBdr>
        </w:div>
        <w:div w:id="509686359">
          <w:marLeft w:val="0"/>
          <w:marRight w:val="0"/>
          <w:marTop w:val="0"/>
          <w:marBottom w:val="0"/>
          <w:divBdr>
            <w:top w:val="none" w:sz="0" w:space="0" w:color="auto"/>
            <w:left w:val="none" w:sz="0" w:space="0" w:color="auto"/>
            <w:bottom w:val="none" w:sz="0" w:space="0" w:color="auto"/>
            <w:right w:val="none" w:sz="0" w:space="0" w:color="auto"/>
          </w:divBdr>
        </w:div>
        <w:div w:id="1190411853">
          <w:marLeft w:val="0"/>
          <w:marRight w:val="0"/>
          <w:marTop w:val="0"/>
          <w:marBottom w:val="0"/>
          <w:divBdr>
            <w:top w:val="none" w:sz="0" w:space="0" w:color="auto"/>
            <w:left w:val="none" w:sz="0" w:space="0" w:color="auto"/>
            <w:bottom w:val="none" w:sz="0" w:space="0" w:color="auto"/>
            <w:right w:val="none" w:sz="0" w:space="0" w:color="auto"/>
          </w:divBdr>
        </w:div>
        <w:div w:id="965357646">
          <w:marLeft w:val="0"/>
          <w:marRight w:val="0"/>
          <w:marTop w:val="0"/>
          <w:marBottom w:val="0"/>
          <w:divBdr>
            <w:top w:val="none" w:sz="0" w:space="0" w:color="auto"/>
            <w:left w:val="none" w:sz="0" w:space="0" w:color="auto"/>
            <w:bottom w:val="none" w:sz="0" w:space="0" w:color="auto"/>
            <w:right w:val="none" w:sz="0" w:space="0" w:color="auto"/>
          </w:divBdr>
        </w:div>
        <w:div w:id="1034430053">
          <w:marLeft w:val="0"/>
          <w:marRight w:val="0"/>
          <w:marTop w:val="0"/>
          <w:marBottom w:val="0"/>
          <w:divBdr>
            <w:top w:val="none" w:sz="0" w:space="0" w:color="auto"/>
            <w:left w:val="none" w:sz="0" w:space="0" w:color="auto"/>
            <w:bottom w:val="none" w:sz="0" w:space="0" w:color="auto"/>
            <w:right w:val="none" w:sz="0" w:space="0" w:color="auto"/>
          </w:divBdr>
        </w:div>
        <w:div w:id="2126269986">
          <w:marLeft w:val="0"/>
          <w:marRight w:val="0"/>
          <w:marTop w:val="0"/>
          <w:marBottom w:val="0"/>
          <w:divBdr>
            <w:top w:val="none" w:sz="0" w:space="0" w:color="auto"/>
            <w:left w:val="none" w:sz="0" w:space="0" w:color="auto"/>
            <w:bottom w:val="none" w:sz="0" w:space="0" w:color="auto"/>
            <w:right w:val="none" w:sz="0" w:space="0" w:color="auto"/>
          </w:divBdr>
        </w:div>
        <w:div w:id="326707681">
          <w:marLeft w:val="0"/>
          <w:marRight w:val="0"/>
          <w:marTop w:val="0"/>
          <w:marBottom w:val="0"/>
          <w:divBdr>
            <w:top w:val="none" w:sz="0" w:space="0" w:color="auto"/>
            <w:left w:val="none" w:sz="0" w:space="0" w:color="auto"/>
            <w:bottom w:val="none" w:sz="0" w:space="0" w:color="auto"/>
            <w:right w:val="none" w:sz="0" w:space="0" w:color="auto"/>
          </w:divBdr>
        </w:div>
      </w:divsChild>
    </w:div>
    <w:div w:id="1093354148">
      <w:bodyDiv w:val="1"/>
      <w:marLeft w:val="0"/>
      <w:marRight w:val="0"/>
      <w:marTop w:val="0"/>
      <w:marBottom w:val="0"/>
      <w:divBdr>
        <w:top w:val="none" w:sz="0" w:space="0" w:color="auto"/>
        <w:left w:val="none" w:sz="0" w:space="0" w:color="auto"/>
        <w:bottom w:val="none" w:sz="0" w:space="0" w:color="auto"/>
        <w:right w:val="none" w:sz="0" w:space="0" w:color="auto"/>
      </w:divBdr>
    </w:div>
    <w:div w:id="1115632759">
      <w:bodyDiv w:val="1"/>
      <w:marLeft w:val="0"/>
      <w:marRight w:val="0"/>
      <w:marTop w:val="0"/>
      <w:marBottom w:val="0"/>
      <w:divBdr>
        <w:top w:val="none" w:sz="0" w:space="0" w:color="auto"/>
        <w:left w:val="none" w:sz="0" w:space="0" w:color="auto"/>
        <w:bottom w:val="none" w:sz="0" w:space="0" w:color="auto"/>
        <w:right w:val="none" w:sz="0" w:space="0" w:color="auto"/>
      </w:divBdr>
    </w:div>
    <w:div w:id="1130051690">
      <w:bodyDiv w:val="1"/>
      <w:marLeft w:val="0"/>
      <w:marRight w:val="0"/>
      <w:marTop w:val="0"/>
      <w:marBottom w:val="0"/>
      <w:divBdr>
        <w:top w:val="none" w:sz="0" w:space="0" w:color="auto"/>
        <w:left w:val="none" w:sz="0" w:space="0" w:color="auto"/>
        <w:bottom w:val="none" w:sz="0" w:space="0" w:color="auto"/>
        <w:right w:val="none" w:sz="0" w:space="0" w:color="auto"/>
      </w:divBdr>
    </w:div>
    <w:div w:id="1178731602">
      <w:bodyDiv w:val="1"/>
      <w:marLeft w:val="0"/>
      <w:marRight w:val="0"/>
      <w:marTop w:val="0"/>
      <w:marBottom w:val="0"/>
      <w:divBdr>
        <w:top w:val="none" w:sz="0" w:space="0" w:color="auto"/>
        <w:left w:val="none" w:sz="0" w:space="0" w:color="auto"/>
        <w:bottom w:val="none" w:sz="0" w:space="0" w:color="auto"/>
        <w:right w:val="none" w:sz="0" w:space="0" w:color="auto"/>
      </w:divBdr>
    </w:div>
    <w:div w:id="1197963247">
      <w:bodyDiv w:val="1"/>
      <w:marLeft w:val="0"/>
      <w:marRight w:val="0"/>
      <w:marTop w:val="0"/>
      <w:marBottom w:val="0"/>
      <w:divBdr>
        <w:top w:val="none" w:sz="0" w:space="0" w:color="auto"/>
        <w:left w:val="none" w:sz="0" w:space="0" w:color="auto"/>
        <w:bottom w:val="none" w:sz="0" w:space="0" w:color="auto"/>
        <w:right w:val="none" w:sz="0" w:space="0" w:color="auto"/>
      </w:divBdr>
    </w:div>
    <w:div w:id="1261838068">
      <w:bodyDiv w:val="1"/>
      <w:marLeft w:val="0"/>
      <w:marRight w:val="0"/>
      <w:marTop w:val="0"/>
      <w:marBottom w:val="0"/>
      <w:divBdr>
        <w:top w:val="none" w:sz="0" w:space="0" w:color="auto"/>
        <w:left w:val="none" w:sz="0" w:space="0" w:color="auto"/>
        <w:bottom w:val="none" w:sz="0" w:space="0" w:color="auto"/>
        <w:right w:val="none" w:sz="0" w:space="0" w:color="auto"/>
      </w:divBdr>
      <w:divsChild>
        <w:div w:id="475225417">
          <w:marLeft w:val="0"/>
          <w:marRight w:val="0"/>
          <w:marTop w:val="0"/>
          <w:marBottom w:val="0"/>
          <w:divBdr>
            <w:top w:val="none" w:sz="0" w:space="0" w:color="auto"/>
            <w:left w:val="none" w:sz="0" w:space="0" w:color="auto"/>
            <w:bottom w:val="none" w:sz="0" w:space="0" w:color="auto"/>
            <w:right w:val="none" w:sz="0" w:space="0" w:color="auto"/>
          </w:divBdr>
        </w:div>
        <w:div w:id="1549997300">
          <w:marLeft w:val="0"/>
          <w:marRight w:val="0"/>
          <w:marTop w:val="0"/>
          <w:marBottom w:val="0"/>
          <w:divBdr>
            <w:top w:val="none" w:sz="0" w:space="0" w:color="auto"/>
            <w:left w:val="none" w:sz="0" w:space="0" w:color="auto"/>
            <w:bottom w:val="none" w:sz="0" w:space="0" w:color="auto"/>
            <w:right w:val="none" w:sz="0" w:space="0" w:color="auto"/>
          </w:divBdr>
        </w:div>
      </w:divsChild>
    </w:div>
    <w:div w:id="1293169752">
      <w:bodyDiv w:val="1"/>
      <w:marLeft w:val="0"/>
      <w:marRight w:val="0"/>
      <w:marTop w:val="0"/>
      <w:marBottom w:val="0"/>
      <w:divBdr>
        <w:top w:val="none" w:sz="0" w:space="0" w:color="auto"/>
        <w:left w:val="none" w:sz="0" w:space="0" w:color="auto"/>
        <w:bottom w:val="none" w:sz="0" w:space="0" w:color="auto"/>
        <w:right w:val="none" w:sz="0" w:space="0" w:color="auto"/>
      </w:divBdr>
    </w:div>
    <w:div w:id="1380932725">
      <w:bodyDiv w:val="1"/>
      <w:marLeft w:val="0"/>
      <w:marRight w:val="0"/>
      <w:marTop w:val="0"/>
      <w:marBottom w:val="0"/>
      <w:divBdr>
        <w:top w:val="none" w:sz="0" w:space="0" w:color="auto"/>
        <w:left w:val="none" w:sz="0" w:space="0" w:color="auto"/>
        <w:bottom w:val="none" w:sz="0" w:space="0" w:color="auto"/>
        <w:right w:val="none" w:sz="0" w:space="0" w:color="auto"/>
      </w:divBdr>
      <w:divsChild>
        <w:div w:id="259996221">
          <w:marLeft w:val="0"/>
          <w:marRight w:val="0"/>
          <w:marTop w:val="0"/>
          <w:marBottom w:val="0"/>
          <w:divBdr>
            <w:top w:val="none" w:sz="0" w:space="0" w:color="auto"/>
            <w:left w:val="none" w:sz="0" w:space="0" w:color="auto"/>
            <w:bottom w:val="none" w:sz="0" w:space="0" w:color="auto"/>
            <w:right w:val="none" w:sz="0" w:space="0" w:color="auto"/>
          </w:divBdr>
          <w:divsChild>
            <w:div w:id="940184381">
              <w:marLeft w:val="0"/>
              <w:marRight w:val="0"/>
              <w:marTop w:val="0"/>
              <w:marBottom w:val="0"/>
              <w:divBdr>
                <w:top w:val="none" w:sz="0" w:space="0" w:color="auto"/>
                <w:left w:val="none" w:sz="0" w:space="0" w:color="auto"/>
                <w:bottom w:val="none" w:sz="0" w:space="0" w:color="auto"/>
                <w:right w:val="none" w:sz="0" w:space="0" w:color="auto"/>
              </w:divBdr>
              <w:divsChild>
                <w:div w:id="1372337434">
                  <w:marLeft w:val="0"/>
                  <w:marRight w:val="0"/>
                  <w:marTop w:val="0"/>
                  <w:marBottom w:val="0"/>
                  <w:divBdr>
                    <w:top w:val="none" w:sz="0" w:space="0" w:color="auto"/>
                    <w:left w:val="none" w:sz="0" w:space="0" w:color="auto"/>
                    <w:bottom w:val="none" w:sz="0" w:space="0" w:color="auto"/>
                    <w:right w:val="none" w:sz="0" w:space="0" w:color="auto"/>
                  </w:divBdr>
                  <w:divsChild>
                    <w:div w:id="745611185">
                      <w:marLeft w:val="0"/>
                      <w:marRight w:val="0"/>
                      <w:marTop w:val="0"/>
                      <w:marBottom w:val="0"/>
                      <w:divBdr>
                        <w:top w:val="none" w:sz="0" w:space="0" w:color="auto"/>
                        <w:left w:val="none" w:sz="0" w:space="0" w:color="auto"/>
                        <w:bottom w:val="none" w:sz="0" w:space="0" w:color="auto"/>
                        <w:right w:val="none" w:sz="0" w:space="0" w:color="auto"/>
                      </w:divBdr>
                      <w:divsChild>
                        <w:div w:id="947733546">
                          <w:marLeft w:val="0"/>
                          <w:marRight w:val="0"/>
                          <w:marTop w:val="0"/>
                          <w:marBottom w:val="0"/>
                          <w:divBdr>
                            <w:top w:val="none" w:sz="0" w:space="0" w:color="auto"/>
                            <w:left w:val="none" w:sz="0" w:space="0" w:color="auto"/>
                            <w:bottom w:val="none" w:sz="0" w:space="0" w:color="auto"/>
                            <w:right w:val="none" w:sz="0" w:space="0" w:color="auto"/>
                          </w:divBdr>
                          <w:divsChild>
                            <w:div w:id="1565095425">
                              <w:marLeft w:val="0"/>
                              <w:marRight w:val="0"/>
                              <w:marTop w:val="0"/>
                              <w:marBottom w:val="0"/>
                              <w:divBdr>
                                <w:top w:val="none" w:sz="0" w:space="0" w:color="auto"/>
                                <w:left w:val="none" w:sz="0" w:space="0" w:color="auto"/>
                                <w:bottom w:val="none" w:sz="0" w:space="0" w:color="auto"/>
                                <w:right w:val="none" w:sz="0" w:space="0" w:color="auto"/>
                              </w:divBdr>
                              <w:divsChild>
                                <w:div w:id="2081246085">
                                  <w:marLeft w:val="0"/>
                                  <w:marRight w:val="0"/>
                                  <w:marTop w:val="0"/>
                                  <w:marBottom w:val="0"/>
                                  <w:divBdr>
                                    <w:top w:val="none" w:sz="0" w:space="0" w:color="auto"/>
                                    <w:left w:val="none" w:sz="0" w:space="0" w:color="auto"/>
                                    <w:bottom w:val="none" w:sz="0" w:space="0" w:color="auto"/>
                                    <w:right w:val="none" w:sz="0" w:space="0" w:color="auto"/>
                                  </w:divBdr>
                                  <w:divsChild>
                                    <w:div w:id="190991792">
                                      <w:marLeft w:val="60"/>
                                      <w:marRight w:val="0"/>
                                      <w:marTop w:val="0"/>
                                      <w:marBottom w:val="0"/>
                                      <w:divBdr>
                                        <w:top w:val="none" w:sz="0" w:space="0" w:color="auto"/>
                                        <w:left w:val="none" w:sz="0" w:space="0" w:color="auto"/>
                                        <w:bottom w:val="none" w:sz="0" w:space="0" w:color="auto"/>
                                        <w:right w:val="none" w:sz="0" w:space="0" w:color="auto"/>
                                      </w:divBdr>
                                      <w:divsChild>
                                        <w:div w:id="743651529">
                                          <w:marLeft w:val="0"/>
                                          <w:marRight w:val="0"/>
                                          <w:marTop w:val="0"/>
                                          <w:marBottom w:val="0"/>
                                          <w:divBdr>
                                            <w:top w:val="none" w:sz="0" w:space="0" w:color="auto"/>
                                            <w:left w:val="none" w:sz="0" w:space="0" w:color="auto"/>
                                            <w:bottom w:val="none" w:sz="0" w:space="0" w:color="auto"/>
                                            <w:right w:val="none" w:sz="0" w:space="0" w:color="auto"/>
                                          </w:divBdr>
                                          <w:divsChild>
                                            <w:div w:id="1300109909">
                                              <w:marLeft w:val="0"/>
                                              <w:marRight w:val="0"/>
                                              <w:marTop w:val="0"/>
                                              <w:marBottom w:val="120"/>
                                              <w:divBdr>
                                                <w:top w:val="single" w:sz="6" w:space="0" w:color="F5F5F5"/>
                                                <w:left w:val="single" w:sz="6" w:space="0" w:color="F5F5F5"/>
                                                <w:bottom w:val="single" w:sz="6" w:space="0" w:color="F5F5F5"/>
                                                <w:right w:val="single" w:sz="6" w:space="0" w:color="F5F5F5"/>
                                              </w:divBdr>
                                              <w:divsChild>
                                                <w:div w:id="1376350009">
                                                  <w:marLeft w:val="0"/>
                                                  <w:marRight w:val="0"/>
                                                  <w:marTop w:val="0"/>
                                                  <w:marBottom w:val="0"/>
                                                  <w:divBdr>
                                                    <w:top w:val="none" w:sz="0" w:space="0" w:color="auto"/>
                                                    <w:left w:val="none" w:sz="0" w:space="0" w:color="auto"/>
                                                    <w:bottom w:val="none" w:sz="0" w:space="0" w:color="auto"/>
                                                    <w:right w:val="none" w:sz="0" w:space="0" w:color="auto"/>
                                                  </w:divBdr>
                                                  <w:divsChild>
                                                    <w:div w:id="1697997373">
                                                      <w:marLeft w:val="0"/>
                                                      <w:marRight w:val="0"/>
                                                      <w:marTop w:val="0"/>
                                                      <w:marBottom w:val="0"/>
                                                      <w:divBdr>
                                                        <w:top w:val="none" w:sz="0" w:space="0" w:color="auto"/>
                                                        <w:left w:val="none" w:sz="0" w:space="0" w:color="auto"/>
                                                        <w:bottom w:val="none" w:sz="0" w:space="0" w:color="auto"/>
                                                        <w:right w:val="none" w:sz="0" w:space="0" w:color="auto"/>
                                                      </w:divBdr>
                                                    </w:div>
                                                  </w:divsChild>
                                                </w:div>
                                                <w:div w:id="754322978">
                                                  <w:marLeft w:val="0"/>
                                                  <w:marRight w:val="0"/>
                                                  <w:marTop w:val="0"/>
                                                  <w:marBottom w:val="0"/>
                                                  <w:divBdr>
                                                    <w:top w:val="none" w:sz="0" w:space="0" w:color="auto"/>
                                                    <w:left w:val="none" w:sz="0" w:space="0" w:color="auto"/>
                                                    <w:bottom w:val="none" w:sz="0" w:space="0" w:color="auto"/>
                                                    <w:right w:val="none" w:sz="0" w:space="0" w:color="auto"/>
                                                  </w:divBdr>
                                                  <w:divsChild>
                                                    <w:div w:id="40364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2244454">
      <w:bodyDiv w:val="1"/>
      <w:marLeft w:val="0"/>
      <w:marRight w:val="0"/>
      <w:marTop w:val="0"/>
      <w:marBottom w:val="0"/>
      <w:divBdr>
        <w:top w:val="none" w:sz="0" w:space="0" w:color="auto"/>
        <w:left w:val="none" w:sz="0" w:space="0" w:color="auto"/>
        <w:bottom w:val="none" w:sz="0" w:space="0" w:color="auto"/>
        <w:right w:val="none" w:sz="0" w:space="0" w:color="auto"/>
      </w:divBdr>
    </w:div>
    <w:div w:id="1384134872">
      <w:bodyDiv w:val="1"/>
      <w:marLeft w:val="0"/>
      <w:marRight w:val="0"/>
      <w:marTop w:val="0"/>
      <w:marBottom w:val="0"/>
      <w:divBdr>
        <w:top w:val="none" w:sz="0" w:space="0" w:color="auto"/>
        <w:left w:val="none" w:sz="0" w:space="0" w:color="auto"/>
        <w:bottom w:val="none" w:sz="0" w:space="0" w:color="auto"/>
        <w:right w:val="none" w:sz="0" w:space="0" w:color="auto"/>
      </w:divBdr>
    </w:div>
    <w:div w:id="1464469517">
      <w:bodyDiv w:val="1"/>
      <w:marLeft w:val="0"/>
      <w:marRight w:val="0"/>
      <w:marTop w:val="0"/>
      <w:marBottom w:val="0"/>
      <w:divBdr>
        <w:top w:val="none" w:sz="0" w:space="0" w:color="auto"/>
        <w:left w:val="none" w:sz="0" w:space="0" w:color="auto"/>
        <w:bottom w:val="none" w:sz="0" w:space="0" w:color="auto"/>
        <w:right w:val="none" w:sz="0" w:space="0" w:color="auto"/>
      </w:divBdr>
      <w:divsChild>
        <w:div w:id="862593993">
          <w:marLeft w:val="547"/>
          <w:marRight w:val="0"/>
          <w:marTop w:val="0"/>
          <w:marBottom w:val="0"/>
          <w:divBdr>
            <w:top w:val="none" w:sz="0" w:space="0" w:color="auto"/>
            <w:left w:val="none" w:sz="0" w:space="0" w:color="auto"/>
            <w:bottom w:val="none" w:sz="0" w:space="0" w:color="auto"/>
            <w:right w:val="none" w:sz="0" w:space="0" w:color="auto"/>
          </w:divBdr>
        </w:div>
      </w:divsChild>
    </w:div>
    <w:div w:id="1510217935">
      <w:bodyDiv w:val="1"/>
      <w:marLeft w:val="0"/>
      <w:marRight w:val="0"/>
      <w:marTop w:val="0"/>
      <w:marBottom w:val="0"/>
      <w:divBdr>
        <w:top w:val="none" w:sz="0" w:space="0" w:color="auto"/>
        <w:left w:val="none" w:sz="0" w:space="0" w:color="auto"/>
        <w:bottom w:val="none" w:sz="0" w:space="0" w:color="auto"/>
        <w:right w:val="none" w:sz="0" w:space="0" w:color="auto"/>
      </w:divBdr>
    </w:div>
    <w:div w:id="1515651895">
      <w:bodyDiv w:val="1"/>
      <w:marLeft w:val="0"/>
      <w:marRight w:val="0"/>
      <w:marTop w:val="0"/>
      <w:marBottom w:val="0"/>
      <w:divBdr>
        <w:top w:val="none" w:sz="0" w:space="0" w:color="auto"/>
        <w:left w:val="none" w:sz="0" w:space="0" w:color="auto"/>
        <w:bottom w:val="none" w:sz="0" w:space="0" w:color="auto"/>
        <w:right w:val="none" w:sz="0" w:space="0" w:color="auto"/>
      </w:divBdr>
    </w:div>
    <w:div w:id="1515682848">
      <w:bodyDiv w:val="1"/>
      <w:marLeft w:val="0"/>
      <w:marRight w:val="0"/>
      <w:marTop w:val="0"/>
      <w:marBottom w:val="0"/>
      <w:divBdr>
        <w:top w:val="none" w:sz="0" w:space="0" w:color="auto"/>
        <w:left w:val="none" w:sz="0" w:space="0" w:color="auto"/>
        <w:bottom w:val="none" w:sz="0" w:space="0" w:color="auto"/>
        <w:right w:val="none" w:sz="0" w:space="0" w:color="auto"/>
      </w:divBdr>
      <w:divsChild>
        <w:div w:id="621881376">
          <w:marLeft w:val="547"/>
          <w:marRight w:val="0"/>
          <w:marTop w:val="0"/>
          <w:marBottom w:val="0"/>
          <w:divBdr>
            <w:top w:val="none" w:sz="0" w:space="0" w:color="auto"/>
            <w:left w:val="none" w:sz="0" w:space="0" w:color="auto"/>
            <w:bottom w:val="none" w:sz="0" w:space="0" w:color="auto"/>
            <w:right w:val="none" w:sz="0" w:space="0" w:color="auto"/>
          </w:divBdr>
        </w:div>
      </w:divsChild>
    </w:div>
    <w:div w:id="1582254468">
      <w:bodyDiv w:val="1"/>
      <w:marLeft w:val="0"/>
      <w:marRight w:val="0"/>
      <w:marTop w:val="0"/>
      <w:marBottom w:val="0"/>
      <w:divBdr>
        <w:top w:val="none" w:sz="0" w:space="0" w:color="auto"/>
        <w:left w:val="none" w:sz="0" w:space="0" w:color="auto"/>
        <w:bottom w:val="none" w:sz="0" w:space="0" w:color="auto"/>
        <w:right w:val="none" w:sz="0" w:space="0" w:color="auto"/>
      </w:divBdr>
      <w:divsChild>
        <w:div w:id="1185939555">
          <w:marLeft w:val="547"/>
          <w:marRight w:val="0"/>
          <w:marTop w:val="115"/>
          <w:marBottom w:val="0"/>
          <w:divBdr>
            <w:top w:val="none" w:sz="0" w:space="0" w:color="auto"/>
            <w:left w:val="none" w:sz="0" w:space="0" w:color="auto"/>
            <w:bottom w:val="none" w:sz="0" w:space="0" w:color="auto"/>
            <w:right w:val="none" w:sz="0" w:space="0" w:color="auto"/>
          </w:divBdr>
        </w:div>
        <w:div w:id="1432704050">
          <w:marLeft w:val="547"/>
          <w:marRight w:val="0"/>
          <w:marTop w:val="115"/>
          <w:marBottom w:val="0"/>
          <w:divBdr>
            <w:top w:val="none" w:sz="0" w:space="0" w:color="auto"/>
            <w:left w:val="none" w:sz="0" w:space="0" w:color="auto"/>
            <w:bottom w:val="none" w:sz="0" w:space="0" w:color="auto"/>
            <w:right w:val="none" w:sz="0" w:space="0" w:color="auto"/>
          </w:divBdr>
        </w:div>
        <w:div w:id="873543226">
          <w:marLeft w:val="547"/>
          <w:marRight w:val="0"/>
          <w:marTop w:val="115"/>
          <w:marBottom w:val="0"/>
          <w:divBdr>
            <w:top w:val="none" w:sz="0" w:space="0" w:color="auto"/>
            <w:left w:val="none" w:sz="0" w:space="0" w:color="auto"/>
            <w:bottom w:val="none" w:sz="0" w:space="0" w:color="auto"/>
            <w:right w:val="none" w:sz="0" w:space="0" w:color="auto"/>
          </w:divBdr>
        </w:div>
        <w:div w:id="1928804131">
          <w:marLeft w:val="547"/>
          <w:marRight w:val="0"/>
          <w:marTop w:val="115"/>
          <w:marBottom w:val="0"/>
          <w:divBdr>
            <w:top w:val="none" w:sz="0" w:space="0" w:color="auto"/>
            <w:left w:val="none" w:sz="0" w:space="0" w:color="auto"/>
            <w:bottom w:val="none" w:sz="0" w:space="0" w:color="auto"/>
            <w:right w:val="none" w:sz="0" w:space="0" w:color="auto"/>
          </w:divBdr>
        </w:div>
      </w:divsChild>
    </w:div>
    <w:div w:id="1600717623">
      <w:bodyDiv w:val="1"/>
      <w:marLeft w:val="0"/>
      <w:marRight w:val="0"/>
      <w:marTop w:val="0"/>
      <w:marBottom w:val="0"/>
      <w:divBdr>
        <w:top w:val="none" w:sz="0" w:space="0" w:color="auto"/>
        <w:left w:val="none" w:sz="0" w:space="0" w:color="auto"/>
        <w:bottom w:val="none" w:sz="0" w:space="0" w:color="auto"/>
        <w:right w:val="none" w:sz="0" w:space="0" w:color="auto"/>
      </w:divBdr>
    </w:div>
    <w:div w:id="1649284154">
      <w:bodyDiv w:val="1"/>
      <w:marLeft w:val="0"/>
      <w:marRight w:val="0"/>
      <w:marTop w:val="0"/>
      <w:marBottom w:val="0"/>
      <w:divBdr>
        <w:top w:val="none" w:sz="0" w:space="0" w:color="auto"/>
        <w:left w:val="none" w:sz="0" w:space="0" w:color="auto"/>
        <w:bottom w:val="none" w:sz="0" w:space="0" w:color="auto"/>
        <w:right w:val="none" w:sz="0" w:space="0" w:color="auto"/>
      </w:divBdr>
    </w:div>
    <w:div w:id="1657342292">
      <w:bodyDiv w:val="1"/>
      <w:marLeft w:val="0"/>
      <w:marRight w:val="0"/>
      <w:marTop w:val="0"/>
      <w:marBottom w:val="0"/>
      <w:divBdr>
        <w:top w:val="none" w:sz="0" w:space="0" w:color="auto"/>
        <w:left w:val="none" w:sz="0" w:space="0" w:color="auto"/>
        <w:bottom w:val="none" w:sz="0" w:space="0" w:color="auto"/>
        <w:right w:val="none" w:sz="0" w:space="0" w:color="auto"/>
      </w:divBdr>
    </w:div>
    <w:div w:id="1675494112">
      <w:bodyDiv w:val="1"/>
      <w:marLeft w:val="0"/>
      <w:marRight w:val="0"/>
      <w:marTop w:val="0"/>
      <w:marBottom w:val="0"/>
      <w:divBdr>
        <w:top w:val="none" w:sz="0" w:space="0" w:color="auto"/>
        <w:left w:val="none" w:sz="0" w:space="0" w:color="auto"/>
        <w:bottom w:val="none" w:sz="0" w:space="0" w:color="auto"/>
        <w:right w:val="none" w:sz="0" w:space="0" w:color="auto"/>
      </w:divBdr>
    </w:div>
    <w:div w:id="1683900140">
      <w:bodyDiv w:val="1"/>
      <w:marLeft w:val="0"/>
      <w:marRight w:val="0"/>
      <w:marTop w:val="0"/>
      <w:marBottom w:val="0"/>
      <w:divBdr>
        <w:top w:val="none" w:sz="0" w:space="0" w:color="auto"/>
        <w:left w:val="none" w:sz="0" w:space="0" w:color="auto"/>
        <w:bottom w:val="none" w:sz="0" w:space="0" w:color="auto"/>
        <w:right w:val="none" w:sz="0" w:space="0" w:color="auto"/>
      </w:divBdr>
    </w:div>
    <w:div w:id="1705861068">
      <w:bodyDiv w:val="1"/>
      <w:marLeft w:val="0"/>
      <w:marRight w:val="0"/>
      <w:marTop w:val="0"/>
      <w:marBottom w:val="0"/>
      <w:divBdr>
        <w:top w:val="none" w:sz="0" w:space="0" w:color="auto"/>
        <w:left w:val="none" w:sz="0" w:space="0" w:color="auto"/>
        <w:bottom w:val="none" w:sz="0" w:space="0" w:color="auto"/>
        <w:right w:val="none" w:sz="0" w:space="0" w:color="auto"/>
      </w:divBdr>
    </w:div>
    <w:div w:id="1708526714">
      <w:bodyDiv w:val="1"/>
      <w:marLeft w:val="0"/>
      <w:marRight w:val="0"/>
      <w:marTop w:val="0"/>
      <w:marBottom w:val="0"/>
      <w:divBdr>
        <w:top w:val="none" w:sz="0" w:space="0" w:color="auto"/>
        <w:left w:val="none" w:sz="0" w:space="0" w:color="auto"/>
        <w:bottom w:val="none" w:sz="0" w:space="0" w:color="auto"/>
        <w:right w:val="none" w:sz="0" w:space="0" w:color="auto"/>
      </w:divBdr>
    </w:div>
    <w:div w:id="1737123714">
      <w:bodyDiv w:val="1"/>
      <w:marLeft w:val="0"/>
      <w:marRight w:val="0"/>
      <w:marTop w:val="0"/>
      <w:marBottom w:val="0"/>
      <w:divBdr>
        <w:top w:val="none" w:sz="0" w:space="0" w:color="auto"/>
        <w:left w:val="none" w:sz="0" w:space="0" w:color="auto"/>
        <w:bottom w:val="none" w:sz="0" w:space="0" w:color="auto"/>
        <w:right w:val="none" w:sz="0" w:space="0" w:color="auto"/>
      </w:divBdr>
      <w:divsChild>
        <w:div w:id="14892829">
          <w:marLeft w:val="547"/>
          <w:marRight w:val="0"/>
          <w:marTop w:val="115"/>
          <w:marBottom w:val="0"/>
          <w:divBdr>
            <w:top w:val="none" w:sz="0" w:space="0" w:color="auto"/>
            <w:left w:val="none" w:sz="0" w:space="0" w:color="auto"/>
            <w:bottom w:val="none" w:sz="0" w:space="0" w:color="auto"/>
            <w:right w:val="none" w:sz="0" w:space="0" w:color="auto"/>
          </w:divBdr>
        </w:div>
        <w:div w:id="1694572050">
          <w:marLeft w:val="547"/>
          <w:marRight w:val="0"/>
          <w:marTop w:val="115"/>
          <w:marBottom w:val="0"/>
          <w:divBdr>
            <w:top w:val="none" w:sz="0" w:space="0" w:color="auto"/>
            <w:left w:val="none" w:sz="0" w:space="0" w:color="auto"/>
            <w:bottom w:val="none" w:sz="0" w:space="0" w:color="auto"/>
            <w:right w:val="none" w:sz="0" w:space="0" w:color="auto"/>
          </w:divBdr>
        </w:div>
        <w:div w:id="492179834">
          <w:marLeft w:val="547"/>
          <w:marRight w:val="0"/>
          <w:marTop w:val="115"/>
          <w:marBottom w:val="0"/>
          <w:divBdr>
            <w:top w:val="none" w:sz="0" w:space="0" w:color="auto"/>
            <w:left w:val="none" w:sz="0" w:space="0" w:color="auto"/>
            <w:bottom w:val="none" w:sz="0" w:space="0" w:color="auto"/>
            <w:right w:val="none" w:sz="0" w:space="0" w:color="auto"/>
          </w:divBdr>
        </w:div>
        <w:div w:id="49427135">
          <w:marLeft w:val="547"/>
          <w:marRight w:val="0"/>
          <w:marTop w:val="115"/>
          <w:marBottom w:val="0"/>
          <w:divBdr>
            <w:top w:val="none" w:sz="0" w:space="0" w:color="auto"/>
            <w:left w:val="none" w:sz="0" w:space="0" w:color="auto"/>
            <w:bottom w:val="none" w:sz="0" w:space="0" w:color="auto"/>
            <w:right w:val="none" w:sz="0" w:space="0" w:color="auto"/>
          </w:divBdr>
        </w:div>
        <w:div w:id="1652129188">
          <w:marLeft w:val="547"/>
          <w:marRight w:val="0"/>
          <w:marTop w:val="115"/>
          <w:marBottom w:val="0"/>
          <w:divBdr>
            <w:top w:val="none" w:sz="0" w:space="0" w:color="auto"/>
            <w:left w:val="none" w:sz="0" w:space="0" w:color="auto"/>
            <w:bottom w:val="none" w:sz="0" w:space="0" w:color="auto"/>
            <w:right w:val="none" w:sz="0" w:space="0" w:color="auto"/>
          </w:divBdr>
        </w:div>
        <w:div w:id="486671616">
          <w:marLeft w:val="547"/>
          <w:marRight w:val="0"/>
          <w:marTop w:val="115"/>
          <w:marBottom w:val="0"/>
          <w:divBdr>
            <w:top w:val="none" w:sz="0" w:space="0" w:color="auto"/>
            <w:left w:val="none" w:sz="0" w:space="0" w:color="auto"/>
            <w:bottom w:val="none" w:sz="0" w:space="0" w:color="auto"/>
            <w:right w:val="none" w:sz="0" w:space="0" w:color="auto"/>
          </w:divBdr>
        </w:div>
      </w:divsChild>
    </w:div>
    <w:div w:id="1772510135">
      <w:bodyDiv w:val="1"/>
      <w:marLeft w:val="0"/>
      <w:marRight w:val="0"/>
      <w:marTop w:val="0"/>
      <w:marBottom w:val="0"/>
      <w:divBdr>
        <w:top w:val="none" w:sz="0" w:space="0" w:color="auto"/>
        <w:left w:val="none" w:sz="0" w:space="0" w:color="auto"/>
        <w:bottom w:val="none" w:sz="0" w:space="0" w:color="auto"/>
        <w:right w:val="none" w:sz="0" w:space="0" w:color="auto"/>
      </w:divBdr>
    </w:div>
    <w:div w:id="1780442114">
      <w:bodyDiv w:val="1"/>
      <w:marLeft w:val="0"/>
      <w:marRight w:val="0"/>
      <w:marTop w:val="0"/>
      <w:marBottom w:val="0"/>
      <w:divBdr>
        <w:top w:val="none" w:sz="0" w:space="0" w:color="auto"/>
        <w:left w:val="none" w:sz="0" w:space="0" w:color="auto"/>
        <w:bottom w:val="none" w:sz="0" w:space="0" w:color="auto"/>
        <w:right w:val="none" w:sz="0" w:space="0" w:color="auto"/>
      </w:divBdr>
    </w:div>
    <w:div w:id="1800881272">
      <w:bodyDiv w:val="1"/>
      <w:marLeft w:val="0"/>
      <w:marRight w:val="0"/>
      <w:marTop w:val="0"/>
      <w:marBottom w:val="0"/>
      <w:divBdr>
        <w:top w:val="none" w:sz="0" w:space="0" w:color="auto"/>
        <w:left w:val="none" w:sz="0" w:space="0" w:color="auto"/>
        <w:bottom w:val="none" w:sz="0" w:space="0" w:color="auto"/>
        <w:right w:val="none" w:sz="0" w:space="0" w:color="auto"/>
      </w:divBdr>
    </w:div>
    <w:div w:id="1821115971">
      <w:bodyDiv w:val="1"/>
      <w:marLeft w:val="0"/>
      <w:marRight w:val="0"/>
      <w:marTop w:val="0"/>
      <w:marBottom w:val="0"/>
      <w:divBdr>
        <w:top w:val="none" w:sz="0" w:space="0" w:color="auto"/>
        <w:left w:val="none" w:sz="0" w:space="0" w:color="auto"/>
        <w:bottom w:val="none" w:sz="0" w:space="0" w:color="auto"/>
        <w:right w:val="none" w:sz="0" w:space="0" w:color="auto"/>
      </w:divBdr>
      <w:divsChild>
        <w:div w:id="658386750">
          <w:marLeft w:val="360"/>
          <w:marRight w:val="0"/>
          <w:marTop w:val="200"/>
          <w:marBottom w:val="0"/>
          <w:divBdr>
            <w:top w:val="none" w:sz="0" w:space="0" w:color="auto"/>
            <w:left w:val="none" w:sz="0" w:space="0" w:color="auto"/>
            <w:bottom w:val="none" w:sz="0" w:space="0" w:color="auto"/>
            <w:right w:val="none" w:sz="0" w:space="0" w:color="auto"/>
          </w:divBdr>
        </w:div>
        <w:div w:id="2124568943">
          <w:marLeft w:val="360"/>
          <w:marRight w:val="0"/>
          <w:marTop w:val="200"/>
          <w:marBottom w:val="0"/>
          <w:divBdr>
            <w:top w:val="none" w:sz="0" w:space="0" w:color="auto"/>
            <w:left w:val="none" w:sz="0" w:space="0" w:color="auto"/>
            <w:bottom w:val="none" w:sz="0" w:space="0" w:color="auto"/>
            <w:right w:val="none" w:sz="0" w:space="0" w:color="auto"/>
          </w:divBdr>
        </w:div>
      </w:divsChild>
    </w:div>
    <w:div w:id="1827013313">
      <w:bodyDiv w:val="1"/>
      <w:marLeft w:val="0"/>
      <w:marRight w:val="0"/>
      <w:marTop w:val="0"/>
      <w:marBottom w:val="0"/>
      <w:divBdr>
        <w:top w:val="none" w:sz="0" w:space="0" w:color="auto"/>
        <w:left w:val="none" w:sz="0" w:space="0" w:color="auto"/>
        <w:bottom w:val="none" w:sz="0" w:space="0" w:color="auto"/>
        <w:right w:val="none" w:sz="0" w:space="0" w:color="auto"/>
      </w:divBdr>
      <w:divsChild>
        <w:div w:id="318659465">
          <w:marLeft w:val="432"/>
          <w:marRight w:val="0"/>
          <w:marTop w:val="115"/>
          <w:marBottom w:val="0"/>
          <w:divBdr>
            <w:top w:val="none" w:sz="0" w:space="0" w:color="auto"/>
            <w:left w:val="none" w:sz="0" w:space="0" w:color="auto"/>
            <w:bottom w:val="none" w:sz="0" w:space="0" w:color="auto"/>
            <w:right w:val="none" w:sz="0" w:space="0" w:color="auto"/>
          </w:divBdr>
        </w:div>
        <w:div w:id="1127817484">
          <w:marLeft w:val="432"/>
          <w:marRight w:val="0"/>
          <w:marTop w:val="115"/>
          <w:marBottom w:val="0"/>
          <w:divBdr>
            <w:top w:val="none" w:sz="0" w:space="0" w:color="auto"/>
            <w:left w:val="none" w:sz="0" w:space="0" w:color="auto"/>
            <w:bottom w:val="none" w:sz="0" w:space="0" w:color="auto"/>
            <w:right w:val="none" w:sz="0" w:space="0" w:color="auto"/>
          </w:divBdr>
        </w:div>
      </w:divsChild>
    </w:div>
    <w:div w:id="1874731109">
      <w:bodyDiv w:val="1"/>
      <w:marLeft w:val="0"/>
      <w:marRight w:val="0"/>
      <w:marTop w:val="0"/>
      <w:marBottom w:val="0"/>
      <w:divBdr>
        <w:top w:val="none" w:sz="0" w:space="0" w:color="auto"/>
        <w:left w:val="none" w:sz="0" w:space="0" w:color="auto"/>
        <w:bottom w:val="none" w:sz="0" w:space="0" w:color="auto"/>
        <w:right w:val="none" w:sz="0" w:space="0" w:color="auto"/>
      </w:divBdr>
    </w:div>
    <w:div w:id="1875533866">
      <w:bodyDiv w:val="1"/>
      <w:marLeft w:val="0"/>
      <w:marRight w:val="0"/>
      <w:marTop w:val="0"/>
      <w:marBottom w:val="0"/>
      <w:divBdr>
        <w:top w:val="none" w:sz="0" w:space="0" w:color="auto"/>
        <w:left w:val="none" w:sz="0" w:space="0" w:color="auto"/>
        <w:bottom w:val="none" w:sz="0" w:space="0" w:color="auto"/>
        <w:right w:val="none" w:sz="0" w:space="0" w:color="auto"/>
      </w:divBdr>
    </w:div>
    <w:div w:id="1877697779">
      <w:bodyDiv w:val="1"/>
      <w:marLeft w:val="0"/>
      <w:marRight w:val="0"/>
      <w:marTop w:val="0"/>
      <w:marBottom w:val="0"/>
      <w:divBdr>
        <w:top w:val="none" w:sz="0" w:space="0" w:color="auto"/>
        <w:left w:val="none" w:sz="0" w:space="0" w:color="auto"/>
        <w:bottom w:val="none" w:sz="0" w:space="0" w:color="auto"/>
        <w:right w:val="none" w:sz="0" w:space="0" w:color="auto"/>
      </w:divBdr>
      <w:divsChild>
        <w:div w:id="182326075">
          <w:marLeft w:val="0"/>
          <w:marRight w:val="0"/>
          <w:marTop w:val="0"/>
          <w:marBottom w:val="0"/>
          <w:divBdr>
            <w:top w:val="none" w:sz="0" w:space="0" w:color="auto"/>
            <w:left w:val="none" w:sz="0" w:space="0" w:color="auto"/>
            <w:bottom w:val="none" w:sz="0" w:space="0" w:color="auto"/>
            <w:right w:val="none" w:sz="0" w:space="0" w:color="auto"/>
          </w:divBdr>
        </w:div>
        <w:div w:id="484710166">
          <w:marLeft w:val="0"/>
          <w:marRight w:val="0"/>
          <w:marTop w:val="0"/>
          <w:marBottom w:val="0"/>
          <w:divBdr>
            <w:top w:val="none" w:sz="0" w:space="0" w:color="auto"/>
            <w:left w:val="none" w:sz="0" w:space="0" w:color="auto"/>
            <w:bottom w:val="none" w:sz="0" w:space="0" w:color="auto"/>
            <w:right w:val="none" w:sz="0" w:space="0" w:color="auto"/>
          </w:divBdr>
        </w:div>
        <w:div w:id="554776365">
          <w:marLeft w:val="0"/>
          <w:marRight w:val="0"/>
          <w:marTop w:val="0"/>
          <w:marBottom w:val="0"/>
          <w:divBdr>
            <w:top w:val="none" w:sz="0" w:space="0" w:color="auto"/>
            <w:left w:val="none" w:sz="0" w:space="0" w:color="auto"/>
            <w:bottom w:val="none" w:sz="0" w:space="0" w:color="auto"/>
            <w:right w:val="none" w:sz="0" w:space="0" w:color="auto"/>
          </w:divBdr>
        </w:div>
        <w:div w:id="632562549">
          <w:marLeft w:val="0"/>
          <w:marRight w:val="0"/>
          <w:marTop w:val="0"/>
          <w:marBottom w:val="0"/>
          <w:divBdr>
            <w:top w:val="none" w:sz="0" w:space="0" w:color="auto"/>
            <w:left w:val="none" w:sz="0" w:space="0" w:color="auto"/>
            <w:bottom w:val="none" w:sz="0" w:space="0" w:color="auto"/>
            <w:right w:val="none" w:sz="0" w:space="0" w:color="auto"/>
          </w:divBdr>
        </w:div>
        <w:div w:id="750930294">
          <w:marLeft w:val="0"/>
          <w:marRight w:val="0"/>
          <w:marTop w:val="0"/>
          <w:marBottom w:val="0"/>
          <w:divBdr>
            <w:top w:val="none" w:sz="0" w:space="0" w:color="auto"/>
            <w:left w:val="none" w:sz="0" w:space="0" w:color="auto"/>
            <w:bottom w:val="none" w:sz="0" w:space="0" w:color="auto"/>
            <w:right w:val="none" w:sz="0" w:space="0" w:color="auto"/>
          </w:divBdr>
        </w:div>
        <w:div w:id="861209136">
          <w:marLeft w:val="0"/>
          <w:marRight w:val="0"/>
          <w:marTop w:val="0"/>
          <w:marBottom w:val="0"/>
          <w:divBdr>
            <w:top w:val="none" w:sz="0" w:space="0" w:color="auto"/>
            <w:left w:val="none" w:sz="0" w:space="0" w:color="auto"/>
            <w:bottom w:val="none" w:sz="0" w:space="0" w:color="auto"/>
            <w:right w:val="none" w:sz="0" w:space="0" w:color="auto"/>
          </w:divBdr>
        </w:div>
        <w:div w:id="1175194939">
          <w:marLeft w:val="0"/>
          <w:marRight w:val="0"/>
          <w:marTop w:val="0"/>
          <w:marBottom w:val="0"/>
          <w:divBdr>
            <w:top w:val="none" w:sz="0" w:space="0" w:color="auto"/>
            <w:left w:val="none" w:sz="0" w:space="0" w:color="auto"/>
            <w:bottom w:val="none" w:sz="0" w:space="0" w:color="auto"/>
            <w:right w:val="none" w:sz="0" w:space="0" w:color="auto"/>
          </w:divBdr>
        </w:div>
        <w:div w:id="1244609160">
          <w:marLeft w:val="0"/>
          <w:marRight w:val="0"/>
          <w:marTop w:val="0"/>
          <w:marBottom w:val="0"/>
          <w:divBdr>
            <w:top w:val="none" w:sz="0" w:space="0" w:color="auto"/>
            <w:left w:val="none" w:sz="0" w:space="0" w:color="auto"/>
            <w:bottom w:val="none" w:sz="0" w:space="0" w:color="auto"/>
            <w:right w:val="none" w:sz="0" w:space="0" w:color="auto"/>
          </w:divBdr>
        </w:div>
        <w:div w:id="1508591559">
          <w:marLeft w:val="0"/>
          <w:marRight w:val="0"/>
          <w:marTop w:val="0"/>
          <w:marBottom w:val="0"/>
          <w:divBdr>
            <w:top w:val="none" w:sz="0" w:space="0" w:color="auto"/>
            <w:left w:val="none" w:sz="0" w:space="0" w:color="auto"/>
            <w:bottom w:val="none" w:sz="0" w:space="0" w:color="auto"/>
            <w:right w:val="none" w:sz="0" w:space="0" w:color="auto"/>
          </w:divBdr>
        </w:div>
        <w:div w:id="1511288249">
          <w:marLeft w:val="0"/>
          <w:marRight w:val="0"/>
          <w:marTop w:val="0"/>
          <w:marBottom w:val="0"/>
          <w:divBdr>
            <w:top w:val="none" w:sz="0" w:space="0" w:color="auto"/>
            <w:left w:val="none" w:sz="0" w:space="0" w:color="auto"/>
            <w:bottom w:val="none" w:sz="0" w:space="0" w:color="auto"/>
            <w:right w:val="none" w:sz="0" w:space="0" w:color="auto"/>
          </w:divBdr>
        </w:div>
        <w:div w:id="1555510466">
          <w:marLeft w:val="0"/>
          <w:marRight w:val="0"/>
          <w:marTop w:val="0"/>
          <w:marBottom w:val="0"/>
          <w:divBdr>
            <w:top w:val="none" w:sz="0" w:space="0" w:color="auto"/>
            <w:left w:val="none" w:sz="0" w:space="0" w:color="auto"/>
            <w:bottom w:val="none" w:sz="0" w:space="0" w:color="auto"/>
            <w:right w:val="none" w:sz="0" w:space="0" w:color="auto"/>
          </w:divBdr>
        </w:div>
        <w:div w:id="1675570703">
          <w:marLeft w:val="0"/>
          <w:marRight w:val="0"/>
          <w:marTop w:val="0"/>
          <w:marBottom w:val="0"/>
          <w:divBdr>
            <w:top w:val="none" w:sz="0" w:space="0" w:color="auto"/>
            <w:left w:val="none" w:sz="0" w:space="0" w:color="auto"/>
            <w:bottom w:val="none" w:sz="0" w:space="0" w:color="auto"/>
            <w:right w:val="none" w:sz="0" w:space="0" w:color="auto"/>
          </w:divBdr>
        </w:div>
        <w:div w:id="2001157010">
          <w:marLeft w:val="0"/>
          <w:marRight w:val="0"/>
          <w:marTop w:val="0"/>
          <w:marBottom w:val="0"/>
          <w:divBdr>
            <w:top w:val="none" w:sz="0" w:space="0" w:color="auto"/>
            <w:left w:val="none" w:sz="0" w:space="0" w:color="auto"/>
            <w:bottom w:val="none" w:sz="0" w:space="0" w:color="auto"/>
            <w:right w:val="none" w:sz="0" w:space="0" w:color="auto"/>
          </w:divBdr>
        </w:div>
      </w:divsChild>
    </w:div>
    <w:div w:id="1901669832">
      <w:bodyDiv w:val="1"/>
      <w:marLeft w:val="0"/>
      <w:marRight w:val="0"/>
      <w:marTop w:val="0"/>
      <w:marBottom w:val="0"/>
      <w:divBdr>
        <w:top w:val="none" w:sz="0" w:space="0" w:color="auto"/>
        <w:left w:val="none" w:sz="0" w:space="0" w:color="auto"/>
        <w:bottom w:val="none" w:sz="0" w:space="0" w:color="auto"/>
        <w:right w:val="none" w:sz="0" w:space="0" w:color="auto"/>
      </w:divBdr>
      <w:divsChild>
        <w:div w:id="1291859304">
          <w:marLeft w:val="547"/>
          <w:marRight w:val="0"/>
          <w:marTop w:val="0"/>
          <w:marBottom w:val="0"/>
          <w:divBdr>
            <w:top w:val="none" w:sz="0" w:space="0" w:color="auto"/>
            <w:left w:val="none" w:sz="0" w:space="0" w:color="auto"/>
            <w:bottom w:val="none" w:sz="0" w:space="0" w:color="auto"/>
            <w:right w:val="none" w:sz="0" w:space="0" w:color="auto"/>
          </w:divBdr>
        </w:div>
      </w:divsChild>
    </w:div>
    <w:div w:id="1902473226">
      <w:bodyDiv w:val="1"/>
      <w:marLeft w:val="0"/>
      <w:marRight w:val="0"/>
      <w:marTop w:val="0"/>
      <w:marBottom w:val="0"/>
      <w:divBdr>
        <w:top w:val="none" w:sz="0" w:space="0" w:color="auto"/>
        <w:left w:val="none" w:sz="0" w:space="0" w:color="auto"/>
        <w:bottom w:val="none" w:sz="0" w:space="0" w:color="auto"/>
        <w:right w:val="none" w:sz="0" w:space="0" w:color="auto"/>
      </w:divBdr>
    </w:div>
    <w:div w:id="1938512876">
      <w:bodyDiv w:val="1"/>
      <w:marLeft w:val="0"/>
      <w:marRight w:val="0"/>
      <w:marTop w:val="0"/>
      <w:marBottom w:val="0"/>
      <w:divBdr>
        <w:top w:val="none" w:sz="0" w:space="0" w:color="auto"/>
        <w:left w:val="none" w:sz="0" w:space="0" w:color="auto"/>
        <w:bottom w:val="none" w:sz="0" w:space="0" w:color="auto"/>
        <w:right w:val="none" w:sz="0" w:space="0" w:color="auto"/>
      </w:divBdr>
      <w:divsChild>
        <w:div w:id="477309241">
          <w:marLeft w:val="547"/>
          <w:marRight w:val="0"/>
          <w:marTop w:val="0"/>
          <w:marBottom w:val="0"/>
          <w:divBdr>
            <w:top w:val="none" w:sz="0" w:space="0" w:color="auto"/>
            <w:left w:val="none" w:sz="0" w:space="0" w:color="auto"/>
            <w:bottom w:val="none" w:sz="0" w:space="0" w:color="auto"/>
            <w:right w:val="none" w:sz="0" w:space="0" w:color="auto"/>
          </w:divBdr>
        </w:div>
      </w:divsChild>
    </w:div>
    <w:div w:id="1957910477">
      <w:bodyDiv w:val="1"/>
      <w:marLeft w:val="0"/>
      <w:marRight w:val="0"/>
      <w:marTop w:val="0"/>
      <w:marBottom w:val="0"/>
      <w:divBdr>
        <w:top w:val="none" w:sz="0" w:space="0" w:color="auto"/>
        <w:left w:val="none" w:sz="0" w:space="0" w:color="auto"/>
        <w:bottom w:val="none" w:sz="0" w:space="0" w:color="auto"/>
        <w:right w:val="none" w:sz="0" w:space="0" w:color="auto"/>
      </w:divBdr>
      <w:divsChild>
        <w:div w:id="729305257">
          <w:marLeft w:val="547"/>
          <w:marRight w:val="0"/>
          <w:marTop w:val="0"/>
          <w:marBottom w:val="0"/>
          <w:divBdr>
            <w:top w:val="none" w:sz="0" w:space="0" w:color="auto"/>
            <w:left w:val="none" w:sz="0" w:space="0" w:color="auto"/>
            <w:bottom w:val="none" w:sz="0" w:space="0" w:color="auto"/>
            <w:right w:val="none" w:sz="0" w:space="0" w:color="auto"/>
          </w:divBdr>
        </w:div>
      </w:divsChild>
    </w:div>
    <w:div w:id="2000688702">
      <w:bodyDiv w:val="1"/>
      <w:marLeft w:val="0"/>
      <w:marRight w:val="0"/>
      <w:marTop w:val="0"/>
      <w:marBottom w:val="0"/>
      <w:divBdr>
        <w:top w:val="none" w:sz="0" w:space="0" w:color="auto"/>
        <w:left w:val="none" w:sz="0" w:space="0" w:color="auto"/>
        <w:bottom w:val="none" w:sz="0" w:space="0" w:color="auto"/>
        <w:right w:val="none" w:sz="0" w:space="0" w:color="auto"/>
      </w:divBdr>
      <w:divsChild>
        <w:div w:id="257568387">
          <w:marLeft w:val="547"/>
          <w:marRight w:val="0"/>
          <w:marTop w:val="0"/>
          <w:marBottom w:val="0"/>
          <w:divBdr>
            <w:top w:val="none" w:sz="0" w:space="0" w:color="auto"/>
            <w:left w:val="none" w:sz="0" w:space="0" w:color="auto"/>
            <w:bottom w:val="none" w:sz="0" w:space="0" w:color="auto"/>
            <w:right w:val="none" w:sz="0" w:space="0" w:color="auto"/>
          </w:divBdr>
        </w:div>
      </w:divsChild>
    </w:div>
    <w:div w:id="2016616045">
      <w:bodyDiv w:val="1"/>
      <w:marLeft w:val="0"/>
      <w:marRight w:val="0"/>
      <w:marTop w:val="0"/>
      <w:marBottom w:val="0"/>
      <w:divBdr>
        <w:top w:val="none" w:sz="0" w:space="0" w:color="auto"/>
        <w:left w:val="none" w:sz="0" w:space="0" w:color="auto"/>
        <w:bottom w:val="none" w:sz="0" w:space="0" w:color="auto"/>
        <w:right w:val="none" w:sz="0" w:space="0" w:color="auto"/>
      </w:divBdr>
      <w:divsChild>
        <w:div w:id="953902273">
          <w:marLeft w:val="547"/>
          <w:marRight w:val="0"/>
          <w:marTop w:val="115"/>
          <w:marBottom w:val="0"/>
          <w:divBdr>
            <w:top w:val="none" w:sz="0" w:space="0" w:color="auto"/>
            <w:left w:val="none" w:sz="0" w:space="0" w:color="auto"/>
            <w:bottom w:val="none" w:sz="0" w:space="0" w:color="auto"/>
            <w:right w:val="none" w:sz="0" w:space="0" w:color="auto"/>
          </w:divBdr>
        </w:div>
        <w:div w:id="1709183929">
          <w:marLeft w:val="547"/>
          <w:marRight w:val="0"/>
          <w:marTop w:val="115"/>
          <w:marBottom w:val="0"/>
          <w:divBdr>
            <w:top w:val="none" w:sz="0" w:space="0" w:color="auto"/>
            <w:left w:val="none" w:sz="0" w:space="0" w:color="auto"/>
            <w:bottom w:val="none" w:sz="0" w:space="0" w:color="auto"/>
            <w:right w:val="none" w:sz="0" w:space="0" w:color="auto"/>
          </w:divBdr>
        </w:div>
        <w:div w:id="746926862">
          <w:marLeft w:val="547"/>
          <w:marRight w:val="0"/>
          <w:marTop w:val="115"/>
          <w:marBottom w:val="0"/>
          <w:divBdr>
            <w:top w:val="none" w:sz="0" w:space="0" w:color="auto"/>
            <w:left w:val="none" w:sz="0" w:space="0" w:color="auto"/>
            <w:bottom w:val="none" w:sz="0" w:space="0" w:color="auto"/>
            <w:right w:val="none" w:sz="0" w:space="0" w:color="auto"/>
          </w:divBdr>
        </w:div>
        <w:div w:id="742875838">
          <w:marLeft w:val="547"/>
          <w:marRight w:val="0"/>
          <w:marTop w:val="115"/>
          <w:marBottom w:val="0"/>
          <w:divBdr>
            <w:top w:val="none" w:sz="0" w:space="0" w:color="auto"/>
            <w:left w:val="none" w:sz="0" w:space="0" w:color="auto"/>
            <w:bottom w:val="none" w:sz="0" w:space="0" w:color="auto"/>
            <w:right w:val="none" w:sz="0" w:space="0" w:color="auto"/>
          </w:divBdr>
        </w:div>
        <w:div w:id="855966076">
          <w:marLeft w:val="547"/>
          <w:marRight w:val="0"/>
          <w:marTop w:val="115"/>
          <w:marBottom w:val="0"/>
          <w:divBdr>
            <w:top w:val="none" w:sz="0" w:space="0" w:color="auto"/>
            <w:left w:val="none" w:sz="0" w:space="0" w:color="auto"/>
            <w:bottom w:val="none" w:sz="0" w:space="0" w:color="auto"/>
            <w:right w:val="none" w:sz="0" w:space="0" w:color="auto"/>
          </w:divBdr>
        </w:div>
      </w:divsChild>
    </w:div>
    <w:div w:id="2031638250">
      <w:bodyDiv w:val="1"/>
      <w:marLeft w:val="0"/>
      <w:marRight w:val="0"/>
      <w:marTop w:val="0"/>
      <w:marBottom w:val="0"/>
      <w:divBdr>
        <w:top w:val="none" w:sz="0" w:space="0" w:color="auto"/>
        <w:left w:val="none" w:sz="0" w:space="0" w:color="auto"/>
        <w:bottom w:val="none" w:sz="0" w:space="0" w:color="auto"/>
        <w:right w:val="none" w:sz="0" w:space="0" w:color="auto"/>
      </w:divBdr>
    </w:div>
    <w:div w:id="2064324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9F9316-CF3C-4ABD-8BD1-3DCFA0CD2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89101</Words>
  <Characters>50788</Characters>
  <Application>Microsoft Office Word</Application>
  <DocSecurity>0</DocSecurity>
  <Lines>423</Lines>
  <Paragraphs>279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139610</CharactersWithSpaces>
  <SharedDoc>false</SharedDoc>
  <HLinks>
    <vt:vector size="90" baseType="variant">
      <vt:variant>
        <vt:i4>3997712</vt:i4>
      </vt:variant>
      <vt:variant>
        <vt:i4>87</vt:i4>
      </vt:variant>
      <vt:variant>
        <vt:i4>0</vt:i4>
      </vt:variant>
      <vt:variant>
        <vt:i4>5</vt:i4>
      </vt:variant>
      <vt:variant>
        <vt:lpwstr>mailto:Laura.Treimane@viaa.gov.lv</vt:lpwstr>
      </vt:variant>
      <vt:variant>
        <vt:lpwstr/>
      </vt:variant>
      <vt:variant>
        <vt:i4>3997741</vt:i4>
      </vt:variant>
      <vt:variant>
        <vt:i4>81</vt:i4>
      </vt:variant>
      <vt:variant>
        <vt:i4>0</vt:i4>
      </vt:variant>
      <vt:variant>
        <vt:i4>5</vt:i4>
      </vt:variant>
      <vt:variant>
        <vt:lpwstr>http://register.consilium.europa.eu/pdf/en/12/st11/st11261.en12.pdf</vt:lpwstr>
      </vt:variant>
      <vt:variant>
        <vt:lpwstr/>
      </vt:variant>
      <vt:variant>
        <vt:i4>1638451</vt:i4>
      </vt:variant>
      <vt:variant>
        <vt:i4>74</vt:i4>
      </vt:variant>
      <vt:variant>
        <vt:i4>0</vt:i4>
      </vt:variant>
      <vt:variant>
        <vt:i4>5</vt:i4>
      </vt:variant>
      <vt:variant>
        <vt:lpwstr/>
      </vt:variant>
      <vt:variant>
        <vt:lpwstr>_Toc391555472</vt:lpwstr>
      </vt:variant>
      <vt:variant>
        <vt:i4>1638451</vt:i4>
      </vt:variant>
      <vt:variant>
        <vt:i4>68</vt:i4>
      </vt:variant>
      <vt:variant>
        <vt:i4>0</vt:i4>
      </vt:variant>
      <vt:variant>
        <vt:i4>5</vt:i4>
      </vt:variant>
      <vt:variant>
        <vt:lpwstr/>
      </vt:variant>
      <vt:variant>
        <vt:lpwstr>_Toc391555471</vt:lpwstr>
      </vt:variant>
      <vt:variant>
        <vt:i4>1638451</vt:i4>
      </vt:variant>
      <vt:variant>
        <vt:i4>62</vt:i4>
      </vt:variant>
      <vt:variant>
        <vt:i4>0</vt:i4>
      </vt:variant>
      <vt:variant>
        <vt:i4>5</vt:i4>
      </vt:variant>
      <vt:variant>
        <vt:lpwstr/>
      </vt:variant>
      <vt:variant>
        <vt:lpwstr>_Toc391555470</vt:lpwstr>
      </vt:variant>
      <vt:variant>
        <vt:i4>1572915</vt:i4>
      </vt:variant>
      <vt:variant>
        <vt:i4>56</vt:i4>
      </vt:variant>
      <vt:variant>
        <vt:i4>0</vt:i4>
      </vt:variant>
      <vt:variant>
        <vt:i4>5</vt:i4>
      </vt:variant>
      <vt:variant>
        <vt:lpwstr/>
      </vt:variant>
      <vt:variant>
        <vt:lpwstr>_Toc391555469</vt:lpwstr>
      </vt:variant>
      <vt:variant>
        <vt:i4>1572915</vt:i4>
      </vt:variant>
      <vt:variant>
        <vt:i4>50</vt:i4>
      </vt:variant>
      <vt:variant>
        <vt:i4>0</vt:i4>
      </vt:variant>
      <vt:variant>
        <vt:i4>5</vt:i4>
      </vt:variant>
      <vt:variant>
        <vt:lpwstr/>
      </vt:variant>
      <vt:variant>
        <vt:lpwstr>_Toc391555468</vt:lpwstr>
      </vt:variant>
      <vt:variant>
        <vt:i4>1572915</vt:i4>
      </vt:variant>
      <vt:variant>
        <vt:i4>44</vt:i4>
      </vt:variant>
      <vt:variant>
        <vt:i4>0</vt:i4>
      </vt:variant>
      <vt:variant>
        <vt:i4>5</vt:i4>
      </vt:variant>
      <vt:variant>
        <vt:lpwstr/>
      </vt:variant>
      <vt:variant>
        <vt:lpwstr>_Toc391555467</vt:lpwstr>
      </vt:variant>
      <vt:variant>
        <vt:i4>1572915</vt:i4>
      </vt:variant>
      <vt:variant>
        <vt:i4>38</vt:i4>
      </vt:variant>
      <vt:variant>
        <vt:i4>0</vt:i4>
      </vt:variant>
      <vt:variant>
        <vt:i4>5</vt:i4>
      </vt:variant>
      <vt:variant>
        <vt:lpwstr/>
      </vt:variant>
      <vt:variant>
        <vt:lpwstr>_Toc391555466</vt:lpwstr>
      </vt:variant>
      <vt:variant>
        <vt:i4>1572915</vt:i4>
      </vt:variant>
      <vt:variant>
        <vt:i4>32</vt:i4>
      </vt:variant>
      <vt:variant>
        <vt:i4>0</vt:i4>
      </vt:variant>
      <vt:variant>
        <vt:i4>5</vt:i4>
      </vt:variant>
      <vt:variant>
        <vt:lpwstr/>
      </vt:variant>
      <vt:variant>
        <vt:lpwstr>_Toc391555465</vt:lpwstr>
      </vt:variant>
      <vt:variant>
        <vt:i4>1572915</vt:i4>
      </vt:variant>
      <vt:variant>
        <vt:i4>26</vt:i4>
      </vt:variant>
      <vt:variant>
        <vt:i4>0</vt:i4>
      </vt:variant>
      <vt:variant>
        <vt:i4>5</vt:i4>
      </vt:variant>
      <vt:variant>
        <vt:lpwstr/>
      </vt:variant>
      <vt:variant>
        <vt:lpwstr>_Toc391555464</vt:lpwstr>
      </vt:variant>
      <vt:variant>
        <vt:i4>1572915</vt:i4>
      </vt:variant>
      <vt:variant>
        <vt:i4>20</vt:i4>
      </vt:variant>
      <vt:variant>
        <vt:i4>0</vt:i4>
      </vt:variant>
      <vt:variant>
        <vt:i4>5</vt:i4>
      </vt:variant>
      <vt:variant>
        <vt:lpwstr/>
      </vt:variant>
      <vt:variant>
        <vt:lpwstr>_Toc391555463</vt:lpwstr>
      </vt:variant>
      <vt:variant>
        <vt:i4>1572915</vt:i4>
      </vt:variant>
      <vt:variant>
        <vt:i4>14</vt:i4>
      </vt:variant>
      <vt:variant>
        <vt:i4>0</vt:i4>
      </vt:variant>
      <vt:variant>
        <vt:i4>5</vt:i4>
      </vt:variant>
      <vt:variant>
        <vt:lpwstr/>
      </vt:variant>
      <vt:variant>
        <vt:lpwstr>_Toc391555462</vt:lpwstr>
      </vt:variant>
      <vt:variant>
        <vt:i4>1572915</vt:i4>
      </vt:variant>
      <vt:variant>
        <vt:i4>8</vt:i4>
      </vt:variant>
      <vt:variant>
        <vt:i4>0</vt:i4>
      </vt:variant>
      <vt:variant>
        <vt:i4>5</vt:i4>
      </vt:variant>
      <vt:variant>
        <vt:lpwstr/>
      </vt:variant>
      <vt:variant>
        <vt:lpwstr>_Toc391555461</vt:lpwstr>
      </vt:variant>
      <vt:variant>
        <vt:i4>1572915</vt:i4>
      </vt:variant>
      <vt:variant>
        <vt:i4>2</vt:i4>
      </vt:variant>
      <vt:variant>
        <vt:i4>0</vt:i4>
      </vt:variant>
      <vt:variant>
        <vt:i4>5</vt:i4>
      </vt:variant>
      <vt:variant>
        <vt:lpwstr/>
      </vt:variant>
      <vt:variant>
        <vt:lpwstr>_Toc391555460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2016-02-15T10:18:00Z</dcterms:created>
  <dcterms:modified xsi:type="dcterms:W3CDTF">2016-06-08T10:24:00Z</dcterms:modified>
</cp:coreProperties>
</file>